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FD" w:rsidRDefault="00562FFD">
      <w:pPr>
        <w:spacing w:line="360" w:lineRule="auto"/>
        <w:jc w:val="center"/>
        <w:rPr>
          <w:rFonts w:ascii="宋体" w:hAnsi="宋体"/>
          <w:color w:val="000000"/>
          <w:sz w:val="28"/>
        </w:rPr>
      </w:pPr>
    </w:p>
    <w:p w:rsidR="00562FFD" w:rsidRDefault="00562FFD">
      <w:pPr>
        <w:spacing w:line="360" w:lineRule="auto"/>
        <w:rPr>
          <w:rFonts w:ascii="宋体" w:hAnsi="宋体"/>
          <w:b/>
        </w:rPr>
      </w:pPr>
    </w:p>
    <w:p w:rsidR="00562FFD" w:rsidRDefault="00562FFD">
      <w:pPr>
        <w:spacing w:line="360" w:lineRule="auto"/>
        <w:jc w:val="center"/>
        <w:rPr>
          <w:rFonts w:ascii="宋体" w:hAnsi="宋体"/>
          <w:b/>
          <w:sz w:val="52"/>
        </w:rPr>
      </w:pPr>
    </w:p>
    <w:p w:rsidR="00562FFD" w:rsidRDefault="003317D3">
      <w:pPr>
        <w:spacing w:line="360" w:lineRule="auto"/>
        <w:jc w:val="center"/>
        <w:rPr>
          <w:rFonts w:ascii="宋体" w:hAnsi="宋体"/>
          <w:b/>
          <w:color w:val="000000"/>
          <w:sz w:val="36"/>
        </w:rPr>
      </w:pPr>
      <w:proofErr w:type="gramStart"/>
      <w:r>
        <w:rPr>
          <w:rFonts w:ascii="宋体" w:hAnsi="宋体" w:hint="eastAsia"/>
          <w:b/>
          <w:color w:val="000000"/>
          <w:sz w:val="36"/>
        </w:rPr>
        <w:t>天弘永利优佳</w:t>
      </w:r>
      <w:proofErr w:type="gramEnd"/>
      <w:r>
        <w:rPr>
          <w:rFonts w:ascii="宋体" w:hAnsi="宋体" w:hint="eastAsia"/>
          <w:b/>
          <w:color w:val="000000"/>
          <w:sz w:val="36"/>
        </w:rPr>
        <w:t>混合型证券投资基金</w:t>
      </w:r>
    </w:p>
    <w:p w:rsidR="00562FFD" w:rsidRDefault="003317D3">
      <w:pPr>
        <w:spacing w:line="360" w:lineRule="auto"/>
        <w:jc w:val="center"/>
        <w:rPr>
          <w:rFonts w:ascii="宋体" w:hAnsi="宋体"/>
          <w:b/>
          <w:sz w:val="52"/>
        </w:rPr>
      </w:pPr>
      <w:r>
        <w:rPr>
          <w:rFonts w:ascii="宋体" w:hAnsi="宋体" w:hint="eastAsia"/>
          <w:b/>
          <w:color w:val="000000"/>
          <w:sz w:val="36"/>
        </w:rPr>
        <w:t>招募说明书</w:t>
      </w:r>
    </w:p>
    <w:p w:rsidR="00562FFD" w:rsidRDefault="00562FFD">
      <w:pPr>
        <w:spacing w:line="360" w:lineRule="auto"/>
        <w:jc w:val="center"/>
        <w:rPr>
          <w:rFonts w:ascii="宋体" w:hAnsi="宋体"/>
          <w:b/>
          <w:sz w:val="52"/>
        </w:rPr>
      </w:pPr>
    </w:p>
    <w:p w:rsidR="00562FFD" w:rsidRDefault="00562FFD">
      <w:pPr>
        <w:spacing w:line="360" w:lineRule="auto"/>
        <w:jc w:val="center"/>
        <w:rPr>
          <w:rFonts w:ascii="宋体" w:hAnsi="宋体"/>
          <w:b/>
          <w:sz w:val="52"/>
        </w:rPr>
      </w:pPr>
    </w:p>
    <w:p w:rsidR="00562FFD" w:rsidRDefault="00562FFD">
      <w:pPr>
        <w:spacing w:line="360" w:lineRule="auto"/>
        <w:jc w:val="center"/>
        <w:rPr>
          <w:rFonts w:ascii="宋体" w:hAnsi="宋体"/>
          <w:b/>
          <w:sz w:val="52"/>
        </w:rPr>
      </w:pPr>
    </w:p>
    <w:p w:rsidR="00562FFD" w:rsidRDefault="00562FFD">
      <w:pPr>
        <w:spacing w:line="360" w:lineRule="auto"/>
        <w:jc w:val="center"/>
        <w:rPr>
          <w:rFonts w:ascii="宋体" w:hAnsi="宋体"/>
          <w:b/>
          <w:sz w:val="52"/>
        </w:rPr>
      </w:pPr>
    </w:p>
    <w:p w:rsidR="00562FFD" w:rsidRDefault="00562FFD">
      <w:pPr>
        <w:spacing w:line="360" w:lineRule="auto"/>
        <w:jc w:val="center"/>
        <w:rPr>
          <w:rFonts w:ascii="宋体" w:hAnsi="宋体"/>
          <w:b/>
          <w:sz w:val="52"/>
        </w:rPr>
      </w:pPr>
    </w:p>
    <w:p w:rsidR="00562FFD" w:rsidRDefault="00562FFD">
      <w:pPr>
        <w:spacing w:line="360" w:lineRule="auto"/>
        <w:rPr>
          <w:rFonts w:ascii="宋体" w:hAnsi="宋体"/>
          <w:b/>
        </w:rPr>
      </w:pPr>
    </w:p>
    <w:p w:rsidR="00562FFD" w:rsidRDefault="003317D3">
      <w:pPr>
        <w:spacing w:line="360" w:lineRule="auto"/>
        <w:ind w:firstLineChars="600" w:firstLine="1687"/>
        <w:rPr>
          <w:rFonts w:ascii="宋体" w:hAnsi="宋体"/>
          <w:b/>
          <w:color w:val="000000"/>
          <w:sz w:val="28"/>
        </w:rPr>
      </w:pPr>
      <w:bookmarkStart w:id="0" w:name="_Toc123701383"/>
      <w:bookmarkStart w:id="1" w:name="_Toc123112263"/>
      <w:bookmarkStart w:id="2" w:name="_Toc139991726"/>
      <w:bookmarkStart w:id="3" w:name="_Toc123112224"/>
      <w:bookmarkStart w:id="4" w:name="_Toc139992301"/>
      <w:r>
        <w:rPr>
          <w:rFonts w:ascii="宋体" w:hAnsi="宋体"/>
          <w:b/>
          <w:color w:val="000000"/>
          <w:sz w:val="28"/>
        </w:rPr>
        <w:t>基金管理人：</w:t>
      </w:r>
      <w:bookmarkEnd w:id="0"/>
      <w:bookmarkEnd w:id="1"/>
      <w:bookmarkEnd w:id="2"/>
      <w:bookmarkEnd w:id="3"/>
      <w:bookmarkEnd w:id="4"/>
      <w:proofErr w:type="gramStart"/>
      <w:r>
        <w:rPr>
          <w:rFonts w:ascii="宋体" w:hAnsi="宋体" w:hint="eastAsia"/>
          <w:b/>
          <w:color w:val="000000"/>
          <w:sz w:val="28"/>
        </w:rPr>
        <w:t>天弘基金</w:t>
      </w:r>
      <w:proofErr w:type="gramEnd"/>
      <w:r>
        <w:rPr>
          <w:rFonts w:ascii="宋体" w:hAnsi="宋体" w:hint="eastAsia"/>
          <w:b/>
          <w:color w:val="000000"/>
          <w:sz w:val="28"/>
        </w:rPr>
        <w:t>管理有限公司</w:t>
      </w:r>
    </w:p>
    <w:p w:rsidR="00562FFD" w:rsidRDefault="003317D3">
      <w:pPr>
        <w:spacing w:line="360" w:lineRule="auto"/>
        <w:ind w:firstLineChars="600" w:firstLine="1687"/>
        <w:rPr>
          <w:rFonts w:ascii="宋体" w:hAnsi="宋体"/>
          <w:b/>
          <w:color w:val="000000"/>
          <w:sz w:val="28"/>
        </w:rPr>
      </w:pPr>
      <w:bookmarkStart w:id="5" w:name="_Toc123701384"/>
      <w:bookmarkStart w:id="6" w:name="_Toc123112225"/>
      <w:bookmarkStart w:id="7" w:name="_Toc139992302"/>
      <w:bookmarkStart w:id="8" w:name="_Toc139991727"/>
      <w:bookmarkStart w:id="9" w:name="_Toc123112264"/>
      <w:r>
        <w:rPr>
          <w:rFonts w:ascii="宋体" w:hAnsi="宋体"/>
          <w:b/>
          <w:color w:val="000000"/>
          <w:sz w:val="28"/>
        </w:rPr>
        <w:t>基金托管人：</w:t>
      </w:r>
      <w:bookmarkEnd w:id="5"/>
      <w:bookmarkEnd w:id="6"/>
      <w:bookmarkEnd w:id="7"/>
      <w:bookmarkEnd w:id="8"/>
      <w:bookmarkEnd w:id="9"/>
      <w:r>
        <w:rPr>
          <w:rFonts w:ascii="宋体" w:hAnsi="宋体" w:hint="eastAsia"/>
          <w:b/>
          <w:color w:val="000000"/>
          <w:sz w:val="28"/>
        </w:rPr>
        <w:t>北京银行股份有限公司</w:t>
      </w:r>
    </w:p>
    <w:p w:rsidR="00562FFD" w:rsidRDefault="00562FFD">
      <w:pPr>
        <w:spacing w:line="360" w:lineRule="auto"/>
        <w:ind w:firstLineChars="672" w:firstLine="1619"/>
        <w:rPr>
          <w:rFonts w:ascii="宋体" w:hAnsi="宋体"/>
          <w:b/>
          <w:color w:val="000000"/>
          <w:sz w:val="24"/>
        </w:rPr>
        <w:sectPr w:rsidR="00562FFD">
          <w:headerReference w:type="default" r:id="rId9"/>
          <w:footerReference w:type="even" r:id="rId10"/>
          <w:headerReference w:type="first" r:id="rId11"/>
          <w:footerReference w:type="first" r:id="rId12"/>
          <w:pgSz w:w="11906" w:h="16838"/>
          <w:pgMar w:top="1440" w:right="1800" w:bottom="1440" w:left="1800" w:header="851" w:footer="992" w:gutter="0"/>
          <w:pgNumType w:start="0"/>
          <w:cols w:space="425"/>
          <w:docGrid w:type="lines" w:linePitch="312"/>
        </w:sectPr>
      </w:pPr>
    </w:p>
    <w:p w:rsidR="00562FFD" w:rsidRDefault="003317D3">
      <w:pPr>
        <w:spacing w:line="360" w:lineRule="auto"/>
        <w:jc w:val="center"/>
        <w:rPr>
          <w:rFonts w:ascii="宋体" w:hAnsi="宋体"/>
          <w:b/>
          <w:color w:val="000000"/>
          <w:sz w:val="28"/>
        </w:rPr>
      </w:pPr>
      <w:r>
        <w:rPr>
          <w:rFonts w:ascii="宋体" w:hAnsi="宋体" w:hint="eastAsia"/>
          <w:b/>
          <w:color w:val="000000"/>
          <w:sz w:val="28"/>
        </w:rPr>
        <w:lastRenderedPageBreak/>
        <w:t>重要提示</w:t>
      </w:r>
    </w:p>
    <w:p w:rsidR="00562FFD" w:rsidRDefault="003317D3">
      <w:pPr>
        <w:spacing w:line="360" w:lineRule="auto"/>
        <w:ind w:firstLineChars="200" w:firstLine="480"/>
        <w:rPr>
          <w:rFonts w:ascii="宋体" w:hAnsi="宋体"/>
          <w:color w:val="000000"/>
          <w:sz w:val="24"/>
        </w:rPr>
      </w:pPr>
      <w:proofErr w:type="gramStart"/>
      <w:r>
        <w:rPr>
          <w:rFonts w:ascii="宋体" w:hAnsi="宋体" w:hint="eastAsia"/>
          <w:color w:val="000000"/>
          <w:sz w:val="24"/>
        </w:rPr>
        <w:t>天弘永利优佳</w:t>
      </w:r>
      <w:proofErr w:type="gramEnd"/>
      <w:r>
        <w:rPr>
          <w:rFonts w:ascii="宋体" w:hAnsi="宋体" w:hint="eastAsia"/>
          <w:color w:val="000000"/>
          <w:sz w:val="24"/>
        </w:rPr>
        <w:t>混合型证券投资基金（以下简称“本基金”）于</w:t>
      </w:r>
      <w:r>
        <w:rPr>
          <w:rFonts w:ascii="宋体" w:hAnsi="宋体"/>
          <w:color w:val="000000"/>
          <w:sz w:val="24"/>
        </w:rPr>
        <w:t>202*</w:t>
      </w:r>
      <w:r>
        <w:rPr>
          <w:rFonts w:ascii="宋体" w:hAnsi="宋体" w:hint="eastAsia"/>
          <w:color w:val="000000"/>
          <w:sz w:val="24"/>
        </w:rPr>
        <w:t>年</w:t>
      </w:r>
      <w:r>
        <w:rPr>
          <w:rFonts w:ascii="宋体" w:hAnsi="宋体"/>
          <w:color w:val="000000"/>
          <w:sz w:val="24"/>
        </w:rPr>
        <w:t>**</w:t>
      </w:r>
      <w:r>
        <w:rPr>
          <w:rFonts w:ascii="宋体" w:hAnsi="宋体" w:hint="eastAsia"/>
          <w:color w:val="000000"/>
          <w:sz w:val="24"/>
        </w:rPr>
        <w:t>月</w:t>
      </w:r>
      <w:r>
        <w:rPr>
          <w:rFonts w:ascii="宋体" w:hAnsi="宋体"/>
          <w:color w:val="000000"/>
          <w:sz w:val="24"/>
        </w:rPr>
        <w:t>**</w:t>
      </w:r>
      <w:proofErr w:type="gramStart"/>
      <w:r>
        <w:rPr>
          <w:rFonts w:ascii="宋体" w:hAnsi="宋体" w:hint="eastAsia"/>
          <w:color w:val="000000"/>
          <w:sz w:val="24"/>
        </w:rPr>
        <w:t>日获得</w:t>
      </w:r>
      <w:proofErr w:type="gramEnd"/>
      <w:r>
        <w:rPr>
          <w:rFonts w:ascii="宋体" w:hAnsi="宋体" w:hint="eastAsia"/>
          <w:color w:val="000000"/>
          <w:sz w:val="24"/>
        </w:rPr>
        <w:t>中国证监会准予注册的批复（证监许可[202</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号）。</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本基金管理人保证招募说明书的内容真实、准确、完整。本招募说明书经中国证监会注册，但中国证监会准予本基金募集的注册，并不表明其对本基金的投资价值和市场前景做出实质性判断或保证，也不表明投资于本基金没有风险。</w:t>
      </w:r>
    </w:p>
    <w:p w:rsidR="00562FFD" w:rsidRDefault="003317D3">
      <w:pPr>
        <w:spacing w:line="360" w:lineRule="auto"/>
        <w:ind w:firstLineChars="200" w:firstLine="480"/>
        <w:rPr>
          <w:rFonts w:ascii="宋体" w:hAnsi="宋体" w:cs="黑体"/>
          <w:color w:val="000000"/>
          <w:sz w:val="24"/>
        </w:rPr>
      </w:pPr>
      <w:r>
        <w:rPr>
          <w:rFonts w:ascii="宋体" w:hAnsi="宋体" w:cs="黑体" w:hint="eastAsia"/>
          <w:color w:val="000000"/>
          <w:sz w:val="24"/>
        </w:rPr>
        <w:t>本基金投资于证券市场，基金净值会因为证券市场波动等因素产生波动。投资有风险，投资人认购（或申购）基金时应认真阅读本招募说明书，全面认识本基金产品的风险收益特征和产品特性，充分考虑自身的风险承受能力，理性判断市场，对认购（或申购）基金的意愿、时机、数量等投资行为</w:t>
      </w:r>
      <w:proofErr w:type="gramStart"/>
      <w:r>
        <w:rPr>
          <w:rFonts w:ascii="宋体" w:hAnsi="宋体" w:cs="黑体" w:hint="eastAsia"/>
          <w:color w:val="000000"/>
          <w:sz w:val="24"/>
        </w:rPr>
        <w:t>作出</w:t>
      </w:r>
      <w:proofErr w:type="gramEnd"/>
      <w:r>
        <w:rPr>
          <w:rFonts w:ascii="宋体" w:hAnsi="宋体" w:cs="黑体" w:hint="eastAsia"/>
          <w:color w:val="000000"/>
          <w:sz w:val="24"/>
        </w:rPr>
        <w:t>独立决策。投资人在获得基金投资收益的同时，</w:t>
      </w:r>
      <w:proofErr w:type="gramStart"/>
      <w:r>
        <w:rPr>
          <w:rFonts w:ascii="宋体" w:hAnsi="宋体" w:cs="黑体" w:hint="eastAsia"/>
          <w:color w:val="000000"/>
          <w:sz w:val="24"/>
        </w:rPr>
        <w:t>亦承担</w:t>
      </w:r>
      <w:proofErr w:type="gramEnd"/>
      <w:r>
        <w:rPr>
          <w:rFonts w:ascii="宋体" w:hAnsi="宋体" w:cs="黑体" w:hint="eastAsia"/>
          <w:color w:val="000000"/>
          <w:sz w:val="24"/>
        </w:rPr>
        <w:t>基金投资中出现的各类风险，可能包括：证券市场整体环境引发的系统性风险、个别证券特有的非系统性风险、大量赎回或暴跌导致的流动性风险、基金管理人在投资经营过程中产生的操作风险以及本基金特有风险、启用</w:t>
      </w:r>
      <w:proofErr w:type="gramStart"/>
      <w:r>
        <w:rPr>
          <w:rFonts w:ascii="宋体" w:hAnsi="宋体" w:cs="黑体" w:hint="eastAsia"/>
          <w:color w:val="000000"/>
          <w:sz w:val="24"/>
        </w:rPr>
        <w:t>侧袋机制</w:t>
      </w:r>
      <w:proofErr w:type="gramEnd"/>
      <w:r>
        <w:rPr>
          <w:rFonts w:ascii="宋体" w:hAnsi="宋体" w:cs="黑体" w:hint="eastAsia"/>
          <w:color w:val="000000"/>
          <w:sz w:val="24"/>
        </w:rPr>
        <w:t>的风险等。基金管理人提醒投资者基金投资的</w:t>
      </w:r>
      <w:r>
        <w:rPr>
          <w:rFonts w:ascii="宋体" w:hAnsi="宋体" w:cs="黑体"/>
          <w:color w:val="000000"/>
          <w:sz w:val="24"/>
        </w:rPr>
        <w:t>“</w:t>
      </w:r>
      <w:r>
        <w:rPr>
          <w:rFonts w:ascii="宋体" w:hAnsi="宋体" w:cs="黑体" w:hint="eastAsia"/>
          <w:color w:val="000000"/>
          <w:sz w:val="24"/>
        </w:rPr>
        <w:t>买者自负</w:t>
      </w:r>
      <w:r>
        <w:rPr>
          <w:rFonts w:ascii="宋体" w:hAnsi="宋体" w:cs="黑体"/>
          <w:color w:val="000000"/>
          <w:sz w:val="24"/>
        </w:rPr>
        <w:t>”</w:t>
      </w:r>
      <w:r>
        <w:rPr>
          <w:rFonts w:ascii="宋体" w:hAnsi="宋体" w:cs="黑体" w:hint="eastAsia"/>
          <w:color w:val="000000"/>
          <w:sz w:val="24"/>
        </w:rPr>
        <w:t>原则，在投资者</w:t>
      </w:r>
      <w:proofErr w:type="gramStart"/>
      <w:r>
        <w:rPr>
          <w:rFonts w:ascii="宋体" w:hAnsi="宋体" w:cs="黑体" w:hint="eastAsia"/>
          <w:color w:val="000000"/>
          <w:sz w:val="24"/>
        </w:rPr>
        <w:t>作出</w:t>
      </w:r>
      <w:proofErr w:type="gramEnd"/>
      <w:r>
        <w:rPr>
          <w:rFonts w:ascii="宋体" w:hAnsi="宋体" w:cs="黑体" w:hint="eastAsia"/>
          <w:color w:val="000000"/>
          <w:sz w:val="24"/>
        </w:rPr>
        <w:t>投资决策后，基金运营状况与基金净值变化引致的投资风险，由投资者自行负责。</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本基金为混合型基金，其风险收益预期高于货币市场基金和债券型基金，低于股票型基金。本基金若投资港股通标的股票，会面临港股</w:t>
      </w:r>
      <w:proofErr w:type="gramStart"/>
      <w:r>
        <w:rPr>
          <w:rFonts w:ascii="宋体" w:hAnsi="宋体" w:cs="黑体" w:hint="eastAsia"/>
          <w:bCs/>
          <w:color w:val="000000"/>
          <w:sz w:val="24"/>
        </w:rPr>
        <w:t>通机制</w:t>
      </w:r>
      <w:proofErr w:type="gramEnd"/>
      <w:r>
        <w:rPr>
          <w:rFonts w:ascii="宋体" w:hAnsi="宋体" w:cs="黑体" w:hint="eastAsia"/>
          <w:bCs/>
          <w:color w:val="000000"/>
          <w:sz w:val="24"/>
        </w:rPr>
        <w:t>下因投资环境、投资标的、市场制度以及交易规则等差异带来的特有风险。</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基金管理人在此特别提示投资者：本基金存在法律文件风险收益特征表述与销售机构基金风险评价可能不一致的风险。</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本基金法律文件投资章节有关风险收益特征的表述是基于投资范围、投资比例、证券市场普遍规律等做出的概述性描述，代表了一般市场情况下本基金的长期风险收益特征。销售机构</w:t>
      </w:r>
      <w:r>
        <w:rPr>
          <w:rFonts w:ascii="宋体" w:hAnsi="宋体" w:cs="黑体"/>
          <w:bCs/>
          <w:color w:val="000000"/>
          <w:sz w:val="24"/>
        </w:rPr>
        <w:t>(</w:t>
      </w:r>
      <w:r>
        <w:rPr>
          <w:rFonts w:ascii="宋体" w:hAnsi="宋体" w:cs="黑体" w:hint="eastAsia"/>
          <w:bCs/>
          <w:color w:val="000000"/>
          <w:sz w:val="24"/>
        </w:rPr>
        <w:t>包括基金管理人直销机构和其他销售机构</w:t>
      </w:r>
      <w:r>
        <w:rPr>
          <w:rFonts w:ascii="宋体" w:hAnsi="宋体" w:cs="黑体"/>
          <w:bCs/>
          <w:color w:val="000000"/>
          <w:sz w:val="24"/>
        </w:rPr>
        <w:t>)</w:t>
      </w:r>
      <w:r>
        <w:rPr>
          <w:rFonts w:ascii="宋体" w:hAnsi="宋体" w:cs="黑体" w:hint="eastAsia"/>
          <w:bCs/>
          <w:color w:val="000000"/>
          <w:sz w:val="24"/>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本基金并非保本基金，基金管理人并不能保证投资于本基金不会产生亏损。</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lastRenderedPageBreak/>
        <w:t>当本基金持有特定资产且存在或潜在大额赎回申请时，基金管理人履行相应程序后，可以</w:t>
      </w:r>
      <w:proofErr w:type="gramStart"/>
      <w:r>
        <w:rPr>
          <w:rFonts w:ascii="宋体" w:hAnsi="宋体" w:cs="黑体" w:hint="eastAsia"/>
          <w:bCs/>
          <w:color w:val="000000"/>
          <w:sz w:val="24"/>
        </w:rPr>
        <w:t>启用侧袋机制</w:t>
      </w:r>
      <w:proofErr w:type="gramEnd"/>
      <w:r>
        <w:rPr>
          <w:rFonts w:ascii="宋体" w:hAnsi="宋体" w:cs="黑体" w:hint="eastAsia"/>
          <w:bCs/>
          <w:color w:val="000000"/>
          <w:sz w:val="24"/>
        </w:rPr>
        <w:t>，具体详见基金合同和本招募说明书的相关章节。</w:t>
      </w:r>
      <w:proofErr w:type="gramStart"/>
      <w:r>
        <w:rPr>
          <w:rFonts w:ascii="宋体" w:hAnsi="宋体" w:cs="黑体" w:hint="eastAsia"/>
          <w:bCs/>
          <w:color w:val="000000"/>
          <w:sz w:val="24"/>
        </w:rPr>
        <w:t>侧袋机制</w:t>
      </w:r>
      <w:proofErr w:type="gramEnd"/>
      <w:r>
        <w:rPr>
          <w:rFonts w:ascii="宋体" w:hAnsi="宋体" w:cs="黑体" w:hint="eastAsia"/>
          <w:bCs/>
          <w:color w:val="000000"/>
          <w:sz w:val="24"/>
        </w:rPr>
        <w:t>实施期间，基金管理人将对基金简称进行特殊标识，并不</w:t>
      </w:r>
      <w:proofErr w:type="gramStart"/>
      <w:r>
        <w:rPr>
          <w:rFonts w:ascii="宋体" w:hAnsi="宋体" w:cs="黑体" w:hint="eastAsia"/>
          <w:bCs/>
          <w:color w:val="000000"/>
          <w:sz w:val="24"/>
        </w:rPr>
        <w:t>办理侧袋账户</w:t>
      </w:r>
      <w:proofErr w:type="gramEnd"/>
      <w:r>
        <w:rPr>
          <w:rFonts w:ascii="宋体" w:hAnsi="宋体" w:cs="黑体" w:hint="eastAsia"/>
          <w:bCs/>
          <w:color w:val="000000"/>
          <w:sz w:val="24"/>
        </w:rPr>
        <w:t>的申购赎回。</w:t>
      </w:r>
      <w:proofErr w:type="gramStart"/>
      <w:r>
        <w:rPr>
          <w:rFonts w:ascii="宋体" w:hAnsi="宋体" w:cs="黑体" w:hint="eastAsia"/>
          <w:bCs/>
          <w:color w:val="000000"/>
          <w:sz w:val="24"/>
        </w:rPr>
        <w:t>请基金</w:t>
      </w:r>
      <w:proofErr w:type="gramEnd"/>
      <w:r>
        <w:rPr>
          <w:rFonts w:ascii="宋体" w:hAnsi="宋体" w:cs="黑体" w:hint="eastAsia"/>
          <w:bCs/>
          <w:color w:val="000000"/>
          <w:sz w:val="24"/>
        </w:rPr>
        <w:t>份额持有人仔细阅读相关内容并关注本基金启用</w:t>
      </w:r>
      <w:proofErr w:type="gramStart"/>
      <w:r>
        <w:rPr>
          <w:rFonts w:ascii="宋体" w:hAnsi="宋体" w:cs="黑体" w:hint="eastAsia"/>
          <w:bCs/>
          <w:color w:val="000000"/>
          <w:sz w:val="24"/>
        </w:rPr>
        <w:t>侧袋机制</w:t>
      </w:r>
      <w:proofErr w:type="gramEnd"/>
      <w:r>
        <w:rPr>
          <w:rFonts w:ascii="宋体" w:hAnsi="宋体" w:cs="黑体" w:hint="eastAsia"/>
          <w:bCs/>
          <w:color w:val="000000"/>
          <w:sz w:val="24"/>
        </w:rPr>
        <w:t>时的特定风险。</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本基金若投资于相关股票市场交易互联互通机制允许买卖的规定范围内的香港联合交易所上市的股票（以下简称“港股通标的股票”），会面临港股</w:t>
      </w:r>
      <w:proofErr w:type="gramStart"/>
      <w:r>
        <w:rPr>
          <w:rFonts w:ascii="宋体" w:hAnsi="宋体" w:cs="黑体" w:hint="eastAsia"/>
          <w:bCs/>
          <w:color w:val="000000"/>
          <w:sz w:val="24"/>
        </w:rPr>
        <w:t>通机制</w:t>
      </w:r>
      <w:proofErr w:type="gramEnd"/>
      <w:r>
        <w:rPr>
          <w:rFonts w:ascii="宋体" w:hAnsi="宋体" w:cs="黑体" w:hint="eastAsia"/>
          <w:bCs/>
          <w:color w:val="000000"/>
          <w:sz w:val="24"/>
        </w:rPr>
        <w:t>下因投资环境、投资标的、市场制度以及交易规则等差异带来的特有风险， 包括港股市场股价波动较大的风险（港股市</w:t>
      </w:r>
      <w:proofErr w:type="gramStart"/>
      <w:r>
        <w:rPr>
          <w:rFonts w:ascii="宋体" w:hAnsi="宋体" w:cs="黑体" w:hint="eastAsia"/>
          <w:bCs/>
          <w:color w:val="000000"/>
          <w:sz w:val="24"/>
        </w:rPr>
        <w:t>场实行</w:t>
      </w:r>
      <w:proofErr w:type="gramEnd"/>
      <w:r>
        <w:rPr>
          <w:rFonts w:ascii="宋体" w:hAnsi="宋体" w:cs="黑体" w:hint="eastAsia"/>
          <w:bCs/>
          <w:color w:val="000000"/>
          <w:sz w:val="24"/>
        </w:rPr>
        <w:t>T+0回转交易，且对个股不设涨跌幅限制，港股股价可能表现出比A股更为剧烈的股价波动）、汇率风险（汇率波动可能对基金的投资收益造成损失）、港股</w:t>
      </w:r>
      <w:proofErr w:type="gramStart"/>
      <w:r>
        <w:rPr>
          <w:rFonts w:ascii="宋体" w:hAnsi="宋体" w:cs="黑体" w:hint="eastAsia"/>
          <w:bCs/>
          <w:color w:val="000000"/>
          <w:sz w:val="24"/>
        </w:rPr>
        <w:t>通机制</w:t>
      </w:r>
      <w:proofErr w:type="gramEnd"/>
      <w:r>
        <w:rPr>
          <w:rFonts w:ascii="宋体" w:hAnsi="宋体" w:cs="黑体" w:hint="eastAsia"/>
          <w:bCs/>
          <w:color w:val="000000"/>
          <w:sz w:val="24"/>
        </w:rPr>
        <w:t>下交易日不连贯可能带来的风险（在内地开市香港休市的情形下，港股</w:t>
      </w:r>
      <w:proofErr w:type="gramStart"/>
      <w:r>
        <w:rPr>
          <w:rFonts w:ascii="宋体" w:hAnsi="宋体" w:cs="黑体" w:hint="eastAsia"/>
          <w:bCs/>
          <w:color w:val="000000"/>
          <w:sz w:val="24"/>
        </w:rPr>
        <w:t>通不能</w:t>
      </w:r>
      <w:proofErr w:type="gramEnd"/>
      <w:r>
        <w:rPr>
          <w:rFonts w:ascii="宋体" w:hAnsi="宋体" w:cs="黑体" w:hint="eastAsia"/>
          <w:bCs/>
          <w:color w:val="000000"/>
          <w:sz w:val="24"/>
        </w:rPr>
        <w:t>正常交易，港股不能及时卖出，可能带来一定的流动性风险）等。具体风险烦请查阅本基金招募说明书的“基金的风险提示”章节的具体内容。</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为对冲信用风险，本基金可能投资于信用衍生品，信用衍生</w:t>
      </w:r>
      <w:proofErr w:type="gramStart"/>
      <w:r>
        <w:rPr>
          <w:rFonts w:ascii="宋体" w:hAnsi="宋体" w:cs="黑体" w:hint="eastAsia"/>
          <w:bCs/>
          <w:color w:val="000000"/>
          <w:sz w:val="24"/>
        </w:rPr>
        <w:t>品投资</w:t>
      </w:r>
      <w:proofErr w:type="gramEnd"/>
      <w:r>
        <w:rPr>
          <w:rFonts w:ascii="宋体" w:hAnsi="宋体" w:cs="黑体" w:hint="eastAsia"/>
          <w:bCs/>
          <w:color w:val="000000"/>
          <w:sz w:val="24"/>
        </w:rPr>
        <w:t>可能面临流动性风险、偿付风险以及价格波动风险。</w:t>
      </w:r>
    </w:p>
    <w:p w:rsidR="00562FFD" w:rsidRDefault="003317D3">
      <w:pPr>
        <w:spacing w:line="360" w:lineRule="auto"/>
        <w:ind w:firstLineChars="200" w:firstLine="480"/>
        <w:rPr>
          <w:rFonts w:ascii="宋体" w:hAnsi="宋体" w:cs="黑体"/>
          <w:bCs/>
          <w:color w:val="000000"/>
          <w:sz w:val="24"/>
          <w:lang w:val="zh-CN"/>
        </w:rPr>
      </w:pPr>
      <w:r>
        <w:rPr>
          <w:rFonts w:ascii="宋体" w:hAnsi="宋体" w:cs="黑体" w:hint="eastAsia"/>
          <w:bCs/>
          <w:color w:val="000000"/>
          <w:sz w:val="24"/>
          <w:lang w:val="zh-CN"/>
        </w:rPr>
        <w:t>本基金可投资存托凭证，基金净值可能受到存托凭证的境外基础证券价格波动影响，存托凭证的境外基础证券的相关风险可能直接或间接成为本基金的风险。</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投资者应当认真阅读《基金合同》、《招募说明书》、基金产品资料概要等信息披露文件，自主判断基金的投资价值，自主做出投资决策，自行承担投资风险，了解基金的风险收益特征，根据自身的投资目的、投资经验、资产状况</w:t>
      </w:r>
      <w:proofErr w:type="gramStart"/>
      <w:r>
        <w:rPr>
          <w:rFonts w:ascii="宋体" w:hAnsi="宋体" w:cs="黑体" w:hint="eastAsia"/>
          <w:bCs/>
          <w:color w:val="000000"/>
          <w:sz w:val="24"/>
        </w:rPr>
        <w:t>等判断</w:t>
      </w:r>
      <w:proofErr w:type="gramEnd"/>
      <w:r>
        <w:rPr>
          <w:rFonts w:ascii="宋体" w:hAnsi="宋体" w:cs="黑体" w:hint="eastAsia"/>
          <w:bCs/>
          <w:color w:val="000000"/>
          <w:sz w:val="24"/>
        </w:rPr>
        <w:t>基金是否和自身的风险承受能力相适应，并通过基金管理人或基金管理人委托的具有基金销售业务资格的其他机构购买基金。</w:t>
      </w:r>
    </w:p>
    <w:p w:rsidR="00562FFD" w:rsidRDefault="003317D3">
      <w:pPr>
        <w:spacing w:line="360" w:lineRule="auto"/>
        <w:ind w:firstLineChars="200" w:firstLine="480"/>
        <w:rPr>
          <w:rFonts w:ascii="宋体" w:hAnsi="宋体" w:cs="黑体"/>
          <w:bCs/>
          <w:color w:val="000000"/>
          <w:sz w:val="24"/>
        </w:rPr>
      </w:pPr>
      <w:r>
        <w:rPr>
          <w:rFonts w:ascii="宋体" w:hAnsi="宋体" w:cs="黑体" w:hint="eastAsia"/>
          <w:bCs/>
          <w:color w:val="000000"/>
          <w:sz w:val="24"/>
        </w:rPr>
        <w:t>基金管理人承诺以诚实信用、勤勉尽责的原则管理和运用基金资产，但不保证本基金一定盈利，也不保证最低收益。基金的过往业绩并不预示其未来表现，基金管理人管理的其他基金的业绩并不构成对本基金业绩表现的保证。</w:t>
      </w:r>
    </w:p>
    <w:p w:rsidR="00562FFD" w:rsidRDefault="003317D3">
      <w:pPr>
        <w:widowControl/>
        <w:spacing w:line="360" w:lineRule="auto"/>
        <w:ind w:firstLineChars="221" w:firstLine="464"/>
        <w:jc w:val="center"/>
        <w:rPr>
          <w:b/>
          <w:sz w:val="28"/>
          <w:szCs w:val="28"/>
        </w:rPr>
      </w:pPr>
      <w:r>
        <w:rPr>
          <w:rFonts w:ascii="宋体" w:hAnsi="宋体"/>
        </w:rPr>
        <w:br w:type="page"/>
      </w:r>
      <w:r>
        <w:rPr>
          <w:b/>
          <w:sz w:val="28"/>
        </w:rPr>
        <w:lastRenderedPageBreak/>
        <w:t>目</w:t>
      </w:r>
      <w:r>
        <w:rPr>
          <w:rFonts w:hint="eastAsia"/>
          <w:b/>
          <w:sz w:val="28"/>
        </w:rPr>
        <w:t xml:space="preserve"> </w:t>
      </w:r>
      <w:r>
        <w:rPr>
          <w:b/>
          <w:sz w:val="28"/>
        </w:rPr>
        <w:t>录</w:t>
      </w:r>
    </w:p>
    <w:p w:rsidR="00562FFD" w:rsidRDefault="003317D3">
      <w:pPr>
        <w:pStyle w:val="10"/>
        <w:rPr>
          <w:rFonts w:asciiTheme="minorHAnsi" w:eastAsiaTheme="minorEastAsia" w:hAnsiTheme="minorHAnsi" w:cstheme="minorBidi"/>
          <w:b w:val="0"/>
          <w:kern w:val="2"/>
          <w:sz w:val="21"/>
          <w:szCs w:val="22"/>
          <w:lang w:val="en-US"/>
        </w:rPr>
      </w:pPr>
      <w:r>
        <w:rPr>
          <w:b w:val="0"/>
          <w:bCs/>
        </w:rPr>
        <w:fldChar w:fldCharType="begin"/>
      </w:r>
      <w:r>
        <w:rPr>
          <w:b w:val="0"/>
          <w:bCs/>
        </w:rPr>
        <w:instrText xml:space="preserve"> TOC \o "1-3" \h \z \u </w:instrText>
      </w:r>
      <w:r>
        <w:rPr>
          <w:b w:val="0"/>
          <w:bCs/>
        </w:rPr>
        <w:fldChar w:fldCharType="separate"/>
      </w:r>
      <w:hyperlink w:anchor="_Toc56692684" w:history="1">
        <w:r>
          <w:rPr>
            <w:rStyle w:val="af6"/>
          </w:rPr>
          <w:t>第一部分 绪言</w:t>
        </w:r>
        <w:r>
          <w:tab/>
        </w:r>
        <w:r>
          <w:fldChar w:fldCharType="begin"/>
        </w:r>
        <w:r>
          <w:instrText xml:space="preserve"> PAGEREF _Toc56692684 \h </w:instrText>
        </w:r>
        <w:r>
          <w:fldChar w:fldCharType="separate"/>
        </w:r>
        <w:r w:rsidR="008D34C2">
          <w:rPr>
            <w:noProof/>
          </w:rPr>
          <w:t>4</w:t>
        </w:r>
        <w:r>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85" w:history="1">
        <w:r w:rsidR="003317D3">
          <w:rPr>
            <w:rStyle w:val="af6"/>
          </w:rPr>
          <w:t>第二部分 释义</w:t>
        </w:r>
        <w:r w:rsidR="003317D3">
          <w:tab/>
        </w:r>
        <w:r w:rsidR="003317D3">
          <w:fldChar w:fldCharType="begin"/>
        </w:r>
        <w:r w:rsidR="003317D3">
          <w:instrText xml:space="preserve"> PAGEREF _Toc56692685 \h </w:instrText>
        </w:r>
        <w:r w:rsidR="003317D3">
          <w:fldChar w:fldCharType="separate"/>
        </w:r>
        <w:r w:rsidR="008D34C2">
          <w:rPr>
            <w:noProof/>
          </w:rPr>
          <w:t>5</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86" w:history="1">
        <w:r w:rsidR="003317D3">
          <w:rPr>
            <w:rStyle w:val="af6"/>
          </w:rPr>
          <w:t>第三部分 基金管理人</w:t>
        </w:r>
        <w:r w:rsidR="003317D3">
          <w:tab/>
        </w:r>
        <w:r w:rsidR="003317D3">
          <w:fldChar w:fldCharType="begin"/>
        </w:r>
        <w:r w:rsidR="003317D3">
          <w:instrText xml:space="preserve"> PAGEREF _Toc56692686 \h </w:instrText>
        </w:r>
        <w:r w:rsidR="003317D3">
          <w:fldChar w:fldCharType="separate"/>
        </w:r>
        <w:r w:rsidR="008D34C2">
          <w:rPr>
            <w:noProof/>
          </w:rPr>
          <w:t>11</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87" w:history="1">
        <w:r w:rsidR="003317D3">
          <w:rPr>
            <w:rStyle w:val="af6"/>
          </w:rPr>
          <w:t>第四部分 基金托管人</w:t>
        </w:r>
        <w:r w:rsidR="003317D3">
          <w:tab/>
        </w:r>
        <w:r w:rsidR="003317D3">
          <w:fldChar w:fldCharType="begin"/>
        </w:r>
        <w:r w:rsidR="003317D3">
          <w:instrText xml:space="preserve"> PAGEREF _Toc56692687 \h </w:instrText>
        </w:r>
        <w:r w:rsidR="003317D3">
          <w:fldChar w:fldCharType="separate"/>
        </w:r>
        <w:r w:rsidR="008D34C2">
          <w:rPr>
            <w:noProof/>
          </w:rPr>
          <w:t>22</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88" w:history="1">
        <w:r w:rsidR="003317D3">
          <w:rPr>
            <w:rStyle w:val="af6"/>
          </w:rPr>
          <w:t>第五部分 相关服务机构</w:t>
        </w:r>
        <w:r w:rsidR="003317D3">
          <w:tab/>
        </w:r>
        <w:r w:rsidR="003317D3">
          <w:fldChar w:fldCharType="begin"/>
        </w:r>
        <w:r w:rsidR="003317D3">
          <w:instrText xml:space="preserve"> PAGEREF _Toc56692688 \h </w:instrText>
        </w:r>
        <w:r w:rsidR="003317D3">
          <w:fldChar w:fldCharType="separate"/>
        </w:r>
        <w:r w:rsidR="008D34C2">
          <w:rPr>
            <w:noProof/>
          </w:rPr>
          <w:t>25</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89" w:history="1">
        <w:r w:rsidR="003317D3">
          <w:rPr>
            <w:rStyle w:val="af6"/>
            <w:kern w:val="0"/>
          </w:rPr>
          <w:t>第六部分 基金的募集</w:t>
        </w:r>
        <w:r w:rsidR="003317D3">
          <w:tab/>
        </w:r>
        <w:r w:rsidR="003317D3">
          <w:fldChar w:fldCharType="begin"/>
        </w:r>
        <w:r w:rsidR="003317D3">
          <w:instrText xml:space="preserve"> PAGEREF _Toc56692689 \h </w:instrText>
        </w:r>
        <w:r w:rsidR="003317D3">
          <w:fldChar w:fldCharType="separate"/>
        </w:r>
        <w:r w:rsidR="008D34C2">
          <w:rPr>
            <w:noProof/>
          </w:rPr>
          <w:t>27</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0" w:history="1">
        <w:r w:rsidR="003317D3">
          <w:rPr>
            <w:rStyle w:val="af6"/>
          </w:rPr>
          <w:t>第七部分 基金合同的生效</w:t>
        </w:r>
        <w:r w:rsidR="003317D3">
          <w:tab/>
        </w:r>
        <w:r w:rsidR="003317D3">
          <w:fldChar w:fldCharType="begin"/>
        </w:r>
        <w:r w:rsidR="003317D3">
          <w:instrText xml:space="preserve"> PAGEREF _Toc56692690 \h </w:instrText>
        </w:r>
        <w:r w:rsidR="003317D3">
          <w:fldChar w:fldCharType="separate"/>
        </w:r>
        <w:r w:rsidR="008D34C2">
          <w:rPr>
            <w:noProof/>
          </w:rPr>
          <w:t>32</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1" w:history="1">
        <w:r w:rsidR="003317D3">
          <w:rPr>
            <w:rStyle w:val="af6"/>
          </w:rPr>
          <w:t>第八部分 基金份额的申购与赎回</w:t>
        </w:r>
        <w:r w:rsidR="003317D3">
          <w:tab/>
        </w:r>
        <w:r w:rsidR="003317D3">
          <w:fldChar w:fldCharType="begin"/>
        </w:r>
        <w:r w:rsidR="003317D3">
          <w:instrText xml:space="preserve"> PAGEREF _Toc56692691 \h </w:instrText>
        </w:r>
        <w:r w:rsidR="003317D3">
          <w:fldChar w:fldCharType="separate"/>
        </w:r>
        <w:r w:rsidR="008D34C2">
          <w:rPr>
            <w:noProof/>
          </w:rPr>
          <w:t>33</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2" w:history="1">
        <w:r w:rsidR="003317D3">
          <w:rPr>
            <w:rStyle w:val="af6"/>
          </w:rPr>
          <w:t>第九部分 基金的投资</w:t>
        </w:r>
        <w:r w:rsidR="003317D3">
          <w:tab/>
        </w:r>
        <w:r w:rsidR="003317D3">
          <w:fldChar w:fldCharType="begin"/>
        </w:r>
        <w:r w:rsidR="003317D3">
          <w:instrText xml:space="preserve"> PAGEREF _Toc56692692 \h </w:instrText>
        </w:r>
        <w:r w:rsidR="003317D3">
          <w:fldChar w:fldCharType="separate"/>
        </w:r>
        <w:r w:rsidR="008D34C2">
          <w:rPr>
            <w:noProof/>
          </w:rPr>
          <w:t>45</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3" w:history="1">
        <w:r w:rsidR="003317D3">
          <w:rPr>
            <w:rStyle w:val="af6"/>
          </w:rPr>
          <w:t>第十部分 基金的财产</w:t>
        </w:r>
        <w:r w:rsidR="003317D3">
          <w:tab/>
        </w:r>
        <w:r w:rsidR="003317D3">
          <w:fldChar w:fldCharType="begin"/>
        </w:r>
        <w:r w:rsidR="003317D3">
          <w:instrText xml:space="preserve"> PAGEREF _Toc56692693 \h </w:instrText>
        </w:r>
        <w:r w:rsidR="003317D3">
          <w:fldChar w:fldCharType="separate"/>
        </w:r>
        <w:r w:rsidR="008D34C2">
          <w:rPr>
            <w:noProof/>
          </w:rPr>
          <w:t>57</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4" w:history="1">
        <w:r w:rsidR="003317D3">
          <w:rPr>
            <w:rStyle w:val="af6"/>
          </w:rPr>
          <w:t>第十一部分 基金资产的估值</w:t>
        </w:r>
        <w:r w:rsidR="003317D3">
          <w:tab/>
        </w:r>
        <w:r w:rsidR="003317D3">
          <w:fldChar w:fldCharType="begin"/>
        </w:r>
        <w:r w:rsidR="003317D3">
          <w:instrText xml:space="preserve"> PAGEREF _Toc56692694 \h </w:instrText>
        </w:r>
        <w:r w:rsidR="003317D3">
          <w:fldChar w:fldCharType="separate"/>
        </w:r>
        <w:r w:rsidR="008D34C2">
          <w:rPr>
            <w:noProof/>
          </w:rPr>
          <w:t>58</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5" w:history="1">
        <w:r w:rsidR="003317D3">
          <w:rPr>
            <w:rStyle w:val="af6"/>
          </w:rPr>
          <w:t>第十二部分 基金的收益与分配</w:t>
        </w:r>
        <w:r w:rsidR="003317D3">
          <w:tab/>
        </w:r>
        <w:r w:rsidR="003317D3">
          <w:fldChar w:fldCharType="begin"/>
        </w:r>
        <w:r w:rsidR="003317D3">
          <w:instrText xml:space="preserve"> PAGEREF _Toc56692695 \h </w:instrText>
        </w:r>
        <w:r w:rsidR="003317D3">
          <w:fldChar w:fldCharType="separate"/>
        </w:r>
        <w:r w:rsidR="008D34C2">
          <w:rPr>
            <w:noProof/>
          </w:rPr>
          <w:t>65</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6" w:history="1">
        <w:r w:rsidR="003317D3">
          <w:rPr>
            <w:rStyle w:val="af6"/>
          </w:rPr>
          <w:t>第十三部分 基金费用与税收</w:t>
        </w:r>
        <w:r w:rsidR="003317D3">
          <w:tab/>
        </w:r>
        <w:r w:rsidR="003317D3">
          <w:fldChar w:fldCharType="begin"/>
        </w:r>
        <w:r w:rsidR="003317D3">
          <w:instrText xml:space="preserve"> PAGEREF _Toc56692696 \h </w:instrText>
        </w:r>
        <w:r w:rsidR="003317D3">
          <w:fldChar w:fldCharType="separate"/>
        </w:r>
        <w:r w:rsidR="008D34C2">
          <w:rPr>
            <w:noProof/>
          </w:rPr>
          <w:t>67</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7" w:history="1">
        <w:r w:rsidR="003317D3">
          <w:rPr>
            <w:rStyle w:val="af6"/>
          </w:rPr>
          <w:t>第十四部分 基金的会计与审计</w:t>
        </w:r>
        <w:r w:rsidR="003317D3">
          <w:tab/>
        </w:r>
        <w:r w:rsidR="003317D3">
          <w:fldChar w:fldCharType="begin"/>
        </w:r>
        <w:r w:rsidR="003317D3">
          <w:instrText xml:space="preserve"> PAGEREF _Toc56692697 \h </w:instrText>
        </w:r>
        <w:r w:rsidR="003317D3">
          <w:fldChar w:fldCharType="separate"/>
        </w:r>
        <w:r w:rsidR="008D34C2">
          <w:rPr>
            <w:noProof/>
          </w:rPr>
          <w:t>70</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8" w:history="1">
        <w:r w:rsidR="003317D3">
          <w:rPr>
            <w:rStyle w:val="af6"/>
          </w:rPr>
          <w:t>第十五部分 基金的信息披露</w:t>
        </w:r>
        <w:r w:rsidR="003317D3">
          <w:tab/>
        </w:r>
        <w:r w:rsidR="003317D3">
          <w:fldChar w:fldCharType="begin"/>
        </w:r>
        <w:r w:rsidR="003317D3">
          <w:instrText xml:space="preserve"> PAGEREF _Toc56692698 \h </w:instrText>
        </w:r>
        <w:r w:rsidR="003317D3">
          <w:fldChar w:fldCharType="separate"/>
        </w:r>
        <w:r w:rsidR="008D34C2">
          <w:rPr>
            <w:noProof/>
          </w:rPr>
          <w:t>71</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699" w:history="1">
        <w:r w:rsidR="003317D3">
          <w:rPr>
            <w:rStyle w:val="af6"/>
          </w:rPr>
          <w:t>第十六部分 侧袋机制</w:t>
        </w:r>
        <w:r w:rsidR="003317D3">
          <w:tab/>
        </w:r>
        <w:r w:rsidR="003317D3">
          <w:fldChar w:fldCharType="begin"/>
        </w:r>
        <w:r w:rsidR="003317D3">
          <w:instrText xml:space="preserve"> PAGEREF _Toc56692699 \h </w:instrText>
        </w:r>
        <w:r w:rsidR="003317D3">
          <w:fldChar w:fldCharType="separate"/>
        </w:r>
        <w:r w:rsidR="008D34C2">
          <w:rPr>
            <w:noProof/>
          </w:rPr>
          <w:t>79</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0" w:history="1">
        <w:r w:rsidR="003317D3">
          <w:rPr>
            <w:rStyle w:val="af6"/>
          </w:rPr>
          <w:t>第十七部分 风险揭示</w:t>
        </w:r>
        <w:r w:rsidR="003317D3">
          <w:tab/>
        </w:r>
        <w:r w:rsidR="003317D3">
          <w:fldChar w:fldCharType="begin"/>
        </w:r>
        <w:r w:rsidR="003317D3">
          <w:instrText xml:space="preserve"> PAGEREF _Toc56692700 \h </w:instrText>
        </w:r>
        <w:r w:rsidR="003317D3">
          <w:fldChar w:fldCharType="separate"/>
        </w:r>
        <w:r w:rsidR="008D34C2">
          <w:rPr>
            <w:noProof/>
          </w:rPr>
          <w:t>83</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1" w:history="1">
        <w:r w:rsidR="003317D3">
          <w:rPr>
            <w:rStyle w:val="af6"/>
          </w:rPr>
          <w:t>第十八部分 基金合同的变更、终止与基金财产的清算</w:t>
        </w:r>
        <w:r w:rsidR="003317D3">
          <w:tab/>
        </w:r>
        <w:r w:rsidR="003317D3">
          <w:fldChar w:fldCharType="begin"/>
        </w:r>
        <w:r w:rsidR="003317D3">
          <w:instrText xml:space="preserve"> PAGEREF _Toc56692701 \h </w:instrText>
        </w:r>
        <w:r w:rsidR="003317D3">
          <w:fldChar w:fldCharType="separate"/>
        </w:r>
        <w:r w:rsidR="008D34C2">
          <w:rPr>
            <w:noProof/>
          </w:rPr>
          <w:t>89</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2" w:history="1">
        <w:r w:rsidR="003317D3">
          <w:rPr>
            <w:rStyle w:val="af6"/>
          </w:rPr>
          <w:t>第十九部分 基金合同的内容摘要</w:t>
        </w:r>
        <w:r w:rsidR="003317D3">
          <w:tab/>
        </w:r>
        <w:r w:rsidR="003317D3">
          <w:fldChar w:fldCharType="begin"/>
        </w:r>
        <w:r w:rsidR="003317D3">
          <w:instrText xml:space="preserve"> PAGEREF _Toc56692702 \h </w:instrText>
        </w:r>
        <w:r w:rsidR="003317D3">
          <w:fldChar w:fldCharType="separate"/>
        </w:r>
        <w:r w:rsidR="008D34C2">
          <w:rPr>
            <w:noProof/>
          </w:rPr>
          <w:t>91</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3" w:history="1">
        <w:r w:rsidR="003317D3">
          <w:rPr>
            <w:rStyle w:val="af6"/>
          </w:rPr>
          <w:t>第二十部分 基金托管协议的内容摘要</w:t>
        </w:r>
        <w:r w:rsidR="003317D3">
          <w:tab/>
        </w:r>
        <w:r w:rsidR="003317D3">
          <w:fldChar w:fldCharType="begin"/>
        </w:r>
        <w:r w:rsidR="003317D3">
          <w:instrText xml:space="preserve"> PAGEREF _Toc56692703 \h </w:instrText>
        </w:r>
        <w:r w:rsidR="003317D3">
          <w:fldChar w:fldCharType="separate"/>
        </w:r>
        <w:r w:rsidR="008D34C2">
          <w:rPr>
            <w:noProof/>
          </w:rPr>
          <w:t>109</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4" w:history="1">
        <w:r w:rsidR="003317D3">
          <w:rPr>
            <w:rStyle w:val="af6"/>
          </w:rPr>
          <w:t>第二十一部分 对基金份额持有人的服务</w:t>
        </w:r>
        <w:r w:rsidR="003317D3">
          <w:tab/>
        </w:r>
        <w:r w:rsidR="003317D3">
          <w:fldChar w:fldCharType="begin"/>
        </w:r>
        <w:r w:rsidR="003317D3">
          <w:instrText xml:space="preserve"> PAGEREF _Toc56692704 \h </w:instrText>
        </w:r>
        <w:r w:rsidR="003317D3">
          <w:fldChar w:fldCharType="separate"/>
        </w:r>
        <w:r w:rsidR="008D34C2">
          <w:rPr>
            <w:noProof/>
          </w:rPr>
          <w:t>125</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5" w:history="1">
        <w:r w:rsidR="003317D3">
          <w:rPr>
            <w:rStyle w:val="af6"/>
          </w:rPr>
          <w:t>第二十二部分 招募说明书存放及查阅方式</w:t>
        </w:r>
        <w:r w:rsidR="003317D3">
          <w:tab/>
        </w:r>
        <w:r w:rsidR="003317D3">
          <w:fldChar w:fldCharType="begin"/>
        </w:r>
        <w:r w:rsidR="003317D3">
          <w:instrText xml:space="preserve"> PAGEREF _Toc56692705 \h </w:instrText>
        </w:r>
        <w:r w:rsidR="003317D3">
          <w:fldChar w:fldCharType="separate"/>
        </w:r>
        <w:r w:rsidR="008D34C2">
          <w:rPr>
            <w:noProof/>
          </w:rPr>
          <w:t>127</w:t>
        </w:r>
        <w:r w:rsidR="003317D3">
          <w:fldChar w:fldCharType="end"/>
        </w:r>
      </w:hyperlink>
    </w:p>
    <w:p w:rsidR="00562FFD" w:rsidRDefault="00FE30C8">
      <w:pPr>
        <w:pStyle w:val="10"/>
        <w:rPr>
          <w:rFonts w:asciiTheme="minorHAnsi" w:eastAsiaTheme="minorEastAsia" w:hAnsiTheme="minorHAnsi" w:cstheme="minorBidi"/>
          <w:b w:val="0"/>
          <w:kern w:val="2"/>
          <w:sz w:val="21"/>
          <w:szCs w:val="22"/>
          <w:lang w:val="en-US"/>
        </w:rPr>
      </w:pPr>
      <w:hyperlink w:anchor="_Toc56692706" w:history="1">
        <w:r w:rsidR="003317D3">
          <w:rPr>
            <w:rStyle w:val="af6"/>
          </w:rPr>
          <w:t>第二十三部分 备查文件</w:t>
        </w:r>
        <w:r w:rsidR="003317D3">
          <w:tab/>
        </w:r>
        <w:r w:rsidR="003317D3">
          <w:fldChar w:fldCharType="begin"/>
        </w:r>
        <w:r w:rsidR="003317D3">
          <w:instrText xml:space="preserve"> PAGEREF _Toc56692706 \h </w:instrText>
        </w:r>
        <w:r w:rsidR="003317D3">
          <w:fldChar w:fldCharType="separate"/>
        </w:r>
        <w:r w:rsidR="008D34C2">
          <w:rPr>
            <w:noProof/>
          </w:rPr>
          <w:t>128</w:t>
        </w:r>
        <w:r w:rsidR="003317D3">
          <w:fldChar w:fldCharType="end"/>
        </w:r>
      </w:hyperlink>
    </w:p>
    <w:p w:rsidR="00562FFD" w:rsidRDefault="003317D3">
      <w:pPr>
        <w:pStyle w:val="af0"/>
      </w:pPr>
      <w:r>
        <w:rPr>
          <w:b w:val="0"/>
          <w:bCs/>
          <w:szCs w:val="28"/>
        </w:rPr>
        <w:fldChar w:fldCharType="end"/>
      </w:r>
      <w:bookmarkStart w:id="10" w:name="_Toc164766360"/>
      <w:r>
        <w:br w:type="page"/>
      </w:r>
      <w:bookmarkStart w:id="11" w:name="_Toc56692684"/>
      <w:bookmarkStart w:id="12" w:name="_Toc34222292"/>
      <w:r>
        <w:rPr>
          <w:rFonts w:hint="eastAsia"/>
          <w:szCs w:val="28"/>
        </w:rPr>
        <w:lastRenderedPageBreak/>
        <w:t>第一部分 绪言</w:t>
      </w:r>
      <w:bookmarkEnd w:id="10"/>
      <w:bookmarkEnd w:id="11"/>
      <w:bookmarkEnd w:id="12"/>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天弘永利优佳混合型证券投资基金招募说明书》（以下简称“招募说明书”或“本招募说明书”）依照《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w:t>
      </w:r>
      <w:r>
        <w:rPr>
          <w:rFonts w:ascii="宋体" w:hAnsi="宋体" w:hint="eastAsia"/>
          <w:bCs/>
          <w:sz w:val="24"/>
        </w:rPr>
        <w:t>、</w:t>
      </w:r>
      <w:r>
        <w:rPr>
          <w:rFonts w:ascii="宋体" w:hAnsi="宋体"/>
          <w:bCs/>
          <w:sz w:val="24"/>
        </w:rPr>
        <w:t>《</w:t>
      </w:r>
      <w:r>
        <w:rPr>
          <w:rFonts w:ascii="宋体" w:hAnsi="宋体" w:hint="eastAsia"/>
          <w:bCs/>
          <w:sz w:val="24"/>
        </w:rPr>
        <w:t>公开</w:t>
      </w:r>
      <w:r>
        <w:rPr>
          <w:rFonts w:ascii="宋体" w:hAnsi="宋体"/>
          <w:bCs/>
          <w:sz w:val="24"/>
        </w:rPr>
        <w:t>募集开放式证券投资基金流动性风险管理规定</w:t>
      </w:r>
      <w:r>
        <w:rPr>
          <w:rFonts w:ascii="宋体" w:hAnsi="宋体" w:hint="eastAsia"/>
          <w:bCs/>
          <w:sz w:val="24"/>
        </w:rPr>
        <w:t>》（</w:t>
      </w:r>
      <w:r>
        <w:rPr>
          <w:rFonts w:ascii="宋体" w:hAnsi="宋体"/>
          <w:bCs/>
          <w:sz w:val="24"/>
        </w:rPr>
        <w:t>以下简称“《流动性风险管理规定》”</w:t>
      </w:r>
      <w:r>
        <w:rPr>
          <w:rFonts w:ascii="宋体" w:hAnsi="宋体" w:hint="eastAsia"/>
          <w:color w:val="000000"/>
          <w:sz w:val="24"/>
        </w:rPr>
        <w:t>以及《天弘永利优佳混合型证券投资基金基金合同》（以下简称“基金合同”）编写。</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本基金管理人承诺本招募说明书不存在任何虚假记载、误导性陈述或重大遗漏，并对其真实性、准确性、完整性承担法律责任。</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本基金是根据本招募说明书所载明的资料申请募集的。本基金管理人没有委托或授权任何其他人提供未在本招募说明书中载明的信息，或对本招募说明书作任何解释或者说明。</w:t>
      </w:r>
    </w:p>
    <w:p w:rsidR="00562FFD" w:rsidRDefault="003317D3">
      <w:pPr>
        <w:spacing w:line="360" w:lineRule="auto"/>
        <w:ind w:firstLineChars="200" w:firstLine="480"/>
        <w:rPr>
          <w:rFonts w:ascii="宋体" w:hAnsi="宋体"/>
          <w:b/>
          <w:color w:val="000000"/>
          <w:sz w:val="24"/>
        </w:rPr>
      </w:pPr>
      <w:r>
        <w:rPr>
          <w:rFonts w:ascii="宋体" w:hAnsi="宋体" w:hint="eastAsia"/>
          <w:color w:val="000000"/>
          <w:sz w:val="24"/>
        </w:rPr>
        <w:t>本招募说明书根据本基金的基金合同编写，并经中国证监会注册。基金合同是约定基金合同当事人之间权利、义务的法律文件。基金</w:t>
      </w:r>
      <w:proofErr w:type="gramStart"/>
      <w:r>
        <w:rPr>
          <w:rFonts w:ascii="宋体" w:hAnsi="宋体" w:hint="eastAsia"/>
          <w:color w:val="000000"/>
          <w:sz w:val="24"/>
        </w:rPr>
        <w:t>投资者自依基金</w:t>
      </w:r>
      <w:proofErr w:type="gramEnd"/>
      <w:r>
        <w:rPr>
          <w:rFonts w:ascii="宋体" w:hAnsi="宋体" w:hint="eastAsia"/>
          <w:color w:val="00000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562FFD" w:rsidRDefault="003317D3">
      <w:pPr>
        <w:pStyle w:val="af0"/>
        <w:rPr>
          <w:szCs w:val="28"/>
        </w:rPr>
      </w:pPr>
      <w:bookmarkStart w:id="13" w:name="_Toc164766361"/>
      <w:r>
        <w:rPr>
          <w:sz w:val="24"/>
          <w:szCs w:val="24"/>
        </w:rPr>
        <w:br w:type="page"/>
      </w:r>
      <w:bookmarkStart w:id="14" w:name="_Toc56692685"/>
      <w:bookmarkStart w:id="15" w:name="_Toc34222293"/>
      <w:r>
        <w:rPr>
          <w:rFonts w:hint="eastAsia"/>
          <w:szCs w:val="28"/>
        </w:rPr>
        <w:lastRenderedPageBreak/>
        <w:t>第二部分 释义</w:t>
      </w:r>
      <w:bookmarkEnd w:id="13"/>
      <w:bookmarkEnd w:id="14"/>
      <w:bookmarkEnd w:id="15"/>
    </w:p>
    <w:p w:rsidR="00562FFD" w:rsidRDefault="003317D3">
      <w:pPr>
        <w:spacing w:line="360" w:lineRule="auto"/>
        <w:ind w:firstLineChars="200" w:firstLine="480"/>
        <w:rPr>
          <w:rFonts w:ascii="宋体" w:hAnsi="宋体"/>
          <w:sz w:val="24"/>
        </w:rPr>
      </w:pPr>
      <w:bookmarkStart w:id="16" w:name="_Toc164766362"/>
      <w:r>
        <w:rPr>
          <w:rFonts w:ascii="宋体" w:hAnsi="宋体"/>
          <w:sz w:val="24"/>
        </w:rPr>
        <w:t>在本</w:t>
      </w:r>
      <w:r>
        <w:rPr>
          <w:rFonts w:ascii="宋体" w:hAnsi="宋体" w:hint="eastAsia"/>
          <w:sz w:val="24"/>
        </w:rPr>
        <w:t>招募说明书</w:t>
      </w:r>
      <w:r>
        <w:rPr>
          <w:rFonts w:ascii="宋体" w:hAnsi="宋体"/>
          <w:sz w:val="24"/>
        </w:rPr>
        <w:t>中，除非文意另有所指，下列词语或简称具有如下含义：</w:t>
      </w:r>
    </w:p>
    <w:p w:rsidR="00562FFD" w:rsidRDefault="003317D3">
      <w:pPr>
        <w:spacing w:line="360" w:lineRule="auto"/>
        <w:ind w:firstLineChars="200" w:firstLine="480"/>
        <w:rPr>
          <w:rFonts w:ascii="宋体" w:hAnsi="宋体"/>
          <w:sz w:val="24"/>
        </w:rPr>
      </w:pPr>
      <w:r>
        <w:rPr>
          <w:rFonts w:ascii="宋体" w:hAnsi="宋体" w:hint="eastAsia"/>
          <w:sz w:val="24"/>
        </w:rPr>
        <w:t>1、基金或本基金：指</w:t>
      </w:r>
      <w:proofErr w:type="gramStart"/>
      <w:r>
        <w:rPr>
          <w:rFonts w:ascii="宋体" w:hAnsi="宋体" w:hint="eastAsia"/>
          <w:sz w:val="24"/>
        </w:rPr>
        <w:t>天弘永利优佳</w:t>
      </w:r>
      <w:proofErr w:type="gramEnd"/>
      <w:r>
        <w:rPr>
          <w:rFonts w:ascii="宋体" w:hAnsi="宋体" w:hint="eastAsia"/>
          <w:sz w:val="24"/>
        </w:rPr>
        <w:t>混合型证券投资基金</w:t>
      </w:r>
    </w:p>
    <w:p w:rsidR="00562FFD" w:rsidRDefault="003317D3">
      <w:pPr>
        <w:spacing w:line="360" w:lineRule="auto"/>
        <w:ind w:firstLineChars="200" w:firstLine="480"/>
        <w:rPr>
          <w:rFonts w:ascii="宋体" w:hAnsi="宋体"/>
          <w:sz w:val="24"/>
        </w:rPr>
      </w:pPr>
      <w:r>
        <w:rPr>
          <w:rFonts w:ascii="宋体" w:hAnsi="宋体" w:hint="eastAsia"/>
          <w:sz w:val="24"/>
        </w:rPr>
        <w:t>2、基金管理人：指</w:t>
      </w:r>
      <w:proofErr w:type="gramStart"/>
      <w:r>
        <w:rPr>
          <w:rFonts w:ascii="宋体" w:hAnsi="宋体" w:hint="eastAsia"/>
          <w:sz w:val="24"/>
        </w:rPr>
        <w:t>天弘基金</w:t>
      </w:r>
      <w:proofErr w:type="gramEnd"/>
      <w:r>
        <w:rPr>
          <w:rFonts w:ascii="宋体" w:hAnsi="宋体" w:hint="eastAsia"/>
          <w:sz w:val="24"/>
        </w:rPr>
        <w:t>管理有限公司</w:t>
      </w:r>
    </w:p>
    <w:p w:rsidR="00562FFD" w:rsidRDefault="003317D3">
      <w:pPr>
        <w:spacing w:line="360" w:lineRule="auto"/>
        <w:ind w:firstLineChars="200" w:firstLine="480"/>
        <w:rPr>
          <w:rFonts w:ascii="宋体" w:hAnsi="宋体"/>
          <w:sz w:val="24"/>
        </w:rPr>
      </w:pPr>
      <w:r>
        <w:rPr>
          <w:rFonts w:ascii="宋体" w:hAnsi="宋体" w:hint="eastAsia"/>
          <w:sz w:val="24"/>
        </w:rPr>
        <w:t>3、基金托管人：指北京银行股份有限公司</w:t>
      </w:r>
    </w:p>
    <w:p w:rsidR="00562FFD" w:rsidRDefault="003317D3">
      <w:pPr>
        <w:spacing w:line="360" w:lineRule="auto"/>
        <w:ind w:firstLineChars="200" w:firstLine="480"/>
        <w:rPr>
          <w:rFonts w:ascii="宋体" w:hAnsi="宋体"/>
          <w:sz w:val="24"/>
        </w:rPr>
      </w:pPr>
      <w:r>
        <w:rPr>
          <w:rFonts w:ascii="宋体" w:hAnsi="宋体" w:hint="eastAsia"/>
          <w:sz w:val="24"/>
        </w:rPr>
        <w:t>4、基金合同：指《天弘永利优佳混合型证券投资基金基金合同》及对基金合同的任何有效修订和补充</w:t>
      </w:r>
    </w:p>
    <w:p w:rsidR="00562FFD" w:rsidRDefault="003317D3">
      <w:pPr>
        <w:spacing w:line="360" w:lineRule="auto"/>
        <w:ind w:firstLineChars="200" w:firstLine="480"/>
        <w:rPr>
          <w:rFonts w:ascii="宋体" w:hAnsi="宋体"/>
          <w:sz w:val="24"/>
        </w:rPr>
      </w:pPr>
      <w:r>
        <w:rPr>
          <w:rFonts w:ascii="宋体" w:hAnsi="宋体" w:hint="eastAsia"/>
          <w:sz w:val="24"/>
        </w:rPr>
        <w:t>5、托管协议：指基金管理人与基金托管人就本基金签订之《天弘永利优佳混合型证券投资基金托管协议》及对该托管协议的任何有效修订和补充</w:t>
      </w:r>
    </w:p>
    <w:p w:rsidR="00562FFD" w:rsidRDefault="003317D3">
      <w:pPr>
        <w:spacing w:line="360" w:lineRule="auto"/>
        <w:ind w:firstLineChars="200" w:firstLine="480"/>
        <w:rPr>
          <w:rFonts w:ascii="宋体" w:hAnsi="宋体"/>
          <w:sz w:val="24"/>
        </w:rPr>
      </w:pPr>
      <w:r>
        <w:rPr>
          <w:rFonts w:ascii="宋体" w:hAnsi="宋体" w:hint="eastAsia"/>
          <w:sz w:val="24"/>
        </w:rPr>
        <w:t>6、招募说明书或本招募说明书：指《天弘永利优佳混合型证券投资基金招募说明书》及其更新</w:t>
      </w:r>
    </w:p>
    <w:p w:rsidR="00562FFD" w:rsidRDefault="003317D3">
      <w:pPr>
        <w:spacing w:line="360" w:lineRule="auto"/>
        <w:ind w:firstLineChars="200" w:firstLine="480"/>
        <w:rPr>
          <w:rFonts w:ascii="宋体" w:hAnsi="宋体"/>
          <w:sz w:val="24"/>
        </w:rPr>
      </w:pPr>
      <w:r>
        <w:rPr>
          <w:rFonts w:ascii="宋体" w:hAnsi="宋体" w:hint="eastAsia"/>
          <w:sz w:val="24"/>
        </w:rPr>
        <w:t>7、基金产品资料概要：指《天弘永利优佳混合型证券投资基金基金产品资料概要》及其更新</w:t>
      </w:r>
    </w:p>
    <w:p w:rsidR="00562FFD" w:rsidRDefault="003317D3">
      <w:pPr>
        <w:spacing w:line="360" w:lineRule="auto"/>
        <w:ind w:firstLineChars="200" w:firstLine="480"/>
        <w:rPr>
          <w:rFonts w:ascii="宋体" w:hAnsi="宋体"/>
          <w:sz w:val="24"/>
        </w:rPr>
      </w:pPr>
      <w:r>
        <w:rPr>
          <w:rFonts w:ascii="宋体" w:hAnsi="宋体" w:hint="eastAsia"/>
          <w:sz w:val="24"/>
        </w:rPr>
        <w:t>8、基金份额发售公告：指《天弘永利优佳混合型证券投资基金基金份额发售公告》</w:t>
      </w:r>
    </w:p>
    <w:p w:rsidR="00562FFD" w:rsidRDefault="003317D3">
      <w:pPr>
        <w:spacing w:line="360" w:lineRule="auto"/>
        <w:ind w:firstLineChars="200" w:firstLine="480"/>
        <w:rPr>
          <w:rFonts w:ascii="宋体" w:hAnsi="宋体"/>
          <w:bCs/>
          <w:sz w:val="24"/>
        </w:rPr>
      </w:pPr>
      <w:r>
        <w:rPr>
          <w:rFonts w:ascii="宋体" w:hAnsi="宋体" w:hint="eastAsia"/>
          <w:bCs/>
          <w:sz w:val="24"/>
        </w:rPr>
        <w:t>9、法律法规：指中国现行有效并公布实施的法律、行政法规、规范性文件、司法解释、行政规章以及其他对基金合同当事人有约束力的决定、决议、通知等</w:t>
      </w:r>
    </w:p>
    <w:p w:rsidR="00562FFD" w:rsidRDefault="003317D3">
      <w:pPr>
        <w:spacing w:line="360" w:lineRule="auto"/>
        <w:ind w:firstLineChars="200" w:firstLine="480"/>
        <w:rPr>
          <w:rFonts w:ascii="宋体" w:hAnsi="宋体"/>
          <w:bCs/>
          <w:sz w:val="24"/>
        </w:rPr>
      </w:pPr>
      <w:r>
        <w:rPr>
          <w:rFonts w:ascii="宋体" w:hAnsi="宋体" w:hint="eastAsia"/>
          <w:bCs/>
          <w:sz w:val="24"/>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562FFD" w:rsidRDefault="003317D3">
      <w:pPr>
        <w:spacing w:line="360" w:lineRule="auto"/>
        <w:ind w:firstLineChars="200" w:firstLine="480"/>
        <w:rPr>
          <w:rFonts w:ascii="宋体" w:hAnsi="宋体"/>
          <w:bCs/>
          <w:sz w:val="24"/>
        </w:rPr>
      </w:pPr>
      <w:r>
        <w:rPr>
          <w:rFonts w:ascii="宋体" w:hAnsi="宋体" w:hint="eastAsia"/>
          <w:bCs/>
          <w:sz w:val="24"/>
        </w:rPr>
        <w:t>11、《销售办法》：指中国证监会2020年8月28日颁布、同年10月1日实施的《公开募集证券投资基金销售机构监督管理办法》及颁布机关对其不时做出的修订</w:t>
      </w:r>
    </w:p>
    <w:p w:rsidR="00562FFD" w:rsidRDefault="003317D3">
      <w:pPr>
        <w:spacing w:line="360" w:lineRule="auto"/>
        <w:ind w:firstLineChars="200" w:firstLine="480"/>
        <w:rPr>
          <w:rFonts w:ascii="宋体" w:hAnsi="宋体"/>
          <w:bCs/>
          <w:sz w:val="24"/>
        </w:rPr>
      </w:pPr>
      <w:r>
        <w:rPr>
          <w:rFonts w:ascii="宋体" w:hAnsi="宋体" w:hint="eastAsia"/>
          <w:bCs/>
          <w:sz w:val="24"/>
        </w:rPr>
        <w:t>12、《信息披露办法》：指中国证监会2019年7月26日颁布、同年9月1日实施的，并经2020年3月20日中国证监会《关于修改部分证券期货规章的决定》修正的《公开募集证券投资基金信息披露管理办法》及颁布机关对其不时做</w:t>
      </w:r>
      <w:r>
        <w:rPr>
          <w:rFonts w:ascii="宋体" w:hAnsi="宋体" w:hint="eastAsia"/>
          <w:bCs/>
          <w:sz w:val="24"/>
        </w:rPr>
        <w:lastRenderedPageBreak/>
        <w:t>出的修订</w:t>
      </w:r>
    </w:p>
    <w:p w:rsidR="00562FFD" w:rsidRDefault="003317D3">
      <w:pPr>
        <w:spacing w:line="360" w:lineRule="auto"/>
        <w:ind w:firstLineChars="200" w:firstLine="480"/>
        <w:rPr>
          <w:rFonts w:ascii="宋体" w:hAnsi="宋体"/>
          <w:bCs/>
          <w:sz w:val="24"/>
        </w:rPr>
      </w:pPr>
      <w:r>
        <w:rPr>
          <w:rFonts w:ascii="宋体" w:hAnsi="宋体" w:hint="eastAsia"/>
          <w:bCs/>
          <w:sz w:val="24"/>
        </w:rPr>
        <w:t>13、《运作办法》：指中国证监会2014年7月7日颁布、同年8月8日实施的《公开募集证券投资基金运作管理办法》及颁布机关对其不时做出的修订</w:t>
      </w:r>
    </w:p>
    <w:p w:rsidR="00562FFD" w:rsidRDefault="003317D3">
      <w:pPr>
        <w:spacing w:line="360" w:lineRule="auto"/>
        <w:ind w:firstLineChars="200" w:firstLine="480"/>
        <w:rPr>
          <w:rFonts w:ascii="宋体" w:hAnsi="宋体"/>
          <w:bCs/>
          <w:sz w:val="24"/>
        </w:rPr>
      </w:pPr>
      <w:r>
        <w:rPr>
          <w:rFonts w:ascii="宋体" w:hAnsi="宋体" w:hint="eastAsia"/>
          <w:bCs/>
          <w:sz w:val="24"/>
        </w:rPr>
        <w:t>14、《流动性风险管理规定》：指中国证监会2017年8月31日颁布、同年10月1日实施的《公开募集开放式证券投资基金流动性风险管理规定》及颁布机关对其不时做出的修订</w:t>
      </w:r>
    </w:p>
    <w:p w:rsidR="00562FFD" w:rsidRDefault="003317D3">
      <w:pPr>
        <w:spacing w:line="360" w:lineRule="auto"/>
        <w:ind w:firstLineChars="200" w:firstLine="480"/>
        <w:rPr>
          <w:rFonts w:ascii="宋体" w:hAnsi="宋体"/>
          <w:bCs/>
          <w:sz w:val="24"/>
        </w:rPr>
      </w:pPr>
      <w:r>
        <w:rPr>
          <w:rFonts w:ascii="宋体" w:hAnsi="宋体" w:hint="eastAsia"/>
          <w:bCs/>
          <w:sz w:val="24"/>
        </w:rPr>
        <w:t>15、港股通：指内地投资者经由境内证券交易所设立的证券交易服务公司，向香港联合交易所进行申报，买卖规定范围内的香港联合交易所上市的股票的交易机制，或有权机构对该交易机制的修改或调整</w:t>
      </w:r>
    </w:p>
    <w:p w:rsidR="00562FFD" w:rsidRDefault="003317D3">
      <w:pPr>
        <w:spacing w:line="360" w:lineRule="auto"/>
        <w:ind w:firstLineChars="200" w:firstLine="480"/>
        <w:rPr>
          <w:rFonts w:ascii="宋体" w:hAnsi="宋体"/>
          <w:bCs/>
          <w:sz w:val="24"/>
        </w:rPr>
      </w:pPr>
      <w:r>
        <w:rPr>
          <w:rFonts w:ascii="宋体" w:hAnsi="宋体" w:hint="eastAsia"/>
          <w:bCs/>
          <w:sz w:val="24"/>
        </w:rPr>
        <w:t>16、中国证监会：指中国证券监督管理委员会</w:t>
      </w:r>
    </w:p>
    <w:p w:rsidR="00562FFD" w:rsidRDefault="003317D3">
      <w:pPr>
        <w:spacing w:line="360" w:lineRule="auto"/>
        <w:ind w:firstLineChars="200" w:firstLine="480"/>
        <w:rPr>
          <w:rFonts w:ascii="宋体" w:hAnsi="宋体"/>
          <w:bCs/>
          <w:sz w:val="24"/>
        </w:rPr>
      </w:pPr>
      <w:r>
        <w:rPr>
          <w:rFonts w:ascii="宋体" w:hAnsi="宋体" w:hint="eastAsia"/>
          <w:bCs/>
          <w:sz w:val="24"/>
        </w:rPr>
        <w:t>17、银行业监督管理机构：指中国人民银行和/或中国银行保险监督管理委员会</w:t>
      </w:r>
    </w:p>
    <w:p w:rsidR="00562FFD" w:rsidRDefault="003317D3">
      <w:pPr>
        <w:spacing w:line="360" w:lineRule="auto"/>
        <w:ind w:firstLineChars="200" w:firstLine="480"/>
        <w:rPr>
          <w:rFonts w:ascii="宋体" w:hAnsi="宋体"/>
          <w:bCs/>
          <w:sz w:val="24"/>
        </w:rPr>
      </w:pPr>
      <w:r>
        <w:rPr>
          <w:rFonts w:ascii="宋体" w:hAnsi="宋体" w:hint="eastAsia"/>
          <w:bCs/>
          <w:sz w:val="24"/>
        </w:rPr>
        <w:t>18、基金合同当事人：指受基金合同约束，根据基金合同享有权利并承担义务的法律主体，包括基金管理人、基金托管人和基金份额持有人</w:t>
      </w:r>
    </w:p>
    <w:p w:rsidR="00562FFD" w:rsidRDefault="003317D3">
      <w:pPr>
        <w:spacing w:line="360" w:lineRule="auto"/>
        <w:ind w:firstLineChars="200" w:firstLine="480"/>
        <w:rPr>
          <w:rFonts w:ascii="宋体" w:hAnsi="宋体"/>
          <w:bCs/>
          <w:sz w:val="24"/>
        </w:rPr>
      </w:pPr>
      <w:r>
        <w:rPr>
          <w:rFonts w:ascii="宋体" w:hAnsi="宋体" w:hint="eastAsia"/>
          <w:bCs/>
          <w:sz w:val="24"/>
        </w:rPr>
        <w:t>19、个人投资者：指依据有关法律法规规定可投资于证券投资基金的自然人</w:t>
      </w:r>
    </w:p>
    <w:p w:rsidR="00562FFD" w:rsidRDefault="003317D3">
      <w:pPr>
        <w:spacing w:line="360" w:lineRule="auto"/>
        <w:ind w:firstLineChars="200" w:firstLine="480"/>
        <w:rPr>
          <w:rFonts w:ascii="宋体" w:hAnsi="宋体"/>
          <w:bCs/>
          <w:sz w:val="24"/>
        </w:rPr>
      </w:pPr>
      <w:r>
        <w:rPr>
          <w:rFonts w:ascii="宋体" w:hAnsi="宋体" w:hint="eastAsia"/>
          <w:bCs/>
          <w:sz w:val="24"/>
        </w:rPr>
        <w:t>20、机构投资者：指依法可以投资证券投资基金的、在中华人民共和国境内合法登记并存续或经有关政府部门批准设立并存续的企业法人、事业法人、社会团体或其他组织</w:t>
      </w:r>
    </w:p>
    <w:p w:rsidR="00562FFD" w:rsidRDefault="003317D3">
      <w:pPr>
        <w:spacing w:line="360" w:lineRule="auto"/>
        <w:ind w:firstLineChars="200" w:firstLine="480"/>
        <w:rPr>
          <w:rFonts w:ascii="宋体" w:hAnsi="宋体"/>
          <w:bCs/>
          <w:sz w:val="24"/>
        </w:rPr>
      </w:pPr>
      <w:r>
        <w:rPr>
          <w:rFonts w:ascii="宋体" w:hAnsi="宋体" w:hint="eastAsia"/>
          <w:bCs/>
          <w:sz w:val="24"/>
        </w:rPr>
        <w:t>21、合格境外机构投资者：指符合《合格境外机构投资者和人民币合格境外机构投资者境内证券期货投资管理办法》及相关法律法规规定可以投资于在中国境内依法募集的证券投资基金的中国境外的机构投资者</w:t>
      </w:r>
    </w:p>
    <w:p w:rsidR="00562FFD" w:rsidRDefault="003317D3">
      <w:pPr>
        <w:spacing w:line="360" w:lineRule="auto"/>
        <w:ind w:firstLineChars="200" w:firstLine="480"/>
        <w:rPr>
          <w:rFonts w:ascii="宋体" w:hAnsi="宋体"/>
          <w:bCs/>
          <w:sz w:val="24"/>
        </w:rPr>
      </w:pPr>
      <w:r>
        <w:rPr>
          <w:rFonts w:ascii="宋体" w:hAnsi="宋体" w:hint="eastAsia"/>
          <w:bCs/>
          <w:sz w:val="24"/>
        </w:rPr>
        <w:t>22、人民币合格境外机构投资者：指按照《合格境外机构投资者和人民币合格境外机构投资者境内证券期货投资管理办法》及相关法律法规规定，运用来自境外的人民币资金进行境内证券投资的境外法人</w:t>
      </w:r>
    </w:p>
    <w:p w:rsidR="00562FFD" w:rsidRDefault="003317D3">
      <w:pPr>
        <w:spacing w:line="360" w:lineRule="auto"/>
        <w:ind w:firstLineChars="200" w:firstLine="480"/>
        <w:rPr>
          <w:rFonts w:ascii="宋体" w:hAnsi="宋体"/>
          <w:bCs/>
          <w:sz w:val="24"/>
        </w:rPr>
      </w:pPr>
      <w:r>
        <w:rPr>
          <w:rFonts w:ascii="宋体" w:hAnsi="宋体" w:hint="eastAsia"/>
          <w:bCs/>
          <w:sz w:val="24"/>
        </w:rPr>
        <w:t>23、投资人、投资者：指个人投资者、机构投资者、合格境外机构投资者和人民币合格境外机构投资者以及法律法规或中国证监会允许购买证券投资基金的其他投资人的合称</w:t>
      </w:r>
    </w:p>
    <w:p w:rsidR="00562FFD" w:rsidRDefault="003317D3">
      <w:pPr>
        <w:spacing w:line="360" w:lineRule="auto"/>
        <w:ind w:firstLineChars="200" w:firstLine="480"/>
        <w:rPr>
          <w:rFonts w:ascii="宋体" w:hAnsi="宋体"/>
          <w:bCs/>
          <w:sz w:val="24"/>
        </w:rPr>
      </w:pPr>
      <w:r>
        <w:rPr>
          <w:rFonts w:ascii="宋体" w:hAnsi="宋体" w:hint="eastAsia"/>
          <w:bCs/>
          <w:sz w:val="24"/>
        </w:rPr>
        <w:t>24、基金份额持有人：指依基金合同和招募说明书合法取得基金份额的投资人</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25、基金销售业务：指基金管理人或销售机构宣传推介基金，发售基金份额，办理基金份额的申购、赎回、转换、转托管及定期定额投资等业务</w:t>
      </w:r>
    </w:p>
    <w:p w:rsidR="00562FFD" w:rsidRDefault="003317D3">
      <w:pPr>
        <w:spacing w:line="360" w:lineRule="auto"/>
        <w:ind w:firstLineChars="200" w:firstLine="480"/>
        <w:rPr>
          <w:rFonts w:ascii="宋体" w:hAnsi="宋体"/>
          <w:bCs/>
          <w:sz w:val="24"/>
        </w:rPr>
      </w:pPr>
      <w:r>
        <w:rPr>
          <w:rFonts w:ascii="宋体" w:hAnsi="宋体" w:hint="eastAsia"/>
          <w:bCs/>
          <w:sz w:val="24"/>
        </w:rPr>
        <w:t>26、销售机构：指</w:t>
      </w:r>
      <w:proofErr w:type="gramStart"/>
      <w:r>
        <w:rPr>
          <w:rFonts w:ascii="宋体" w:hAnsi="宋体" w:hint="eastAsia"/>
          <w:bCs/>
          <w:sz w:val="24"/>
        </w:rPr>
        <w:t>天弘基金</w:t>
      </w:r>
      <w:proofErr w:type="gramEnd"/>
      <w:r>
        <w:rPr>
          <w:rFonts w:ascii="宋体" w:hAnsi="宋体" w:hint="eastAsia"/>
          <w:bCs/>
          <w:sz w:val="24"/>
        </w:rPr>
        <w:t>管理有限公司以及符合《销售办法》和中国证监会规定的其他条件，取得基金销售业务资格并与基金管理人签订了基金销售服务协议，办理基金销售业务的机构</w:t>
      </w:r>
    </w:p>
    <w:p w:rsidR="00562FFD" w:rsidRDefault="003317D3">
      <w:pPr>
        <w:spacing w:line="360" w:lineRule="auto"/>
        <w:ind w:firstLineChars="200" w:firstLine="480"/>
        <w:rPr>
          <w:rFonts w:ascii="宋体" w:hAnsi="宋体"/>
          <w:bCs/>
          <w:sz w:val="24"/>
        </w:rPr>
      </w:pPr>
      <w:r>
        <w:rPr>
          <w:rFonts w:ascii="宋体" w:hAnsi="宋体" w:hint="eastAsia"/>
          <w:bCs/>
          <w:sz w:val="24"/>
        </w:rPr>
        <w:t>27、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bCs/>
          <w:sz w:val="24"/>
        </w:rPr>
        <w:t>非交易</w:t>
      </w:r>
      <w:proofErr w:type="gramEnd"/>
      <w:r>
        <w:rPr>
          <w:rFonts w:ascii="宋体" w:hAnsi="宋体" w:hint="eastAsia"/>
          <w:bCs/>
          <w:sz w:val="24"/>
        </w:rPr>
        <w:t>过户等</w:t>
      </w:r>
    </w:p>
    <w:p w:rsidR="00562FFD" w:rsidRDefault="003317D3">
      <w:pPr>
        <w:spacing w:line="360" w:lineRule="auto"/>
        <w:ind w:firstLineChars="200" w:firstLine="480"/>
        <w:rPr>
          <w:rFonts w:ascii="宋体" w:hAnsi="宋体"/>
          <w:bCs/>
          <w:sz w:val="24"/>
        </w:rPr>
      </w:pPr>
      <w:r>
        <w:rPr>
          <w:rFonts w:ascii="宋体" w:hAnsi="宋体" w:hint="eastAsia"/>
          <w:bCs/>
          <w:sz w:val="24"/>
        </w:rPr>
        <w:t>28、登记机构：</w:t>
      </w:r>
      <w:proofErr w:type="gramStart"/>
      <w:r>
        <w:rPr>
          <w:rFonts w:ascii="宋体" w:hAnsi="宋体" w:hint="eastAsia"/>
          <w:bCs/>
          <w:sz w:val="24"/>
        </w:rPr>
        <w:t>指办理</w:t>
      </w:r>
      <w:proofErr w:type="gramEnd"/>
      <w:r>
        <w:rPr>
          <w:rFonts w:ascii="宋体" w:hAnsi="宋体" w:hint="eastAsia"/>
          <w:bCs/>
          <w:sz w:val="24"/>
        </w:rPr>
        <w:t>登记业务的机构。基金的登记机构为天</w:t>
      </w:r>
      <w:proofErr w:type="gramStart"/>
      <w:r>
        <w:rPr>
          <w:rFonts w:ascii="宋体" w:hAnsi="宋体" w:hint="eastAsia"/>
          <w:bCs/>
          <w:sz w:val="24"/>
        </w:rPr>
        <w:t>弘</w:t>
      </w:r>
      <w:proofErr w:type="gramEnd"/>
      <w:r>
        <w:rPr>
          <w:rFonts w:ascii="宋体" w:hAnsi="宋体" w:hint="eastAsia"/>
          <w:bCs/>
          <w:sz w:val="24"/>
        </w:rPr>
        <w:t>基金管理有限公司或接受</w:t>
      </w:r>
      <w:proofErr w:type="gramStart"/>
      <w:r>
        <w:rPr>
          <w:rFonts w:ascii="宋体" w:hAnsi="宋体" w:hint="eastAsia"/>
          <w:bCs/>
          <w:sz w:val="24"/>
        </w:rPr>
        <w:t>天弘基金</w:t>
      </w:r>
      <w:proofErr w:type="gramEnd"/>
      <w:r>
        <w:rPr>
          <w:rFonts w:ascii="宋体" w:hAnsi="宋体" w:hint="eastAsia"/>
          <w:bCs/>
          <w:sz w:val="24"/>
        </w:rPr>
        <w:t>管理有限公司委托代为办理登记业务的机构</w:t>
      </w:r>
    </w:p>
    <w:p w:rsidR="00562FFD" w:rsidRDefault="003317D3">
      <w:pPr>
        <w:spacing w:line="360" w:lineRule="auto"/>
        <w:ind w:firstLineChars="200" w:firstLine="480"/>
        <w:rPr>
          <w:rFonts w:ascii="宋体" w:hAnsi="宋体"/>
          <w:bCs/>
          <w:sz w:val="24"/>
        </w:rPr>
      </w:pPr>
      <w:r>
        <w:rPr>
          <w:rFonts w:ascii="宋体" w:hAnsi="宋体" w:hint="eastAsia"/>
          <w:bCs/>
          <w:sz w:val="24"/>
        </w:rPr>
        <w:t>29、基金账户：指登记机构为投资人开立的、记录其持有的、基金管理人所管理的基金份额余额及其变动情况的账户</w:t>
      </w:r>
    </w:p>
    <w:p w:rsidR="00562FFD" w:rsidRDefault="003317D3">
      <w:pPr>
        <w:spacing w:line="360" w:lineRule="auto"/>
        <w:ind w:firstLineChars="200" w:firstLine="480"/>
        <w:rPr>
          <w:rFonts w:ascii="宋体" w:hAnsi="宋体"/>
          <w:bCs/>
          <w:sz w:val="24"/>
        </w:rPr>
      </w:pPr>
      <w:r>
        <w:rPr>
          <w:rFonts w:ascii="宋体" w:hAnsi="宋体" w:hint="eastAsia"/>
          <w:bCs/>
          <w:sz w:val="24"/>
        </w:rPr>
        <w:t>30、基金交易账户：指销售机构为投资人开立的、记录投资人通过该销售机构办理认购、申购、赎回、转换、转托管及定期定额投资等业务而引起的基金份额变动及结余情况的账户</w:t>
      </w:r>
    </w:p>
    <w:p w:rsidR="00562FFD" w:rsidRDefault="003317D3">
      <w:pPr>
        <w:spacing w:line="360" w:lineRule="auto"/>
        <w:ind w:firstLineChars="200" w:firstLine="480"/>
        <w:rPr>
          <w:rFonts w:ascii="宋体" w:hAnsi="宋体"/>
          <w:bCs/>
          <w:sz w:val="24"/>
        </w:rPr>
      </w:pPr>
      <w:r>
        <w:rPr>
          <w:rFonts w:ascii="宋体" w:hAnsi="宋体" w:hint="eastAsia"/>
          <w:bCs/>
          <w:sz w:val="24"/>
        </w:rPr>
        <w:t>31、基金合同生效日：指基金募集达到法律法规规定及基金合同规定的条件，基金管理人向中国证监会办理基金备案手续完毕，并获得中国证监会书面确认的日期</w:t>
      </w:r>
    </w:p>
    <w:p w:rsidR="00562FFD" w:rsidRDefault="003317D3">
      <w:pPr>
        <w:spacing w:line="360" w:lineRule="auto"/>
        <w:ind w:firstLineChars="200" w:firstLine="480"/>
        <w:rPr>
          <w:rFonts w:ascii="宋体" w:hAnsi="宋体"/>
          <w:bCs/>
          <w:sz w:val="24"/>
        </w:rPr>
      </w:pPr>
      <w:r>
        <w:rPr>
          <w:rFonts w:ascii="宋体" w:hAnsi="宋体" w:hint="eastAsia"/>
          <w:bCs/>
          <w:sz w:val="24"/>
        </w:rPr>
        <w:t>32、基金合同终止日：指基金合同规定的基金合同终止事由出现后，基金财产清算完毕，清算结果报中国证监会备案并予以公告的日期</w:t>
      </w:r>
    </w:p>
    <w:p w:rsidR="00562FFD" w:rsidRDefault="003317D3">
      <w:pPr>
        <w:spacing w:line="360" w:lineRule="auto"/>
        <w:ind w:firstLineChars="200" w:firstLine="480"/>
        <w:rPr>
          <w:rFonts w:ascii="宋体" w:hAnsi="宋体"/>
          <w:bCs/>
          <w:sz w:val="24"/>
        </w:rPr>
      </w:pPr>
      <w:r>
        <w:rPr>
          <w:rFonts w:ascii="宋体" w:hAnsi="宋体" w:hint="eastAsia"/>
          <w:bCs/>
          <w:sz w:val="24"/>
        </w:rPr>
        <w:t>33、基金募集期：指自基金份额发售之日起至发售结束之日止的期间，最长不得超过3个月</w:t>
      </w:r>
    </w:p>
    <w:p w:rsidR="00562FFD" w:rsidRDefault="003317D3">
      <w:pPr>
        <w:spacing w:line="360" w:lineRule="auto"/>
        <w:ind w:firstLineChars="200" w:firstLine="480"/>
        <w:rPr>
          <w:rFonts w:ascii="宋体" w:hAnsi="宋体"/>
          <w:bCs/>
          <w:sz w:val="24"/>
        </w:rPr>
      </w:pPr>
      <w:r>
        <w:rPr>
          <w:rFonts w:ascii="宋体" w:hAnsi="宋体" w:hint="eastAsia"/>
          <w:bCs/>
          <w:sz w:val="24"/>
        </w:rPr>
        <w:t>34、存续期：指基金合同生效至终止之间的不定期期限</w:t>
      </w:r>
    </w:p>
    <w:p w:rsidR="00562FFD" w:rsidRDefault="003317D3">
      <w:pPr>
        <w:spacing w:line="360" w:lineRule="auto"/>
        <w:ind w:firstLineChars="200" w:firstLine="480"/>
        <w:rPr>
          <w:rFonts w:ascii="宋体" w:hAnsi="宋体"/>
          <w:bCs/>
          <w:sz w:val="24"/>
        </w:rPr>
      </w:pPr>
      <w:r>
        <w:rPr>
          <w:rFonts w:ascii="宋体" w:hAnsi="宋体" w:hint="eastAsia"/>
          <w:bCs/>
          <w:sz w:val="24"/>
        </w:rPr>
        <w:t>35、工作日：指上海证券交易所、深圳证券交易所的正常交易日</w:t>
      </w:r>
    </w:p>
    <w:p w:rsidR="00562FFD" w:rsidRDefault="003317D3">
      <w:pPr>
        <w:spacing w:line="360" w:lineRule="auto"/>
        <w:ind w:firstLineChars="200" w:firstLine="480"/>
        <w:rPr>
          <w:rFonts w:ascii="宋体" w:hAnsi="宋体"/>
          <w:bCs/>
          <w:sz w:val="24"/>
        </w:rPr>
      </w:pPr>
      <w:r>
        <w:rPr>
          <w:rFonts w:ascii="宋体" w:hAnsi="宋体" w:hint="eastAsia"/>
          <w:bCs/>
          <w:sz w:val="24"/>
        </w:rPr>
        <w:t>36、T日：指销售机构在规定时间受理投资人申购、赎回或其他业务申请的开放日</w:t>
      </w:r>
    </w:p>
    <w:p w:rsidR="00562FFD" w:rsidRDefault="003317D3">
      <w:pPr>
        <w:spacing w:line="360" w:lineRule="auto"/>
        <w:ind w:firstLineChars="200" w:firstLine="480"/>
        <w:rPr>
          <w:rFonts w:ascii="宋体" w:hAnsi="宋体"/>
          <w:bCs/>
          <w:sz w:val="24"/>
        </w:rPr>
      </w:pPr>
      <w:r>
        <w:rPr>
          <w:rFonts w:ascii="宋体" w:hAnsi="宋体" w:hint="eastAsia"/>
          <w:bCs/>
          <w:sz w:val="24"/>
        </w:rPr>
        <w:t>37、T+n日：指自T日起第n</w:t>
      </w:r>
      <w:proofErr w:type="gramStart"/>
      <w:r>
        <w:rPr>
          <w:rFonts w:ascii="宋体" w:hAnsi="宋体" w:hint="eastAsia"/>
          <w:bCs/>
          <w:sz w:val="24"/>
        </w:rPr>
        <w:t>个</w:t>
      </w:r>
      <w:proofErr w:type="gramEnd"/>
      <w:r>
        <w:rPr>
          <w:rFonts w:ascii="宋体" w:hAnsi="宋体" w:hint="eastAsia"/>
          <w:bCs/>
          <w:sz w:val="24"/>
        </w:rPr>
        <w:t>工作日(不包含T日)，n为自然数</w:t>
      </w:r>
    </w:p>
    <w:p w:rsidR="00562FFD" w:rsidRDefault="003317D3">
      <w:pPr>
        <w:spacing w:line="360" w:lineRule="auto"/>
        <w:ind w:firstLineChars="200" w:firstLine="480"/>
        <w:rPr>
          <w:rFonts w:ascii="宋体" w:hAnsi="宋体"/>
          <w:bCs/>
          <w:sz w:val="24"/>
        </w:rPr>
      </w:pPr>
      <w:r>
        <w:rPr>
          <w:rFonts w:ascii="宋体" w:hAnsi="宋体" w:hint="eastAsia"/>
          <w:bCs/>
          <w:sz w:val="24"/>
        </w:rPr>
        <w:t>38、开放日：指为投资人办理基金份额申购、赎回或其他业务的工作日（若本基金参与港股</w:t>
      </w:r>
      <w:proofErr w:type="gramStart"/>
      <w:r>
        <w:rPr>
          <w:rFonts w:ascii="宋体" w:hAnsi="宋体" w:hint="eastAsia"/>
          <w:bCs/>
          <w:sz w:val="24"/>
        </w:rPr>
        <w:t>通交易且</w:t>
      </w:r>
      <w:proofErr w:type="gramEnd"/>
      <w:r>
        <w:rPr>
          <w:rFonts w:ascii="宋体" w:hAnsi="宋体" w:hint="eastAsia"/>
          <w:bCs/>
          <w:sz w:val="24"/>
        </w:rPr>
        <w:t>该工作日为非港股</w:t>
      </w:r>
      <w:proofErr w:type="gramStart"/>
      <w:r>
        <w:rPr>
          <w:rFonts w:ascii="宋体" w:hAnsi="宋体" w:hint="eastAsia"/>
          <w:bCs/>
          <w:sz w:val="24"/>
        </w:rPr>
        <w:t>通交易</w:t>
      </w:r>
      <w:proofErr w:type="gramEnd"/>
      <w:r>
        <w:rPr>
          <w:rFonts w:ascii="宋体" w:hAnsi="宋体" w:hint="eastAsia"/>
          <w:bCs/>
          <w:sz w:val="24"/>
        </w:rPr>
        <w:t>日时，</w:t>
      </w:r>
      <w:proofErr w:type="gramStart"/>
      <w:r>
        <w:rPr>
          <w:rFonts w:ascii="宋体" w:hAnsi="宋体" w:hint="eastAsia"/>
          <w:bCs/>
          <w:sz w:val="24"/>
        </w:rPr>
        <w:t>则基金</w:t>
      </w:r>
      <w:proofErr w:type="gramEnd"/>
      <w:r>
        <w:rPr>
          <w:rFonts w:ascii="宋体" w:hAnsi="宋体" w:hint="eastAsia"/>
          <w:bCs/>
          <w:sz w:val="24"/>
        </w:rPr>
        <w:t>管理人可根据实</w:t>
      </w:r>
      <w:r>
        <w:rPr>
          <w:rFonts w:ascii="宋体" w:hAnsi="宋体" w:hint="eastAsia"/>
          <w:bCs/>
          <w:sz w:val="24"/>
        </w:rPr>
        <w:lastRenderedPageBreak/>
        <w:t>际情况决定本基金是否开放申购、赎回及转换业务，具体以届时依照法律法规发布的公告为准）</w:t>
      </w:r>
    </w:p>
    <w:p w:rsidR="00562FFD" w:rsidRDefault="003317D3">
      <w:pPr>
        <w:spacing w:line="360" w:lineRule="auto"/>
        <w:ind w:firstLineChars="200" w:firstLine="480"/>
        <w:rPr>
          <w:rFonts w:ascii="宋体" w:hAnsi="宋体"/>
          <w:bCs/>
          <w:sz w:val="24"/>
        </w:rPr>
      </w:pPr>
      <w:r>
        <w:rPr>
          <w:rFonts w:ascii="宋体" w:hAnsi="宋体" w:hint="eastAsia"/>
          <w:bCs/>
          <w:sz w:val="24"/>
        </w:rPr>
        <w:t>39、开放时间：指开放日基金接受申购、赎回或其他交易的时间段</w:t>
      </w:r>
    </w:p>
    <w:p w:rsidR="00562FFD" w:rsidRDefault="003317D3">
      <w:pPr>
        <w:spacing w:line="360" w:lineRule="auto"/>
        <w:ind w:firstLineChars="200" w:firstLine="480"/>
        <w:rPr>
          <w:rFonts w:ascii="宋体" w:hAnsi="宋体"/>
          <w:bCs/>
          <w:sz w:val="24"/>
        </w:rPr>
      </w:pPr>
      <w:r>
        <w:rPr>
          <w:rFonts w:ascii="宋体" w:hAnsi="宋体" w:hint="eastAsia"/>
          <w:bCs/>
          <w:sz w:val="24"/>
        </w:rPr>
        <w:t>40、《业务规则》：指《天弘基金管理有限公司开放式基金业务规则》，是规范基金管理人所管理的开放式证券投资基金登记方面的业务规则，由基金管理人和投资人共同遵守</w:t>
      </w:r>
    </w:p>
    <w:p w:rsidR="00562FFD" w:rsidRDefault="003317D3">
      <w:pPr>
        <w:spacing w:line="360" w:lineRule="auto"/>
        <w:ind w:firstLineChars="200" w:firstLine="480"/>
        <w:rPr>
          <w:rFonts w:ascii="宋体" w:hAnsi="宋体"/>
          <w:bCs/>
          <w:sz w:val="24"/>
        </w:rPr>
      </w:pPr>
      <w:r>
        <w:rPr>
          <w:rFonts w:ascii="宋体" w:hAnsi="宋体" w:hint="eastAsia"/>
          <w:bCs/>
          <w:sz w:val="24"/>
        </w:rPr>
        <w:t>41、认购：指在基金募集期内，投资人根据基金合同和招募说明书的规定申请购买基金份额的行为</w:t>
      </w:r>
    </w:p>
    <w:p w:rsidR="00562FFD" w:rsidRDefault="003317D3">
      <w:pPr>
        <w:spacing w:line="360" w:lineRule="auto"/>
        <w:ind w:firstLineChars="200" w:firstLine="480"/>
        <w:rPr>
          <w:rFonts w:ascii="宋体" w:hAnsi="宋体"/>
          <w:bCs/>
          <w:sz w:val="24"/>
        </w:rPr>
      </w:pPr>
      <w:r>
        <w:rPr>
          <w:rFonts w:ascii="宋体" w:hAnsi="宋体" w:hint="eastAsia"/>
          <w:bCs/>
          <w:sz w:val="24"/>
        </w:rPr>
        <w:t>42、申购：指基金合同生效后，投资人根据基金合同和招募说明书的规定申请购买基金份额的行为</w:t>
      </w:r>
    </w:p>
    <w:p w:rsidR="00562FFD" w:rsidRDefault="003317D3">
      <w:pPr>
        <w:spacing w:line="360" w:lineRule="auto"/>
        <w:ind w:firstLineChars="200" w:firstLine="480"/>
        <w:rPr>
          <w:rFonts w:ascii="宋体" w:hAnsi="宋体"/>
          <w:bCs/>
          <w:sz w:val="24"/>
        </w:rPr>
      </w:pPr>
      <w:r>
        <w:rPr>
          <w:rFonts w:ascii="宋体" w:hAnsi="宋体" w:hint="eastAsia"/>
          <w:bCs/>
          <w:sz w:val="24"/>
        </w:rPr>
        <w:t>43、赎回：指基金合同生效后，基金份额持有人按基金合同和招募说明书规定的条件要求将基金份额兑换为现金的行为</w:t>
      </w:r>
    </w:p>
    <w:p w:rsidR="00562FFD" w:rsidRDefault="003317D3">
      <w:pPr>
        <w:spacing w:line="360" w:lineRule="auto"/>
        <w:ind w:firstLineChars="200" w:firstLine="480"/>
        <w:rPr>
          <w:rFonts w:ascii="宋体" w:hAnsi="宋体"/>
          <w:bCs/>
          <w:sz w:val="24"/>
        </w:rPr>
      </w:pPr>
      <w:r>
        <w:rPr>
          <w:rFonts w:ascii="宋体" w:hAnsi="宋体" w:hint="eastAsia"/>
          <w:bCs/>
          <w:sz w:val="24"/>
        </w:rPr>
        <w:t>44、基金转换：指基金合同生效后，基金份额持有人按照基金合同和基金管理人届时有效公告规定的条件，申请将其持有基金管理人管理的、某一基金的基金份额转换为基金管理人管理的其他</w:t>
      </w:r>
      <w:proofErr w:type="gramStart"/>
      <w:r>
        <w:rPr>
          <w:rFonts w:ascii="宋体" w:hAnsi="宋体" w:hint="eastAsia"/>
          <w:bCs/>
          <w:sz w:val="24"/>
        </w:rPr>
        <w:t>基金基金</w:t>
      </w:r>
      <w:proofErr w:type="gramEnd"/>
      <w:r>
        <w:rPr>
          <w:rFonts w:ascii="宋体" w:hAnsi="宋体" w:hint="eastAsia"/>
          <w:bCs/>
          <w:sz w:val="24"/>
        </w:rPr>
        <w:t>份额的行为</w:t>
      </w:r>
    </w:p>
    <w:p w:rsidR="00562FFD" w:rsidRDefault="003317D3">
      <w:pPr>
        <w:spacing w:line="360" w:lineRule="auto"/>
        <w:ind w:firstLineChars="200" w:firstLine="480"/>
        <w:rPr>
          <w:rFonts w:ascii="宋体" w:hAnsi="宋体"/>
          <w:bCs/>
          <w:sz w:val="24"/>
        </w:rPr>
      </w:pPr>
      <w:r>
        <w:rPr>
          <w:rFonts w:ascii="宋体" w:hAnsi="宋体" w:hint="eastAsia"/>
          <w:bCs/>
          <w:sz w:val="24"/>
        </w:rPr>
        <w:t>45、转托管：指基金份额持有人在本基金的不同销售机构之间实施的变更所持基金份额销售机构的操作</w:t>
      </w:r>
    </w:p>
    <w:p w:rsidR="00562FFD" w:rsidRDefault="003317D3">
      <w:pPr>
        <w:spacing w:line="360" w:lineRule="auto"/>
        <w:ind w:firstLineChars="200" w:firstLine="480"/>
        <w:rPr>
          <w:rFonts w:ascii="宋体" w:hAnsi="宋体"/>
          <w:bCs/>
          <w:sz w:val="24"/>
        </w:rPr>
      </w:pPr>
      <w:r>
        <w:rPr>
          <w:rFonts w:ascii="宋体" w:hAnsi="宋体" w:hint="eastAsia"/>
          <w:bCs/>
          <w:sz w:val="24"/>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2FFD" w:rsidRDefault="003317D3">
      <w:pPr>
        <w:spacing w:line="360" w:lineRule="auto"/>
        <w:ind w:firstLineChars="200" w:firstLine="480"/>
        <w:rPr>
          <w:rFonts w:ascii="宋体" w:hAnsi="宋体"/>
          <w:bCs/>
          <w:sz w:val="24"/>
        </w:rPr>
      </w:pPr>
      <w:r>
        <w:rPr>
          <w:rFonts w:ascii="宋体" w:hAnsi="宋体" w:hint="eastAsia"/>
          <w:bCs/>
          <w:sz w:val="24"/>
        </w:rPr>
        <w:t>47、巨额赎回：指本基金单个开放日，基金净赎回申请（赎回申请份额总数加上基金转换中转出申请份额总数后扣除申购申请份额总数及基金转换中转入申请份额总数后的余额）超过上一工作日基金总份额的10%</w:t>
      </w:r>
    </w:p>
    <w:p w:rsidR="00562FFD" w:rsidRDefault="003317D3">
      <w:pPr>
        <w:spacing w:line="360" w:lineRule="auto"/>
        <w:ind w:firstLineChars="200" w:firstLine="480"/>
        <w:rPr>
          <w:rFonts w:ascii="宋体" w:hAnsi="宋体"/>
          <w:bCs/>
          <w:sz w:val="24"/>
        </w:rPr>
      </w:pPr>
      <w:r>
        <w:rPr>
          <w:rFonts w:ascii="宋体" w:hAnsi="宋体" w:hint="eastAsia"/>
          <w:bCs/>
          <w:sz w:val="24"/>
        </w:rPr>
        <w:t>48、元：指人民币元</w:t>
      </w:r>
    </w:p>
    <w:p w:rsidR="00562FFD" w:rsidRDefault="003317D3">
      <w:pPr>
        <w:spacing w:line="360" w:lineRule="auto"/>
        <w:ind w:firstLineChars="200" w:firstLine="480"/>
        <w:rPr>
          <w:rFonts w:ascii="宋体" w:hAnsi="宋体"/>
          <w:bCs/>
          <w:sz w:val="24"/>
        </w:rPr>
      </w:pPr>
      <w:r>
        <w:rPr>
          <w:rFonts w:ascii="宋体" w:hAnsi="宋体" w:hint="eastAsia"/>
          <w:bCs/>
          <w:sz w:val="24"/>
        </w:rPr>
        <w:t>49、基金收益：指基金投资所得红利、股息、债券利息、买卖证券价差、银行存款利息、已实现的其他合法收入及因运用基金财产带来的成本和费用的节约</w:t>
      </w:r>
    </w:p>
    <w:p w:rsidR="00562FFD" w:rsidRDefault="003317D3">
      <w:pPr>
        <w:spacing w:line="360" w:lineRule="auto"/>
        <w:ind w:firstLineChars="200" w:firstLine="480"/>
        <w:rPr>
          <w:rFonts w:ascii="宋体" w:hAnsi="宋体"/>
          <w:bCs/>
          <w:sz w:val="24"/>
        </w:rPr>
      </w:pPr>
      <w:r>
        <w:rPr>
          <w:rFonts w:ascii="宋体" w:hAnsi="宋体" w:hint="eastAsia"/>
          <w:bCs/>
          <w:sz w:val="24"/>
        </w:rPr>
        <w:t>50、基金资产总值：指基金拥有的各类有价证券、银行存款本息、基金应收款项及其他资产的价值总和</w:t>
      </w:r>
    </w:p>
    <w:p w:rsidR="00562FFD" w:rsidRDefault="003317D3">
      <w:pPr>
        <w:spacing w:line="360" w:lineRule="auto"/>
        <w:ind w:firstLineChars="200" w:firstLine="480"/>
        <w:rPr>
          <w:rFonts w:ascii="宋体" w:hAnsi="宋体"/>
          <w:bCs/>
          <w:sz w:val="24"/>
        </w:rPr>
      </w:pPr>
      <w:r>
        <w:rPr>
          <w:rFonts w:ascii="宋体" w:hAnsi="宋体" w:hint="eastAsia"/>
          <w:bCs/>
          <w:sz w:val="24"/>
        </w:rPr>
        <w:t>51、基金资产净值：指基金资产总值减去基金负债后的价值</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52、基金份额净值：指计算日基金资产净值除以计算日基金份额总数</w:t>
      </w:r>
    </w:p>
    <w:p w:rsidR="00562FFD" w:rsidRDefault="003317D3">
      <w:pPr>
        <w:spacing w:line="360" w:lineRule="auto"/>
        <w:ind w:firstLineChars="200" w:firstLine="480"/>
        <w:rPr>
          <w:rFonts w:ascii="宋体" w:hAnsi="宋体"/>
          <w:bCs/>
          <w:sz w:val="24"/>
        </w:rPr>
      </w:pPr>
      <w:r>
        <w:rPr>
          <w:rFonts w:ascii="宋体" w:hAnsi="宋体" w:hint="eastAsia"/>
          <w:bCs/>
          <w:sz w:val="24"/>
        </w:rPr>
        <w:t>53、基金资产估值：指计算评估基金资产和负债的价值，以确定基金资产净值和基金份额净值的过程</w:t>
      </w:r>
    </w:p>
    <w:p w:rsidR="00562FFD" w:rsidRDefault="003317D3">
      <w:pPr>
        <w:spacing w:line="360" w:lineRule="auto"/>
        <w:ind w:firstLineChars="200" w:firstLine="480"/>
        <w:rPr>
          <w:rFonts w:ascii="宋体" w:hAnsi="宋体"/>
          <w:bCs/>
          <w:sz w:val="24"/>
        </w:rPr>
      </w:pPr>
      <w:r>
        <w:rPr>
          <w:rFonts w:ascii="宋体" w:hAnsi="宋体" w:hint="eastAsia"/>
          <w:bCs/>
          <w:sz w:val="24"/>
        </w:rPr>
        <w:t>54、流动性受限资产：指由于法律法规、监管、合同或操作障碍等原因无法以合理价格予以变现的资产，包括但不限于到期日在10个交易日以上的逆回购与银行定期存款（</w:t>
      </w:r>
      <w:proofErr w:type="gramStart"/>
      <w:r>
        <w:rPr>
          <w:rFonts w:ascii="宋体" w:hAnsi="宋体" w:hint="eastAsia"/>
          <w:bCs/>
          <w:sz w:val="24"/>
        </w:rPr>
        <w:t>含协议</w:t>
      </w:r>
      <w:proofErr w:type="gramEnd"/>
      <w:r>
        <w:rPr>
          <w:rFonts w:ascii="宋体" w:hAnsi="宋体" w:hint="eastAsia"/>
          <w:bCs/>
          <w:sz w:val="24"/>
        </w:rPr>
        <w:t>约定有条件提前支取的银行存款）、停牌股票、流通受限的新股及非公开发行股票、资产支持证券、因发行人债务违约无法进行转让或交易的债券等</w:t>
      </w:r>
    </w:p>
    <w:p w:rsidR="00562FFD" w:rsidRDefault="003317D3">
      <w:pPr>
        <w:spacing w:line="360" w:lineRule="auto"/>
        <w:ind w:firstLineChars="200" w:firstLine="480"/>
        <w:rPr>
          <w:rFonts w:ascii="宋体" w:hAnsi="宋体"/>
          <w:bCs/>
          <w:sz w:val="24"/>
        </w:rPr>
      </w:pPr>
      <w:r>
        <w:rPr>
          <w:rFonts w:ascii="宋体" w:hAnsi="宋体" w:hint="eastAsia"/>
          <w:bCs/>
          <w:sz w:val="24"/>
        </w:rPr>
        <w:t>55、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62FFD" w:rsidRDefault="003317D3">
      <w:pPr>
        <w:spacing w:line="360" w:lineRule="auto"/>
        <w:ind w:firstLineChars="200" w:firstLine="480"/>
        <w:rPr>
          <w:rFonts w:ascii="宋体" w:hAnsi="宋体"/>
          <w:bCs/>
          <w:sz w:val="24"/>
        </w:rPr>
      </w:pPr>
      <w:r>
        <w:rPr>
          <w:rFonts w:ascii="宋体" w:hAnsi="宋体" w:hint="eastAsia"/>
          <w:bCs/>
          <w:sz w:val="24"/>
        </w:rPr>
        <w:t>56、规定媒介：指符合中国证监会规定条件的用以进行信息披露的全国性报刊及《信息披露办法》规定的互联网网站（包括基金管理人网站、基金托管人网站、中国证监会基金电子披露网站）等媒介</w:t>
      </w:r>
    </w:p>
    <w:p w:rsidR="00562FFD" w:rsidRDefault="003317D3">
      <w:pPr>
        <w:spacing w:line="360" w:lineRule="auto"/>
        <w:ind w:firstLineChars="200" w:firstLine="480"/>
        <w:rPr>
          <w:rFonts w:ascii="宋体" w:hAnsi="宋体"/>
          <w:bCs/>
          <w:sz w:val="24"/>
        </w:rPr>
      </w:pPr>
      <w:r>
        <w:rPr>
          <w:rFonts w:ascii="宋体" w:hAnsi="宋体" w:hint="eastAsia"/>
          <w:bCs/>
          <w:sz w:val="24"/>
        </w:rPr>
        <w:t>57、不可抗力：指基金合同当事人不能预见、不能避免且不能克服的客观事件</w:t>
      </w:r>
    </w:p>
    <w:p w:rsidR="00562FFD" w:rsidRDefault="003317D3">
      <w:pPr>
        <w:spacing w:line="360" w:lineRule="auto"/>
        <w:ind w:firstLineChars="200" w:firstLine="480"/>
        <w:rPr>
          <w:rFonts w:ascii="宋体" w:hAnsi="宋体"/>
          <w:bCs/>
          <w:sz w:val="24"/>
        </w:rPr>
      </w:pPr>
      <w:r>
        <w:rPr>
          <w:rFonts w:ascii="宋体" w:hAnsi="宋体" w:hint="eastAsia"/>
          <w:bCs/>
          <w:sz w:val="24"/>
        </w:rPr>
        <w:t>58、销售服务费：指从基金财产中计提的，用于本基金市场推广、销售以及基金份额持有人服务的费用</w:t>
      </w:r>
    </w:p>
    <w:p w:rsidR="00562FFD" w:rsidRDefault="003317D3">
      <w:pPr>
        <w:spacing w:line="360" w:lineRule="auto"/>
        <w:ind w:firstLineChars="200" w:firstLine="480"/>
        <w:rPr>
          <w:rFonts w:ascii="宋体" w:hAnsi="宋体"/>
          <w:bCs/>
          <w:sz w:val="24"/>
        </w:rPr>
      </w:pPr>
      <w:r>
        <w:rPr>
          <w:rFonts w:ascii="宋体" w:hAnsi="宋体" w:hint="eastAsia"/>
          <w:bCs/>
          <w:sz w:val="24"/>
        </w:rPr>
        <w:t>59、基金份额的类别：本基金根据收费方式的不同，将基金份额分为不同的类别</w:t>
      </w:r>
    </w:p>
    <w:p w:rsidR="00562FFD" w:rsidRDefault="003317D3">
      <w:pPr>
        <w:spacing w:line="360" w:lineRule="auto"/>
        <w:ind w:firstLineChars="200" w:firstLine="480"/>
        <w:rPr>
          <w:rFonts w:ascii="宋体" w:hAnsi="宋体"/>
          <w:bCs/>
          <w:sz w:val="24"/>
        </w:rPr>
      </w:pPr>
      <w:r>
        <w:rPr>
          <w:rFonts w:ascii="宋体" w:hAnsi="宋体" w:hint="eastAsia"/>
          <w:bCs/>
          <w:sz w:val="24"/>
        </w:rPr>
        <w:t>60、A类基金份额：指投资人认购/申购基金时收取认购/申购费用，并不再从本类别基金资产中计</w:t>
      </w:r>
      <w:proofErr w:type="gramStart"/>
      <w:r>
        <w:rPr>
          <w:rFonts w:ascii="宋体" w:hAnsi="宋体" w:hint="eastAsia"/>
          <w:bCs/>
          <w:sz w:val="24"/>
        </w:rPr>
        <w:t>提销售</w:t>
      </w:r>
      <w:proofErr w:type="gramEnd"/>
      <w:r>
        <w:rPr>
          <w:rFonts w:ascii="宋体" w:hAnsi="宋体" w:hint="eastAsia"/>
          <w:bCs/>
          <w:sz w:val="24"/>
        </w:rPr>
        <w:t>服务费的基金份额</w:t>
      </w:r>
    </w:p>
    <w:p w:rsidR="00562FFD" w:rsidRDefault="003317D3">
      <w:pPr>
        <w:spacing w:line="360" w:lineRule="auto"/>
        <w:ind w:firstLineChars="200" w:firstLine="480"/>
        <w:rPr>
          <w:rFonts w:ascii="宋体" w:hAnsi="宋体"/>
          <w:bCs/>
          <w:sz w:val="24"/>
        </w:rPr>
      </w:pPr>
      <w:r>
        <w:rPr>
          <w:rFonts w:ascii="宋体" w:hAnsi="宋体" w:hint="eastAsia"/>
          <w:bCs/>
          <w:sz w:val="24"/>
        </w:rPr>
        <w:t>61、C类基金份额：指从本类别基金资产中计</w:t>
      </w:r>
      <w:proofErr w:type="gramStart"/>
      <w:r>
        <w:rPr>
          <w:rFonts w:ascii="宋体" w:hAnsi="宋体" w:hint="eastAsia"/>
          <w:bCs/>
          <w:sz w:val="24"/>
        </w:rPr>
        <w:t>提销售</w:t>
      </w:r>
      <w:proofErr w:type="gramEnd"/>
      <w:r>
        <w:rPr>
          <w:rFonts w:ascii="宋体" w:hAnsi="宋体" w:hint="eastAsia"/>
          <w:bCs/>
          <w:sz w:val="24"/>
        </w:rPr>
        <w:t>服务费、不收取认购/申购费用的基金份额</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2</w:t>
      </w:r>
      <w:r>
        <w:rPr>
          <w:rFonts w:ascii="宋体" w:hAnsi="宋体" w:hint="eastAsia"/>
          <w:bCs/>
          <w:sz w:val="24"/>
        </w:rPr>
        <w:t>、养老金客户：指基本养老基金与依法成立的养老计划筹集的资金及其投 资运营收益形成的补充养老基金，包括全国社会保障基金、可以投资基金的地方 社会保障基金、企业年金单一计划以及集合计划。如将来出现经养老基金</w:t>
      </w:r>
      <w:proofErr w:type="gramStart"/>
      <w:r>
        <w:rPr>
          <w:rFonts w:ascii="宋体" w:hAnsi="宋体" w:hint="eastAsia"/>
          <w:bCs/>
          <w:sz w:val="24"/>
        </w:rPr>
        <w:t>监管部</w:t>
      </w:r>
      <w:proofErr w:type="gramEnd"/>
      <w:r>
        <w:rPr>
          <w:rFonts w:ascii="宋体" w:hAnsi="宋体" w:hint="eastAsia"/>
          <w:bCs/>
          <w:sz w:val="24"/>
        </w:rPr>
        <w:t xml:space="preserve"> 门认可的新的养老基金类型，基金管理人可在招募说明书更新时或发布临时公告 </w:t>
      </w:r>
      <w:r>
        <w:rPr>
          <w:rFonts w:ascii="宋体" w:hAnsi="宋体" w:hint="eastAsia"/>
          <w:bCs/>
          <w:sz w:val="24"/>
        </w:rPr>
        <w:lastRenderedPageBreak/>
        <w:t xml:space="preserve">将其纳入养老金客户范围 </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3</w:t>
      </w:r>
      <w:r>
        <w:rPr>
          <w:rFonts w:ascii="宋体" w:hAnsi="宋体" w:hint="eastAsia"/>
          <w:bCs/>
          <w:sz w:val="24"/>
        </w:rPr>
        <w:t>、非养老金客户：指除养老金客户外的其他投资人</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4</w:t>
      </w:r>
      <w:r>
        <w:rPr>
          <w:rFonts w:ascii="宋体" w:hAnsi="宋体" w:hint="eastAsia"/>
          <w:bCs/>
          <w:sz w:val="24"/>
        </w:rPr>
        <w:t>、信用衍生品：指符合证券交易所或银行间市场相关业务规则，专门用于管理信用风险的信用衍生工具</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5</w:t>
      </w:r>
      <w:r>
        <w:rPr>
          <w:rFonts w:ascii="宋体" w:hAnsi="宋体" w:hint="eastAsia"/>
          <w:bCs/>
          <w:sz w:val="24"/>
        </w:rPr>
        <w:t>、信用保护买方：亦称信用保护购买方，指接受信用风险保护的一方</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6</w:t>
      </w:r>
      <w:r>
        <w:rPr>
          <w:rFonts w:ascii="宋体" w:hAnsi="宋体" w:hint="eastAsia"/>
          <w:bCs/>
          <w:sz w:val="24"/>
        </w:rPr>
        <w:t>、信用保护卖方：亦称信用保护提供方，指提供信用风险保护的一方</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7</w:t>
      </w:r>
      <w:r>
        <w:rPr>
          <w:rFonts w:ascii="宋体" w:hAnsi="宋体" w:hint="eastAsia"/>
          <w:bCs/>
          <w:sz w:val="24"/>
        </w:rPr>
        <w:t>、名义本金：亦称交易名义本金，指为信用衍生品交易提供信用风险保护的金额，各项支付和结算以此金额为计算基准</w:t>
      </w:r>
    </w:p>
    <w:p w:rsidR="00562FFD" w:rsidRDefault="003317D3">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8</w:t>
      </w:r>
      <w:r>
        <w:rPr>
          <w:rFonts w:ascii="宋体" w:hAnsi="宋体" w:hint="eastAsia"/>
          <w:bCs/>
          <w:sz w:val="24"/>
        </w:rPr>
        <w:t>、</w:t>
      </w:r>
      <w:proofErr w:type="gramStart"/>
      <w:r>
        <w:rPr>
          <w:rFonts w:ascii="宋体" w:hAnsi="宋体" w:hint="eastAsia"/>
          <w:bCs/>
          <w:sz w:val="24"/>
        </w:rPr>
        <w:t>侧袋机制</w:t>
      </w:r>
      <w:proofErr w:type="gramEnd"/>
      <w:r>
        <w:rPr>
          <w:rFonts w:ascii="宋体" w:hAnsi="宋体" w:hint="eastAsia"/>
          <w:bCs/>
          <w:sz w:val="24"/>
        </w:rPr>
        <w:t>：指将基金投资组合中的特定资产从原有账户分离</w:t>
      </w:r>
      <w:proofErr w:type="gramStart"/>
      <w:r>
        <w:rPr>
          <w:rFonts w:ascii="宋体" w:hAnsi="宋体" w:hint="eastAsia"/>
          <w:bCs/>
          <w:sz w:val="24"/>
        </w:rPr>
        <w:t>至专门</w:t>
      </w:r>
      <w:proofErr w:type="gramEnd"/>
      <w:r>
        <w:rPr>
          <w:rFonts w:ascii="宋体" w:hAnsi="宋体" w:hint="eastAsia"/>
          <w:bCs/>
          <w:sz w:val="24"/>
        </w:rPr>
        <w:t>账户进行处置清算，目的在于有效隔离并化解风险，确保投资者得到公平对待，属于流动性风险管理工具。</w:t>
      </w:r>
      <w:proofErr w:type="gramStart"/>
      <w:r>
        <w:rPr>
          <w:rFonts w:ascii="宋体" w:hAnsi="宋体" w:hint="eastAsia"/>
          <w:bCs/>
          <w:sz w:val="24"/>
        </w:rPr>
        <w:t>侧袋机制</w:t>
      </w:r>
      <w:proofErr w:type="gramEnd"/>
      <w:r>
        <w:rPr>
          <w:rFonts w:ascii="宋体" w:hAnsi="宋体" w:hint="eastAsia"/>
          <w:bCs/>
          <w:sz w:val="24"/>
        </w:rPr>
        <w:t>实施期间，原有账户称为主袋账户，专门账户</w:t>
      </w:r>
      <w:proofErr w:type="gramStart"/>
      <w:r>
        <w:rPr>
          <w:rFonts w:ascii="宋体" w:hAnsi="宋体" w:hint="eastAsia"/>
          <w:bCs/>
          <w:sz w:val="24"/>
        </w:rPr>
        <w:t>称为侧袋账户</w:t>
      </w:r>
      <w:proofErr w:type="gramEnd"/>
    </w:p>
    <w:p w:rsidR="00562FFD" w:rsidRDefault="003317D3">
      <w:pPr>
        <w:spacing w:line="360" w:lineRule="auto"/>
        <w:ind w:firstLineChars="200" w:firstLine="480"/>
        <w:rPr>
          <w:rFonts w:hAnsi="宋体"/>
          <w:bCs/>
          <w:sz w:val="24"/>
        </w:rPr>
      </w:pPr>
      <w:r>
        <w:rPr>
          <w:rFonts w:ascii="宋体" w:hAnsi="宋体" w:hint="eastAsia"/>
          <w:bCs/>
          <w:sz w:val="24"/>
        </w:rPr>
        <w:t>6</w:t>
      </w:r>
      <w:r>
        <w:rPr>
          <w:rFonts w:ascii="宋体" w:hAnsi="宋体"/>
          <w:bCs/>
          <w:sz w:val="24"/>
        </w:rPr>
        <w:t>9</w:t>
      </w:r>
      <w:r>
        <w:rPr>
          <w:rFonts w:ascii="宋体" w:hAnsi="宋体" w:hint="eastAsia"/>
          <w:bCs/>
          <w:sz w:val="24"/>
        </w:rPr>
        <w:t>、特定资产：包括：（1）无可参考的活跃市场价格且采用估值技术</w:t>
      </w:r>
      <w:proofErr w:type="gramStart"/>
      <w:r>
        <w:rPr>
          <w:rFonts w:ascii="宋体" w:hAnsi="宋体" w:hint="eastAsia"/>
          <w:bCs/>
          <w:sz w:val="24"/>
        </w:rPr>
        <w:t>仍导致</w:t>
      </w:r>
      <w:proofErr w:type="gramEnd"/>
      <w:r>
        <w:rPr>
          <w:rFonts w:ascii="宋体" w:hAnsi="宋体" w:hint="eastAsia"/>
          <w:bCs/>
          <w:sz w:val="24"/>
        </w:rPr>
        <w:t>公允价值存在重大不确定性的资产；（2）</w:t>
      </w:r>
      <w:proofErr w:type="gramStart"/>
      <w:r>
        <w:rPr>
          <w:rFonts w:ascii="宋体" w:hAnsi="宋体" w:hint="eastAsia"/>
          <w:bCs/>
          <w:sz w:val="24"/>
        </w:rPr>
        <w:t>按摊余成本</w:t>
      </w:r>
      <w:proofErr w:type="gramEnd"/>
      <w:r>
        <w:rPr>
          <w:rFonts w:ascii="宋体" w:hAnsi="宋体" w:hint="eastAsia"/>
          <w:bCs/>
          <w:sz w:val="24"/>
        </w:rPr>
        <w:t>计量且计提资产减值</w:t>
      </w:r>
      <w:proofErr w:type="gramStart"/>
      <w:r>
        <w:rPr>
          <w:rFonts w:ascii="宋体" w:hAnsi="宋体" w:hint="eastAsia"/>
          <w:bCs/>
          <w:sz w:val="24"/>
        </w:rPr>
        <w:t>准备仍导致</w:t>
      </w:r>
      <w:proofErr w:type="gramEnd"/>
      <w:r>
        <w:rPr>
          <w:rFonts w:ascii="宋体" w:hAnsi="宋体" w:hint="eastAsia"/>
          <w:bCs/>
          <w:sz w:val="24"/>
        </w:rPr>
        <w:t>资产价值存在重大不确定性的资产；（3）其他资产价值存在重大不确定性的资产</w:t>
      </w:r>
    </w:p>
    <w:p w:rsidR="00562FFD" w:rsidRDefault="00562FFD">
      <w:pPr>
        <w:spacing w:line="360" w:lineRule="auto"/>
        <w:ind w:firstLineChars="200" w:firstLine="482"/>
        <w:rPr>
          <w:rFonts w:ascii="宋体" w:hAnsi="宋体"/>
          <w:b/>
          <w:bCs/>
          <w:sz w:val="24"/>
        </w:rPr>
      </w:pPr>
    </w:p>
    <w:p w:rsidR="00562FFD" w:rsidRDefault="003317D3">
      <w:pPr>
        <w:pStyle w:val="af0"/>
        <w:rPr>
          <w:rFonts w:hAnsi="宋体"/>
          <w:bCs/>
          <w:szCs w:val="28"/>
        </w:rPr>
      </w:pPr>
      <w:r>
        <w:rPr>
          <w:rFonts w:hAnsi="宋体" w:hint="eastAsia"/>
          <w:sz w:val="24"/>
        </w:rPr>
        <w:t xml:space="preserve"> </w:t>
      </w:r>
      <w:r>
        <w:rPr>
          <w:rFonts w:hAnsi="宋体"/>
          <w:sz w:val="24"/>
        </w:rPr>
        <w:br w:type="page"/>
      </w:r>
      <w:bookmarkStart w:id="17" w:name="_Toc34222294"/>
      <w:bookmarkStart w:id="18" w:name="_Toc56692686"/>
      <w:r>
        <w:rPr>
          <w:rFonts w:hint="eastAsia"/>
          <w:szCs w:val="28"/>
        </w:rPr>
        <w:lastRenderedPageBreak/>
        <w:t>第三部分 基金管理人</w:t>
      </w:r>
      <w:bookmarkEnd w:id="16"/>
      <w:bookmarkEnd w:id="17"/>
      <w:bookmarkEnd w:id="18"/>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一、基金管理人概况</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名称：</w:t>
      </w:r>
      <w:proofErr w:type="gramStart"/>
      <w:r>
        <w:rPr>
          <w:rFonts w:ascii="宋体" w:hAnsi="宋体" w:hint="eastAsia"/>
          <w:color w:val="000000"/>
          <w:sz w:val="24"/>
        </w:rPr>
        <w:t>天弘基金</w:t>
      </w:r>
      <w:proofErr w:type="gramEnd"/>
      <w:r>
        <w:rPr>
          <w:rFonts w:ascii="宋体" w:hAnsi="宋体" w:hint="eastAsia"/>
          <w:color w:val="000000"/>
          <w:sz w:val="24"/>
        </w:rPr>
        <w:t>管理有限公司</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住所：</w:t>
      </w:r>
      <w:r w:rsidR="0013131D" w:rsidRPr="0013131D">
        <w:rPr>
          <w:rFonts w:ascii="宋体" w:hAnsi="宋体" w:hint="eastAsia"/>
          <w:color w:val="000000"/>
          <w:sz w:val="24"/>
        </w:rPr>
        <w:t>天津自贸试验区（中心商务区）新华路3678号</w:t>
      </w:r>
      <w:proofErr w:type="gramStart"/>
      <w:r w:rsidR="0013131D" w:rsidRPr="0013131D">
        <w:rPr>
          <w:rFonts w:ascii="宋体" w:hAnsi="宋体" w:hint="eastAsia"/>
          <w:color w:val="000000"/>
          <w:sz w:val="24"/>
        </w:rPr>
        <w:t>宝风大厦</w:t>
      </w:r>
      <w:proofErr w:type="gramEnd"/>
      <w:r w:rsidR="0013131D" w:rsidRPr="0013131D">
        <w:rPr>
          <w:rFonts w:ascii="宋体" w:hAnsi="宋体" w:hint="eastAsia"/>
          <w:color w:val="000000"/>
          <w:sz w:val="24"/>
        </w:rPr>
        <w:t>23层</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办公地址：天津市河西区马场道59号天津国际经济贸易中心A座16层</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成立日期：2004年11月8日</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法定代表人：</w:t>
      </w:r>
      <w:r w:rsidR="0013131D" w:rsidRPr="0013131D">
        <w:rPr>
          <w:rFonts w:ascii="宋体" w:hAnsi="宋体" w:hint="eastAsia"/>
          <w:color w:val="000000"/>
          <w:sz w:val="24"/>
        </w:rPr>
        <w:t>韩歆毅</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客服电话：95046</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联系人：司媛</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组织形式：有限责任公司</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注册资本及股权结构：</w:t>
      </w:r>
    </w:p>
    <w:p w:rsidR="00562FFD" w:rsidRDefault="003317D3">
      <w:pPr>
        <w:spacing w:line="360" w:lineRule="auto"/>
        <w:ind w:firstLineChars="196" w:firstLine="470"/>
        <w:rPr>
          <w:rFonts w:ascii="宋体" w:hAnsi="宋体"/>
          <w:color w:val="000000"/>
          <w:sz w:val="24"/>
        </w:rPr>
      </w:pPr>
      <w:proofErr w:type="gramStart"/>
      <w:r>
        <w:rPr>
          <w:rFonts w:ascii="宋体" w:hAnsi="宋体" w:hint="eastAsia"/>
          <w:color w:val="000000"/>
          <w:sz w:val="24"/>
        </w:rPr>
        <w:t>天弘基金</w:t>
      </w:r>
      <w:proofErr w:type="gramEnd"/>
      <w:r>
        <w:rPr>
          <w:rFonts w:ascii="宋体" w:hAnsi="宋体" w:hint="eastAsia"/>
          <w:color w:val="000000"/>
          <w:sz w:val="24"/>
        </w:rPr>
        <w:t>管理有限公司（以下简称“公司”或“本公司”）经中国证券监督管理委员会批准（证</w:t>
      </w:r>
      <w:proofErr w:type="gramStart"/>
      <w:r>
        <w:rPr>
          <w:rFonts w:ascii="宋体" w:hAnsi="宋体" w:hint="eastAsia"/>
          <w:color w:val="000000"/>
          <w:sz w:val="24"/>
        </w:rPr>
        <w:t>监基金字</w:t>
      </w:r>
      <w:proofErr w:type="gramEnd"/>
      <w:r>
        <w:rPr>
          <w:rFonts w:ascii="宋体" w:hAnsi="宋体" w:hint="eastAsia"/>
          <w:color w:val="000000"/>
          <w:sz w:val="24"/>
        </w:rPr>
        <w:t>[2004]164号），于2004年11月8日成立。公司注册资本为人民币5.143亿元，股权结构为：</w:t>
      </w:r>
    </w:p>
    <w:tbl>
      <w:tblPr>
        <w:tblStyle w:val="af2"/>
        <w:tblW w:w="0" w:type="auto"/>
        <w:jc w:val="center"/>
        <w:tblLook w:val="04A0" w:firstRow="1" w:lastRow="0" w:firstColumn="1" w:lastColumn="0" w:noHBand="0" w:noVBand="1"/>
      </w:tblPr>
      <w:tblGrid>
        <w:gridCol w:w="5018"/>
        <w:gridCol w:w="3278"/>
      </w:tblGrid>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center"/>
              <w:rPr>
                <w:rFonts w:asciiTheme="minorEastAsia" w:eastAsiaTheme="minorEastAsia" w:hAnsiTheme="minorEastAsia"/>
                <w:sz w:val="24"/>
              </w:rPr>
            </w:pPr>
            <w:r w:rsidRPr="003317D3">
              <w:rPr>
                <w:rFonts w:asciiTheme="minorEastAsia" w:eastAsiaTheme="minorEastAsia" w:hAnsiTheme="minorEastAsia" w:hint="eastAsia"/>
                <w:sz w:val="24"/>
              </w:rPr>
              <w:t>股东名称</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right"/>
              <w:rPr>
                <w:rFonts w:asciiTheme="minorEastAsia" w:eastAsiaTheme="minorEastAsia" w:hAnsiTheme="minorEastAsia"/>
                <w:sz w:val="24"/>
              </w:rPr>
            </w:pPr>
            <w:r w:rsidRPr="003317D3">
              <w:rPr>
                <w:rFonts w:asciiTheme="minorEastAsia" w:eastAsiaTheme="minorEastAsia" w:hAnsiTheme="minorEastAsia" w:hint="eastAsia"/>
                <w:sz w:val="24"/>
              </w:rPr>
              <w:t>股权比例</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left"/>
              <w:rPr>
                <w:rFonts w:asciiTheme="minorEastAsia" w:eastAsiaTheme="minorEastAsia" w:hAnsiTheme="minorEastAsia"/>
                <w:sz w:val="24"/>
              </w:rPr>
            </w:pPr>
            <w:r w:rsidRPr="003317D3">
              <w:rPr>
                <w:rFonts w:asciiTheme="minorEastAsia" w:eastAsiaTheme="minorEastAsia" w:hAnsiTheme="minorEastAsia" w:hint="eastAsia"/>
                <w:sz w:val="24"/>
              </w:rPr>
              <w:t>蚂蚁科技集团股份有限公司</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right"/>
              <w:rPr>
                <w:rFonts w:asciiTheme="minorEastAsia" w:eastAsiaTheme="minorEastAsia" w:hAnsiTheme="minorEastAsia"/>
                <w:sz w:val="24"/>
              </w:rPr>
            </w:pPr>
            <w:r w:rsidRPr="003317D3">
              <w:rPr>
                <w:rFonts w:asciiTheme="minorEastAsia" w:eastAsiaTheme="minorEastAsia" w:hAnsiTheme="minorEastAsia"/>
                <w:sz w:val="24"/>
              </w:rPr>
              <w:t>51%</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left"/>
              <w:rPr>
                <w:rFonts w:asciiTheme="minorEastAsia" w:eastAsiaTheme="minorEastAsia" w:hAnsiTheme="minorEastAsia"/>
                <w:sz w:val="24"/>
              </w:rPr>
            </w:pPr>
            <w:r w:rsidRPr="003317D3">
              <w:rPr>
                <w:rFonts w:asciiTheme="minorEastAsia" w:eastAsiaTheme="minorEastAsia" w:hAnsiTheme="minorEastAsia" w:hint="eastAsia"/>
                <w:sz w:val="24"/>
              </w:rPr>
              <w:t>天津信托有限责任公司</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right"/>
              <w:rPr>
                <w:rFonts w:asciiTheme="minorEastAsia" w:eastAsiaTheme="minorEastAsia" w:hAnsiTheme="minorEastAsia"/>
                <w:sz w:val="24"/>
              </w:rPr>
            </w:pPr>
            <w:r w:rsidRPr="003317D3">
              <w:rPr>
                <w:rFonts w:asciiTheme="minorEastAsia" w:eastAsiaTheme="minorEastAsia" w:hAnsiTheme="minorEastAsia"/>
                <w:sz w:val="24"/>
              </w:rPr>
              <w:t>16.8%</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left"/>
              <w:rPr>
                <w:rFonts w:asciiTheme="minorEastAsia" w:eastAsiaTheme="minorEastAsia" w:hAnsiTheme="minorEastAsia"/>
                <w:sz w:val="24"/>
              </w:rPr>
            </w:pPr>
            <w:r w:rsidRPr="003317D3">
              <w:rPr>
                <w:rFonts w:asciiTheme="minorEastAsia" w:eastAsiaTheme="minorEastAsia" w:hAnsiTheme="minorEastAsia" w:hint="eastAsia"/>
                <w:sz w:val="24"/>
              </w:rPr>
              <w:t>内蒙古君正能源化工集团股份有限公司</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right"/>
              <w:rPr>
                <w:rFonts w:asciiTheme="minorEastAsia" w:eastAsiaTheme="minorEastAsia" w:hAnsiTheme="minorEastAsia"/>
                <w:sz w:val="24"/>
              </w:rPr>
            </w:pPr>
            <w:r w:rsidRPr="003317D3">
              <w:rPr>
                <w:rFonts w:asciiTheme="minorEastAsia" w:eastAsiaTheme="minorEastAsia" w:hAnsiTheme="minorEastAsia"/>
                <w:sz w:val="24"/>
              </w:rPr>
              <w:t>15.6%</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left"/>
              <w:rPr>
                <w:rFonts w:asciiTheme="minorEastAsia" w:eastAsiaTheme="minorEastAsia" w:hAnsiTheme="minorEastAsia"/>
                <w:sz w:val="24"/>
              </w:rPr>
            </w:pPr>
            <w:r w:rsidRPr="003317D3">
              <w:rPr>
                <w:rFonts w:asciiTheme="minorEastAsia" w:eastAsiaTheme="minorEastAsia" w:hAnsiTheme="minorEastAsia" w:hint="eastAsia"/>
                <w:sz w:val="24"/>
              </w:rPr>
              <w:t>芜湖高新投资有限公司</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right"/>
              <w:rPr>
                <w:rFonts w:asciiTheme="minorEastAsia" w:eastAsiaTheme="minorEastAsia" w:hAnsiTheme="minorEastAsia"/>
                <w:sz w:val="24"/>
              </w:rPr>
            </w:pPr>
            <w:r w:rsidRPr="003317D3">
              <w:rPr>
                <w:rFonts w:asciiTheme="minorEastAsia" w:eastAsiaTheme="minorEastAsia" w:hAnsiTheme="minorEastAsia"/>
                <w:sz w:val="24"/>
              </w:rPr>
              <w:t>5.6%</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left"/>
              <w:rPr>
                <w:rFonts w:asciiTheme="minorEastAsia" w:eastAsiaTheme="minorEastAsia" w:hAnsiTheme="minorEastAsia"/>
                <w:sz w:val="24"/>
              </w:rPr>
            </w:pPr>
            <w:r w:rsidRPr="003317D3">
              <w:rPr>
                <w:rFonts w:asciiTheme="minorEastAsia" w:eastAsiaTheme="minorEastAsia" w:hAnsiTheme="minorEastAsia" w:hint="eastAsia"/>
                <w:sz w:val="24"/>
              </w:rPr>
              <w:t>新疆</w:t>
            </w:r>
            <w:proofErr w:type="gramStart"/>
            <w:r w:rsidRPr="003317D3">
              <w:rPr>
                <w:rFonts w:asciiTheme="minorEastAsia" w:eastAsiaTheme="minorEastAsia" w:hAnsiTheme="minorEastAsia" w:hint="eastAsia"/>
                <w:sz w:val="24"/>
              </w:rPr>
              <w:t>天瑞博丰</w:t>
            </w:r>
            <w:proofErr w:type="gramEnd"/>
            <w:r w:rsidRPr="003317D3">
              <w:rPr>
                <w:rFonts w:asciiTheme="minorEastAsia" w:eastAsiaTheme="minorEastAsia" w:hAnsiTheme="minorEastAsia" w:hint="eastAsia"/>
                <w:sz w:val="24"/>
              </w:rPr>
              <w:t>股权投资合伙企业（有限合伙）</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right"/>
              <w:rPr>
                <w:rFonts w:asciiTheme="minorEastAsia" w:eastAsiaTheme="minorEastAsia" w:hAnsiTheme="minorEastAsia"/>
                <w:sz w:val="24"/>
              </w:rPr>
            </w:pPr>
            <w:r w:rsidRPr="003317D3">
              <w:rPr>
                <w:rFonts w:asciiTheme="minorEastAsia" w:eastAsiaTheme="minorEastAsia" w:hAnsiTheme="minorEastAsia"/>
                <w:sz w:val="24"/>
              </w:rPr>
              <w:t>3.5%</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left"/>
              <w:rPr>
                <w:rFonts w:asciiTheme="minorEastAsia" w:eastAsiaTheme="minorEastAsia" w:hAnsiTheme="minorEastAsia"/>
                <w:sz w:val="24"/>
              </w:rPr>
            </w:pPr>
            <w:r w:rsidRPr="003317D3">
              <w:rPr>
                <w:rFonts w:asciiTheme="minorEastAsia" w:eastAsiaTheme="minorEastAsia" w:hAnsiTheme="minorEastAsia" w:hint="eastAsia"/>
                <w:sz w:val="24"/>
              </w:rPr>
              <w:t>新疆天惠新盟股权投资合伙企业（有限合伙）</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right"/>
              <w:rPr>
                <w:rFonts w:asciiTheme="minorEastAsia" w:eastAsiaTheme="minorEastAsia" w:hAnsiTheme="minorEastAsia"/>
                <w:sz w:val="24"/>
              </w:rPr>
            </w:pPr>
            <w:r w:rsidRPr="003317D3">
              <w:rPr>
                <w:rFonts w:asciiTheme="minorEastAsia" w:eastAsiaTheme="minorEastAsia" w:hAnsiTheme="minorEastAsia"/>
                <w:sz w:val="24"/>
              </w:rPr>
              <w:t>2%</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left"/>
              <w:rPr>
                <w:rFonts w:asciiTheme="minorEastAsia" w:eastAsiaTheme="minorEastAsia" w:hAnsiTheme="minorEastAsia"/>
                <w:sz w:val="24"/>
              </w:rPr>
            </w:pPr>
            <w:r w:rsidRPr="003317D3">
              <w:rPr>
                <w:rFonts w:asciiTheme="minorEastAsia" w:eastAsiaTheme="minorEastAsia" w:hAnsiTheme="minorEastAsia" w:hint="eastAsia"/>
                <w:sz w:val="24"/>
              </w:rPr>
              <w:t>新疆天</w:t>
            </w:r>
            <w:proofErr w:type="gramStart"/>
            <w:r w:rsidRPr="003317D3">
              <w:rPr>
                <w:rFonts w:asciiTheme="minorEastAsia" w:eastAsiaTheme="minorEastAsia" w:hAnsiTheme="minorEastAsia" w:hint="eastAsia"/>
                <w:sz w:val="24"/>
              </w:rPr>
              <w:t>阜</w:t>
            </w:r>
            <w:proofErr w:type="gramEnd"/>
            <w:r w:rsidRPr="003317D3">
              <w:rPr>
                <w:rFonts w:asciiTheme="minorEastAsia" w:eastAsiaTheme="minorEastAsia" w:hAnsiTheme="minorEastAsia" w:hint="eastAsia"/>
                <w:sz w:val="24"/>
              </w:rPr>
              <w:t>恒基股权投资合伙企业（有限合伙）</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right"/>
              <w:rPr>
                <w:rFonts w:asciiTheme="minorEastAsia" w:eastAsiaTheme="minorEastAsia" w:hAnsiTheme="minorEastAsia"/>
                <w:sz w:val="24"/>
              </w:rPr>
            </w:pPr>
            <w:r w:rsidRPr="003317D3">
              <w:rPr>
                <w:rFonts w:asciiTheme="minorEastAsia" w:eastAsiaTheme="minorEastAsia" w:hAnsiTheme="minorEastAsia"/>
                <w:sz w:val="24"/>
              </w:rPr>
              <w:t>2%</w:t>
            </w:r>
          </w:p>
        </w:tc>
      </w:tr>
      <w:tr w:rsidR="00562FFD">
        <w:trPr>
          <w:trHeight w:val="614"/>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left"/>
              <w:rPr>
                <w:rFonts w:asciiTheme="minorEastAsia" w:eastAsiaTheme="minorEastAsia" w:hAnsiTheme="minorEastAsia"/>
                <w:sz w:val="24"/>
              </w:rPr>
            </w:pPr>
            <w:r w:rsidRPr="003317D3">
              <w:rPr>
                <w:rFonts w:asciiTheme="minorEastAsia" w:eastAsiaTheme="minorEastAsia" w:hAnsiTheme="minorEastAsia" w:hint="eastAsia"/>
                <w:sz w:val="24"/>
              </w:rPr>
              <w:t>新疆天聚</w:t>
            </w:r>
            <w:proofErr w:type="gramStart"/>
            <w:r w:rsidRPr="003317D3">
              <w:rPr>
                <w:rFonts w:asciiTheme="minorEastAsia" w:eastAsiaTheme="minorEastAsia" w:hAnsiTheme="minorEastAsia" w:hint="eastAsia"/>
                <w:sz w:val="24"/>
              </w:rPr>
              <w:t>宸</w:t>
            </w:r>
            <w:proofErr w:type="gramEnd"/>
            <w:r w:rsidRPr="003317D3">
              <w:rPr>
                <w:rFonts w:asciiTheme="minorEastAsia" w:eastAsiaTheme="minorEastAsia" w:hAnsiTheme="minorEastAsia" w:hint="eastAsia"/>
                <w:sz w:val="24"/>
              </w:rPr>
              <w:t>兴股权投资合伙企业（有限合伙）</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360" w:lineRule="auto"/>
              <w:jc w:val="right"/>
              <w:rPr>
                <w:rFonts w:asciiTheme="minorEastAsia" w:eastAsiaTheme="minorEastAsia" w:hAnsiTheme="minorEastAsia"/>
                <w:sz w:val="24"/>
              </w:rPr>
            </w:pPr>
            <w:r w:rsidRPr="003317D3">
              <w:rPr>
                <w:rFonts w:asciiTheme="minorEastAsia" w:eastAsiaTheme="minorEastAsia" w:hAnsiTheme="minorEastAsia"/>
                <w:sz w:val="24"/>
              </w:rPr>
              <w:t>3.5%</w:t>
            </w:r>
          </w:p>
        </w:tc>
      </w:tr>
      <w:tr w:rsidR="00562FFD">
        <w:trPr>
          <w:jc w:val="center"/>
        </w:trPr>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center"/>
              <w:rPr>
                <w:rFonts w:asciiTheme="minorEastAsia" w:eastAsiaTheme="minorEastAsia" w:hAnsiTheme="minorEastAsia"/>
                <w:sz w:val="24"/>
              </w:rPr>
            </w:pPr>
            <w:r w:rsidRPr="003317D3">
              <w:rPr>
                <w:rFonts w:asciiTheme="minorEastAsia" w:eastAsiaTheme="minorEastAsia" w:hAnsiTheme="minorEastAsia" w:hint="eastAsia"/>
                <w:sz w:val="24"/>
              </w:rPr>
              <w:t>合计</w:t>
            </w:r>
          </w:p>
        </w:tc>
        <w:tc>
          <w:tcPr>
            <w:tcW w:w="3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2FFD" w:rsidRPr="003317D3" w:rsidRDefault="003317D3">
            <w:pPr>
              <w:spacing w:line="500" w:lineRule="exact"/>
              <w:jc w:val="right"/>
              <w:rPr>
                <w:rFonts w:asciiTheme="minorEastAsia" w:eastAsiaTheme="minorEastAsia" w:hAnsiTheme="minorEastAsia"/>
                <w:sz w:val="24"/>
              </w:rPr>
            </w:pPr>
            <w:r w:rsidRPr="003317D3">
              <w:rPr>
                <w:rFonts w:asciiTheme="minorEastAsia" w:eastAsiaTheme="minorEastAsia" w:hAnsiTheme="minorEastAsia"/>
                <w:sz w:val="24"/>
              </w:rPr>
              <w:t>100%</w:t>
            </w:r>
          </w:p>
        </w:tc>
      </w:tr>
    </w:tbl>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二、主要人员情况</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1、董事会成员基本情况</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韩歆毅先生，拟任董事长，董事，硕士。历任中国国际金融股份有限公司投资银行部执行总经理、阿里巴巴集团企业融资部资深总监，现任蚂蚁科技集团股</w:t>
      </w:r>
      <w:r>
        <w:rPr>
          <w:rFonts w:ascii="宋体" w:hAnsi="宋体" w:hint="eastAsia"/>
          <w:color w:val="000000"/>
          <w:sz w:val="24"/>
        </w:rPr>
        <w:lastRenderedPageBreak/>
        <w:t>份有限公司首席财务官、副总裁。</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郭树强先生，代行董事长，董事，总经理，硕士。历任华夏基金管理有限公司交易主管、基金经理、研究总监、机构投资总监、投资决策委员会委员、机构投资决策委员会主任、公司管委会委员、公司总经理助理。现任本公司总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周志峰先生，董事，本科。历任方达律师事务所律师、律所合伙人。现任蚂蚁科技集团股份有限公司首席法</w:t>
      </w:r>
      <w:proofErr w:type="gramStart"/>
      <w:r>
        <w:rPr>
          <w:rFonts w:ascii="宋体" w:hAnsi="宋体" w:hint="eastAsia"/>
          <w:color w:val="000000"/>
          <w:sz w:val="24"/>
        </w:rPr>
        <w:t>务</w:t>
      </w:r>
      <w:proofErr w:type="gramEnd"/>
      <w:r>
        <w:rPr>
          <w:rFonts w:ascii="宋体" w:hAnsi="宋体" w:hint="eastAsia"/>
          <w:color w:val="000000"/>
          <w:sz w:val="24"/>
        </w:rPr>
        <w:t>官、董事会秘书。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祖国明先生，董事，本科。历任中国证券市场研究设计中心工程师，和讯信息科技有限公司COO助理，浙江淘宝网络有限公司总监，支付宝（中国）网络技术有限公司北京分公司资深总监，现任蚂蚁科技集团股份有限公司金融机构战略合作部总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张杰先生，董事，注册会计师、注册审计师。历任锡林</w:t>
      </w:r>
      <w:proofErr w:type="gramStart"/>
      <w:r>
        <w:rPr>
          <w:rFonts w:ascii="宋体" w:hAnsi="宋体" w:hint="eastAsia"/>
          <w:color w:val="000000"/>
          <w:sz w:val="24"/>
        </w:rPr>
        <w:t>浩特市君正</w:t>
      </w:r>
      <w:proofErr w:type="gramEnd"/>
      <w:r>
        <w:rPr>
          <w:rFonts w:ascii="宋体" w:hAnsi="宋体" w:hint="eastAsia"/>
          <w:color w:val="000000"/>
          <w:sz w:val="24"/>
        </w:rPr>
        <w:t>能源化工有限责任公司董事长、总经理，</w:t>
      </w:r>
      <w:proofErr w:type="gramStart"/>
      <w:r>
        <w:rPr>
          <w:rFonts w:ascii="宋体" w:hAnsi="宋体" w:hint="eastAsia"/>
          <w:color w:val="000000"/>
          <w:sz w:val="24"/>
        </w:rPr>
        <w:t>锡林郭勒盟君正</w:t>
      </w:r>
      <w:proofErr w:type="gramEnd"/>
      <w:r>
        <w:rPr>
          <w:rFonts w:ascii="宋体" w:hAnsi="宋体" w:hint="eastAsia"/>
          <w:color w:val="000000"/>
          <w:sz w:val="24"/>
        </w:rPr>
        <w:t>能源化工有限责任公司执行董事、总经理，内蒙古君正化工有限责任公司监事，乌海市君正矿业有限责任公司监事，</w:t>
      </w:r>
      <w:proofErr w:type="gramStart"/>
      <w:r>
        <w:rPr>
          <w:rFonts w:ascii="宋体" w:hAnsi="宋体" w:hint="eastAsia"/>
          <w:color w:val="000000"/>
          <w:sz w:val="24"/>
        </w:rPr>
        <w:t>鄂尔多斯市君正</w:t>
      </w:r>
      <w:proofErr w:type="gramEnd"/>
      <w:r>
        <w:rPr>
          <w:rFonts w:ascii="宋体" w:hAnsi="宋体" w:hint="eastAsia"/>
          <w:color w:val="000000"/>
          <w:sz w:val="24"/>
        </w:rPr>
        <w:t>能源化工有限公司监事，乌海市神华君正实业有限责任公司监事会主席，内蒙古君正天原化工有限责任公司监事，连云港港口国际石化仓储有限公司董事，上海傲兴国际船舶管理有限公司监事，内蒙古君正互联网小额贷款有限公司董事长，现任内蒙古君正能源化工集团股份有限公司董事会秘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付岩先生，董事，本科。历任北洋（天津）物产集团有限公司期货部交易员，中国经济开发信托投资公司天津证券部投资部职员，顺驰（中国）地产有限公司资产管理部高级经理、天津信托有限责任公司投资银行部项目经理。现任天津信托有限责任公司总经理助理、普惠金融总部总经理、普惠金融部总经理，天津国通股权投资基金管理有限公司董事、总经理，天津天信汇金资产管理有限公司董事长（法定代表人）、总经理，中车金</w:t>
      </w:r>
      <w:proofErr w:type="gramStart"/>
      <w:r>
        <w:rPr>
          <w:rFonts w:ascii="宋体" w:hAnsi="宋体" w:hint="eastAsia"/>
          <w:color w:val="000000"/>
          <w:sz w:val="24"/>
        </w:rPr>
        <w:t>租</w:t>
      </w:r>
      <w:proofErr w:type="gramEnd"/>
      <w:r>
        <w:rPr>
          <w:rFonts w:ascii="宋体" w:hAnsi="宋体" w:hint="eastAsia"/>
          <w:color w:val="000000"/>
          <w:sz w:val="24"/>
        </w:rPr>
        <w:t xml:space="preserve">租赁有限公司董事。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张军先生，独立董事，博士。现任复旦大学经济学院院长。</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贺强先生，独立董事，本科。现任中央财经大学金融学院教授。</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魏新顺先生，独立董事，本科。历任天津市政府法制</w:t>
      </w:r>
      <w:proofErr w:type="gramStart"/>
      <w:r>
        <w:rPr>
          <w:rFonts w:ascii="宋体" w:hAnsi="宋体" w:hint="eastAsia"/>
          <w:color w:val="000000"/>
          <w:sz w:val="24"/>
        </w:rPr>
        <w:t>办执法</w:t>
      </w:r>
      <w:proofErr w:type="gramEnd"/>
      <w:r>
        <w:rPr>
          <w:rFonts w:ascii="宋体" w:hAnsi="宋体" w:hint="eastAsia"/>
          <w:color w:val="000000"/>
          <w:sz w:val="24"/>
        </w:rPr>
        <w:t>监督处副处长，天津市政府法制办经济法规处处长，天津达天律师事务所律师。现任天津英联律师事务所主任律师。</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2、监事会成员基本情况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lastRenderedPageBreak/>
        <w:t>杨海军先生，监事，本科。历任北京证券有限责任公司深圳营业部总经理，联合证券有限责任公司交易管理部总经理，厦门联合信托投资有限责任公司上海证券部总经理，中泰信托有限责任公司证券部总经理、北京中心副总经理兼北京中心综合管理部总经理，上海实业城市开发集团有限公司深圳公司总经理兼融产结合推进办副主任，现任天津信托有限责任公司业务总监。</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刘佳女士，监事，硕士。历任中国国际航空股份有限公司审计部审计经理，联想控股股份有限公司审计经理，现任内蒙古君正集团企业管理（北京）有限公司执行董事、经理，上海君正物流有限公司财务部副总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李渊女士，监事，硕士。历任北京朗山律师事务所律师，现任芜湖高新投资有限公司法</w:t>
      </w:r>
      <w:proofErr w:type="gramStart"/>
      <w:r>
        <w:rPr>
          <w:rFonts w:ascii="宋体" w:hAnsi="宋体" w:hint="eastAsia"/>
          <w:color w:val="000000"/>
          <w:sz w:val="24"/>
        </w:rPr>
        <w:t>务</w:t>
      </w:r>
      <w:proofErr w:type="gramEnd"/>
      <w:r>
        <w:rPr>
          <w:rFonts w:ascii="宋体" w:hAnsi="宋体" w:hint="eastAsia"/>
          <w:color w:val="000000"/>
          <w:sz w:val="24"/>
        </w:rPr>
        <w:t xml:space="preserve">总监。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付颖女士，监事，硕士。历任本公司内控合</w:t>
      </w:r>
      <w:proofErr w:type="gramStart"/>
      <w:r>
        <w:rPr>
          <w:rFonts w:ascii="宋体" w:hAnsi="宋体" w:hint="eastAsia"/>
          <w:color w:val="000000"/>
          <w:sz w:val="24"/>
        </w:rPr>
        <w:t>规</w:t>
      </w:r>
      <w:proofErr w:type="gramEnd"/>
      <w:r>
        <w:rPr>
          <w:rFonts w:ascii="宋体" w:hAnsi="宋体" w:hint="eastAsia"/>
          <w:color w:val="000000"/>
          <w:sz w:val="24"/>
        </w:rPr>
        <w:t>部信息披露专员、法</w:t>
      </w:r>
      <w:proofErr w:type="gramStart"/>
      <w:r>
        <w:rPr>
          <w:rFonts w:ascii="宋体" w:hAnsi="宋体" w:hint="eastAsia"/>
          <w:color w:val="000000"/>
          <w:sz w:val="24"/>
        </w:rPr>
        <w:t>务</w:t>
      </w:r>
      <w:proofErr w:type="gramEnd"/>
      <w:r>
        <w:rPr>
          <w:rFonts w:ascii="宋体" w:hAnsi="宋体" w:hint="eastAsia"/>
          <w:color w:val="000000"/>
          <w:sz w:val="24"/>
        </w:rPr>
        <w:t>专员、合</w:t>
      </w:r>
      <w:proofErr w:type="gramStart"/>
      <w:r>
        <w:rPr>
          <w:rFonts w:ascii="宋体" w:hAnsi="宋体" w:hint="eastAsia"/>
          <w:color w:val="000000"/>
          <w:sz w:val="24"/>
        </w:rPr>
        <w:t>规</w:t>
      </w:r>
      <w:proofErr w:type="gramEnd"/>
      <w:r>
        <w:rPr>
          <w:rFonts w:ascii="宋体" w:hAnsi="宋体" w:hint="eastAsia"/>
          <w:color w:val="000000"/>
          <w:sz w:val="24"/>
        </w:rPr>
        <w:t>专员、高级合</w:t>
      </w:r>
      <w:proofErr w:type="gramStart"/>
      <w:r>
        <w:rPr>
          <w:rFonts w:ascii="宋体" w:hAnsi="宋体" w:hint="eastAsia"/>
          <w:color w:val="000000"/>
          <w:sz w:val="24"/>
        </w:rPr>
        <w:t>规</w:t>
      </w:r>
      <w:proofErr w:type="gramEnd"/>
      <w:r>
        <w:rPr>
          <w:rFonts w:ascii="宋体" w:hAnsi="宋体" w:hint="eastAsia"/>
          <w:color w:val="000000"/>
          <w:sz w:val="24"/>
        </w:rPr>
        <w:t>经理、部门主管，现任本公司内控合</w:t>
      </w:r>
      <w:proofErr w:type="gramStart"/>
      <w:r>
        <w:rPr>
          <w:rFonts w:ascii="宋体" w:hAnsi="宋体" w:hint="eastAsia"/>
          <w:color w:val="000000"/>
          <w:sz w:val="24"/>
        </w:rPr>
        <w:t>规</w:t>
      </w:r>
      <w:proofErr w:type="gramEnd"/>
      <w:r>
        <w:rPr>
          <w:rFonts w:ascii="宋体" w:hAnsi="宋体" w:hint="eastAsia"/>
          <w:color w:val="000000"/>
          <w:sz w:val="24"/>
        </w:rPr>
        <w:t>部总经理。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于洋先生，监事，博士。2011年7月加盟</w:t>
      </w:r>
      <w:proofErr w:type="gramStart"/>
      <w:r>
        <w:rPr>
          <w:rFonts w:ascii="宋体" w:hAnsi="宋体" w:hint="eastAsia"/>
          <w:color w:val="000000"/>
          <w:sz w:val="24"/>
        </w:rPr>
        <w:t>天弘基金</w:t>
      </w:r>
      <w:proofErr w:type="gramEnd"/>
      <w:r>
        <w:rPr>
          <w:rFonts w:ascii="宋体" w:hAnsi="宋体" w:hint="eastAsia"/>
          <w:color w:val="000000"/>
          <w:sz w:val="24"/>
        </w:rPr>
        <w:t>管理有限公司，历任研究员、投资研究部总经理助理，现任股票投资研究部总经理助理、基金经理。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史明慧女士，监事，硕士。历任新华基金管理有限公司高级产品经理，北京新华富时资产管理有限公司部门总经理助理，2014年6月加盟</w:t>
      </w:r>
      <w:proofErr w:type="gramStart"/>
      <w:r>
        <w:rPr>
          <w:rFonts w:ascii="宋体" w:hAnsi="宋体" w:hint="eastAsia"/>
          <w:color w:val="000000"/>
          <w:sz w:val="24"/>
        </w:rPr>
        <w:t>天弘基金</w:t>
      </w:r>
      <w:proofErr w:type="gramEnd"/>
      <w:r>
        <w:rPr>
          <w:rFonts w:ascii="宋体" w:hAnsi="宋体" w:hint="eastAsia"/>
          <w:color w:val="000000"/>
          <w:sz w:val="24"/>
        </w:rPr>
        <w:t>管理有限公司，历任高级产品经理，现任产品部负责人。</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3、高级管理人员基本情况</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郭树强先生，总经理，简历参见董事会成员基本情况。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陈钢先生，副总经理，硕士。历任华龙证券公司固定收益部高级经理，北京宸星投资管理公司投资经理，兴业证券公司债券总部研究部经理，银华基金管理有限公司机构理财部高级经理，中国人</w:t>
      </w:r>
      <w:proofErr w:type="gramStart"/>
      <w:r>
        <w:rPr>
          <w:rFonts w:ascii="宋体" w:hAnsi="宋体" w:hint="eastAsia"/>
          <w:color w:val="000000"/>
          <w:sz w:val="24"/>
        </w:rPr>
        <w:t>寿资产</w:t>
      </w:r>
      <w:proofErr w:type="gramEnd"/>
      <w:r>
        <w:rPr>
          <w:rFonts w:ascii="宋体" w:hAnsi="宋体" w:hint="eastAsia"/>
          <w:color w:val="000000"/>
          <w:sz w:val="24"/>
        </w:rPr>
        <w:t>管理有限公司固定收益部高级投资经理。2011年7月份加盟本公司，现任公司副总经理、固定收益总监、</w:t>
      </w:r>
      <w:proofErr w:type="gramStart"/>
      <w:r>
        <w:rPr>
          <w:rFonts w:ascii="宋体" w:hAnsi="宋体" w:hint="eastAsia"/>
          <w:color w:val="000000"/>
          <w:sz w:val="24"/>
        </w:rPr>
        <w:t>资深基金</w:t>
      </w:r>
      <w:proofErr w:type="gramEnd"/>
      <w:r>
        <w:rPr>
          <w:rFonts w:ascii="宋体" w:hAnsi="宋体" w:hint="eastAsia"/>
          <w:color w:val="000000"/>
          <w:sz w:val="24"/>
        </w:rPr>
        <w:t xml:space="preserve">经理。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周晓明先生，副总经理，硕士。历任中国证券市场研究院设计中心及其下属北京标准股份制咨询公司经理，万通企业集团总裁助理，中工信托有限公司投资部副总，国信证券北京投资银行一部经理，北京证券投资银行部副总，嘉</w:t>
      </w:r>
      <w:proofErr w:type="gramStart"/>
      <w:r>
        <w:rPr>
          <w:rFonts w:ascii="宋体" w:hAnsi="宋体" w:hint="eastAsia"/>
          <w:color w:val="000000"/>
          <w:sz w:val="24"/>
        </w:rPr>
        <w:t>实基金</w:t>
      </w:r>
      <w:proofErr w:type="gramEnd"/>
      <w:r>
        <w:rPr>
          <w:rFonts w:ascii="宋体" w:hAnsi="宋体" w:hint="eastAsia"/>
          <w:color w:val="000000"/>
          <w:sz w:val="24"/>
        </w:rPr>
        <w:t>市场部副总监、渠道部总监，香港汇富集团高级副总裁，</w:t>
      </w:r>
      <w:proofErr w:type="gramStart"/>
      <w:r>
        <w:rPr>
          <w:rFonts w:ascii="宋体" w:hAnsi="宋体" w:hint="eastAsia"/>
          <w:color w:val="000000"/>
          <w:sz w:val="24"/>
        </w:rPr>
        <w:t>工银瑞信</w:t>
      </w:r>
      <w:proofErr w:type="gramEnd"/>
      <w:r>
        <w:rPr>
          <w:rFonts w:ascii="宋体" w:hAnsi="宋体" w:hint="eastAsia"/>
          <w:color w:val="000000"/>
          <w:sz w:val="24"/>
        </w:rPr>
        <w:t>基金市场部副总监，嘉</w:t>
      </w:r>
      <w:proofErr w:type="gramStart"/>
      <w:r>
        <w:rPr>
          <w:rFonts w:ascii="宋体" w:hAnsi="宋体" w:hint="eastAsia"/>
          <w:color w:val="000000"/>
          <w:sz w:val="24"/>
        </w:rPr>
        <w:t>实基金</w:t>
      </w:r>
      <w:proofErr w:type="gramEnd"/>
      <w:r>
        <w:rPr>
          <w:rFonts w:ascii="宋体" w:hAnsi="宋体" w:hint="eastAsia"/>
          <w:color w:val="000000"/>
          <w:sz w:val="24"/>
        </w:rPr>
        <w:t>产品和营销总监，盛世基金拟任总经理。2011年8月加盟本公</w:t>
      </w:r>
      <w:r>
        <w:rPr>
          <w:rFonts w:ascii="宋体" w:hAnsi="宋体" w:hint="eastAsia"/>
          <w:color w:val="000000"/>
          <w:sz w:val="24"/>
        </w:rPr>
        <w:lastRenderedPageBreak/>
        <w:t xml:space="preserve">司，同月被任命为公司首席市场官，现任公司副总经理。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熊军先生，副总经理，财政学博士。历任中央教育科学研究所助理研究员，国家国有资产管理局主任科员、副处长，财政部干部教育中心副处长，全国社保基金理事会副处长、处长、副主任、巡视员。2017年3月加盟本公司，任命为公司首席经济学家，现任公司副总经理。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朱海扬先生，副总经理，博士。历任中国太平洋人寿保险股份有限公司一级专务、副处长、太平洋养老保险公司筹备组成员，长江养老保险股份有限公司筹备组业务组副组长，市场发展部副总经理（主持工作）、销售管理部总经理、产品支持部总经理、养老金财富管理部总经理，安邦养老保险股份有限公司拟任总经理助理。2015年6月加盟本公司，历任养老金业务总监、总经理助理，现任公司副总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童建林先生，督察长，本科，高级会计师。历任当阳市产权证券交易中心财务部经理、副总经理，亚洲证券有限责任公司宜昌总部财务主管、宜昌营业部财务部经理、公司财务会计总部财务主管，华泰证券有限责任公司上海总部财务项目主管。2006年8月加盟本公司，历任基金会计、内控合</w:t>
      </w:r>
      <w:proofErr w:type="gramStart"/>
      <w:r>
        <w:rPr>
          <w:rFonts w:ascii="宋体" w:hAnsi="宋体" w:hint="eastAsia"/>
          <w:color w:val="000000"/>
          <w:sz w:val="24"/>
        </w:rPr>
        <w:t>规</w:t>
      </w:r>
      <w:proofErr w:type="gramEnd"/>
      <w:r>
        <w:rPr>
          <w:rFonts w:ascii="宋体" w:hAnsi="宋体" w:hint="eastAsia"/>
          <w:color w:val="000000"/>
          <w:sz w:val="24"/>
        </w:rPr>
        <w:t>部副总经理、内控合</w:t>
      </w:r>
      <w:proofErr w:type="gramStart"/>
      <w:r>
        <w:rPr>
          <w:rFonts w:ascii="宋体" w:hAnsi="宋体" w:hint="eastAsia"/>
          <w:color w:val="000000"/>
          <w:sz w:val="24"/>
        </w:rPr>
        <w:t>规</w:t>
      </w:r>
      <w:proofErr w:type="gramEnd"/>
      <w:r>
        <w:rPr>
          <w:rFonts w:ascii="宋体" w:hAnsi="宋体" w:hint="eastAsia"/>
          <w:color w:val="000000"/>
          <w:sz w:val="24"/>
        </w:rPr>
        <w:t>部总经理。现任本公司督察长。</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4、本</w:t>
      </w:r>
      <w:proofErr w:type="gramStart"/>
      <w:r>
        <w:rPr>
          <w:rFonts w:ascii="宋体" w:hAnsi="宋体" w:hint="eastAsia"/>
          <w:color w:val="000000"/>
          <w:sz w:val="24"/>
        </w:rPr>
        <w:t>基金基金</w:t>
      </w:r>
      <w:proofErr w:type="gramEnd"/>
      <w:r>
        <w:rPr>
          <w:rFonts w:ascii="宋体" w:hAnsi="宋体" w:hint="eastAsia"/>
          <w:color w:val="000000"/>
          <w:sz w:val="24"/>
        </w:rPr>
        <w:t>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姜晓丽女士，经济学硕士，12年证券从业经验。历任本公司债券研究员兼债券交易员，光大永明人寿保险有限公司债券研究员兼交易员，本公司固定收益部研究员，天弘</w:t>
      </w:r>
      <w:proofErr w:type="gramStart"/>
      <w:r>
        <w:rPr>
          <w:rFonts w:ascii="宋体" w:hAnsi="宋体" w:hint="eastAsia"/>
          <w:color w:val="000000"/>
          <w:sz w:val="24"/>
        </w:rPr>
        <w:t>鑫</w:t>
      </w:r>
      <w:proofErr w:type="gramEnd"/>
      <w:r>
        <w:rPr>
          <w:rFonts w:ascii="宋体" w:hAnsi="宋体" w:hint="eastAsia"/>
          <w:color w:val="000000"/>
          <w:sz w:val="24"/>
        </w:rPr>
        <w:t>动力灵活配置混合型证券投资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经理（2015年6月至2017年8月）、</w:t>
      </w:r>
      <w:proofErr w:type="gramStart"/>
      <w:r>
        <w:rPr>
          <w:rFonts w:ascii="宋体" w:hAnsi="宋体" w:hint="eastAsia"/>
          <w:color w:val="000000"/>
          <w:sz w:val="24"/>
        </w:rPr>
        <w:t>天弘聚利</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经理（2016年12月至2018年3月）、</w:t>
      </w:r>
      <w:proofErr w:type="gramStart"/>
      <w:r>
        <w:rPr>
          <w:rFonts w:ascii="宋体" w:hAnsi="宋体" w:hint="eastAsia"/>
          <w:color w:val="000000"/>
          <w:sz w:val="24"/>
        </w:rPr>
        <w:t>天弘瑞</w:t>
      </w:r>
      <w:proofErr w:type="gramEnd"/>
      <w:r>
        <w:rPr>
          <w:rFonts w:ascii="宋体" w:hAnsi="宋体" w:hint="eastAsia"/>
          <w:color w:val="000000"/>
          <w:sz w:val="24"/>
        </w:rPr>
        <w:t>利分级债券型证券投资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经理（2015年1月至2018年3月）、</w:t>
      </w:r>
      <w:proofErr w:type="gramStart"/>
      <w:r>
        <w:rPr>
          <w:rFonts w:ascii="宋体" w:hAnsi="宋体" w:hint="eastAsia"/>
          <w:color w:val="000000"/>
          <w:sz w:val="24"/>
        </w:rPr>
        <w:t>天弘天盈</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经理（2017年5月至2018年6月）、</w:t>
      </w:r>
      <w:proofErr w:type="gramStart"/>
      <w:r>
        <w:rPr>
          <w:rFonts w:ascii="宋体" w:hAnsi="宋体" w:hint="eastAsia"/>
          <w:color w:val="000000"/>
          <w:sz w:val="24"/>
        </w:rPr>
        <w:t>天弘喜</w:t>
      </w:r>
      <w:proofErr w:type="gramEnd"/>
      <w:r>
        <w:rPr>
          <w:rFonts w:ascii="宋体" w:hAnsi="宋体" w:hint="eastAsia"/>
          <w:color w:val="000000"/>
          <w:sz w:val="24"/>
        </w:rPr>
        <w:t>利灵活配置混合型证券投资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经理(2016年11月至2018年8月)、</w:t>
      </w:r>
      <w:proofErr w:type="gramStart"/>
      <w:r>
        <w:rPr>
          <w:rFonts w:ascii="宋体" w:hAnsi="宋体" w:hint="eastAsia"/>
          <w:color w:val="000000"/>
          <w:sz w:val="24"/>
        </w:rPr>
        <w:t>天弘安盈</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经理（2016年11月至2018年9月）、</w:t>
      </w:r>
      <w:proofErr w:type="gramStart"/>
      <w:r>
        <w:rPr>
          <w:rFonts w:ascii="宋体" w:hAnsi="宋体" w:hint="eastAsia"/>
          <w:color w:val="000000"/>
          <w:sz w:val="24"/>
        </w:rPr>
        <w:t>天弘金</w:t>
      </w:r>
      <w:proofErr w:type="gramEnd"/>
      <w:r>
        <w:rPr>
          <w:rFonts w:ascii="宋体" w:hAnsi="宋体" w:hint="eastAsia"/>
          <w:color w:val="000000"/>
          <w:sz w:val="24"/>
        </w:rPr>
        <w:t>利灵活配置混合型证券投资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经理（2016年12月至2018年9月）、</w:t>
      </w:r>
      <w:proofErr w:type="gramStart"/>
      <w:r>
        <w:rPr>
          <w:rFonts w:ascii="宋体" w:hAnsi="宋体" w:hint="eastAsia"/>
          <w:color w:val="000000"/>
          <w:sz w:val="24"/>
        </w:rPr>
        <w:t>天弘金</w:t>
      </w:r>
      <w:proofErr w:type="gramEnd"/>
      <w:r>
        <w:rPr>
          <w:rFonts w:ascii="宋体" w:hAnsi="宋体" w:hint="eastAsia"/>
          <w:color w:val="000000"/>
          <w:sz w:val="24"/>
        </w:rPr>
        <w:t>明灵活配置混合型证券投资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经理（2017年3月至2019年4月）、</w:t>
      </w:r>
      <w:proofErr w:type="gramStart"/>
      <w:r>
        <w:rPr>
          <w:rFonts w:ascii="宋体" w:hAnsi="宋体" w:hint="eastAsia"/>
          <w:color w:val="000000"/>
          <w:sz w:val="24"/>
        </w:rPr>
        <w:t>天弘添利</w:t>
      </w:r>
      <w:proofErr w:type="gramEnd"/>
      <w:r>
        <w:rPr>
          <w:rFonts w:ascii="宋体" w:hAnsi="宋体" w:hint="eastAsia"/>
          <w:color w:val="000000"/>
          <w:sz w:val="24"/>
        </w:rPr>
        <w:t>债券型证券投资基金（LOF）基金经理（2018年8月至2019年11月）、</w:t>
      </w:r>
      <w:proofErr w:type="gramStart"/>
      <w:r>
        <w:rPr>
          <w:rFonts w:ascii="宋体" w:hAnsi="宋体" w:hint="eastAsia"/>
          <w:color w:val="000000"/>
          <w:sz w:val="24"/>
        </w:rPr>
        <w:t>天弘稳利</w:t>
      </w:r>
      <w:proofErr w:type="gramEnd"/>
      <w:r>
        <w:rPr>
          <w:rFonts w:ascii="宋体" w:hAnsi="宋体" w:hint="eastAsia"/>
          <w:color w:val="000000"/>
          <w:sz w:val="24"/>
        </w:rPr>
        <w:t>定期开放债券型证券投资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经理（2013年7月至2019</w:t>
      </w:r>
      <w:r>
        <w:rPr>
          <w:rFonts w:ascii="宋体" w:hAnsi="宋体" w:hint="eastAsia"/>
          <w:color w:val="000000"/>
          <w:sz w:val="24"/>
        </w:rPr>
        <w:lastRenderedPageBreak/>
        <w:t>年11月）、</w:t>
      </w:r>
      <w:proofErr w:type="gramStart"/>
      <w:r>
        <w:rPr>
          <w:rFonts w:ascii="宋体" w:hAnsi="宋体" w:hint="eastAsia"/>
          <w:color w:val="000000"/>
          <w:sz w:val="24"/>
        </w:rPr>
        <w:t>天弘信</w:t>
      </w:r>
      <w:proofErr w:type="gramEnd"/>
      <w:r>
        <w:rPr>
          <w:rFonts w:ascii="宋体" w:hAnsi="宋体" w:hint="eastAsia"/>
          <w:color w:val="000000"/>
          <w:sz w:val="24"/>
        </w:rPr>
        <w:t>利债券型证券投资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经理（2016年12月至2019年11月）、</w:t>
      </w:r>
      <w:proofErr w:type="gramStart"/>
      <w:r>
        <w:rPr>
          <w:rFonts w:ascii="宋体" w:hAnsi="宋体" w:hint="eastAsia"/>
          <w:color w:val="000000"/>
          <w:sz w:val="24"/>
        </w:rPr>
        <w:t>天弘裕利</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经理（2016年1月至2019年11月）、</w:t>
      </w:r>
      <w:proofErr w:type="gramStart"/>
      <w:r>
        <w:rPr>
          <w:rFonts w:ascii="宋体" w:hAnsi="宋体" w:hint="eastAsia"/>
          <w:color w:val="000000"/>
          <w:sz w:val="24"/>
        </w:rPr>
        <w:t>天弘悦享</w:t>
      </w:r>
      <w:proofErr w:type="gramEnd"/>
      <w:r>
        <w:rPr>
          <w:rFonts w:ascii="宋体" w:hAnsi="宋体" w:hint="eastAsia"/>
          <w:color w:val="000000"/>
          <w:sz w:val="24"/>
        </w:rPr>
        <w:t>定期开放债券型发起式证券投资</w:t>
      </w:r>
      <w:proofErr w:type="gramStart"/>
      <w:r>
        <w:rPr>
          <w:rFonts w:ascii="宋体" w:hAnsi="宋体" w:hint="eastAsia"/>
          <w:color w:val="000000"/>
          <w:sz w:val="24"/>
        </w:rPr>
        <w:t>基金基金</w:t>
      </w:r>
      <w:proofErr w:type="gramEnd"/>
      <w:r>
        <w:rPr>
          <w:rFonts w:ascii="宋体" w:hAnsi="宋体" w:hint="eastAsia"/>
          <w:color w:val="000000"/>
          <w:sz w:val="24"/>
        </w:rPr>
        <w:t>经理（2018年5月至2019年11月）、天弘</w:t>
      </w:r>
      <w:proofErr w:type="gramStart"/>
      <w:r>
        <w:rPr>
          <w:rFonts w:ascii="宋体" w:hAnsi="宋体" w:hint="eastAsia"/>
          <w:color w:val="000000"/>
          <w:sz w:val="24"/>
        </w:rPr>
        <w:t>弘</w:t>
      </w:r>
      <w:proofErr w:type="gramEnd"/>
      <w:r>
        <w:rPr>
          <w:rFonts w:ascii="宋体" w:hAnsi="宋体" w:hint="eastAsia"/>
          <w:color w:val="000000"/>
          <w:sz w:val="24"/>
        </w:rPr>
        <w:t>利债券型证券投资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经理（2017年4月至2019年12月）、</w:t>
      </w:r>
      <w:proofErr w:type="gramStart"/>
      <w:r>
        <w:rPr>
          <w:rFonts w:ascii="宋体" w:hAnsi="宋体" w:hint="eastAsia"/>
          <w:color w:val="000000"/>
          <w:sz w:val="24"/>
        </w:rPr>
        <w:t>天弘精选</w:t>
      </w:r>
      <w:proofErr w:type="gramEnd"/>
      <w:r>
        <w:rPr>
          <w:rFonts w:ascii="宋体" w:hAnsi="宋体" w:hint="eastAsia"/>
          <w:color w:val="000000"/>
          <w:sz w:val="24"/>
        </w:rPr>
        <w:t>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经理（2016年7月至2019年12月）、</w:t>
      </w:r>
      <w:proofErr w:type="gramStart"/>
      <w:r>
        <w:rPr>
          <w:rFonts w:ascii="宋体" w:hAnsi="宋体" w:hint="eastAsia"/>
          <w:color w:val="000000"/>
          <w:sz w:val="24"/>
        </w:rPr>
        <w:t>天弘新</w:t>
      </w:r>
      <w:proofErr w:type="gramEnd"/>
      <w:r>
        <w:rPr>
          <w:rFonts w:ascii="宋体" w:hAnsi="宋体" w:hint="eastAsia"/>
          <w:color w:val="000000"/>
          <w:sz w:val="24"/>
        </w:rPr>
        <w:t>活力灵活配置混合型发起式证券投资</w:t>
      </w:r>
      <w:proofErr w:type="gramStart"/>
      <w:r>
        <w:rPr>
          <w:rFonts w:ascii="宋体" w:hAnsi="宋体" w:hint="eastAsia"/>
          <w:color w:val="000000"/>
          <w:sz w:val="24"/>
        </w:rPr>
        <w:t>基金基金</w:t>
      </w:r>
      <w:proofErr w:type="gramEnd"/>
      <w:r>
        <w:rPr>
          <w:rFonts w:ascii="宋体" w:hAnsi="宋体" w:hint="eastAsia"/>
          <w:color w:val="000000"/>
          <w:sz w:val="24"/>
        </w:rPr>
        <w:t>经理（2015年4月至2019年12月）、</w:t>
      </w:r>
      <w:proofErr w:type="gramStart"/>
      <w:r>
        <w:rPr>
          <w:rFonts w:ascii="宋体" w:hAnsi="宋体" w:hint="eastAsia"/>
          <w:color w:val="000000"/>
          <w:sz w:val="24"/>
        </w:rPr>
        <w:t>天弘新</w:t>
      </w:r>
      <w:proofErr w:type="gramEnd"/>
      <w:r>
        <w:rPr>
          <w:rFonts w:ascii="宋体" w:hAnsi="宋体" w:hint="eastAsia"/>
          <w:color w:val="000000"/>
          <w:sz w:val="24"/>
        </w:rPr>
        <w:t>价值灵活配置混合型证券投资基金基金经理（2015年6月至2019年12月）、天弘尊享定期开放债券型发起式证券投资基金基金经理（2017年12月至2019年12月）、天弘惠利灵活配置混合型证券投资基金基金经理（2015年6月至2019年12月）、天弘弘丰增强回报债券型证券投资基金基金经理（2019年3月至2020年7月）、天弘价值精选灵活配置混合型发起式证券投资基金基金经理（2019年5月至2020年7月）、天弘安益债券型证券投资基金基金经理（2019年5月至2020年9月）、天弘穗利一年定期开放债券型证券投资基金基金经理（2019年1月至2020年9月）。现任固定收益机构投资部总经理、固定收益部总经理、宏观研究部总经理,</w:t>
      </w:r>
      <w:proofErr w:type="gramStart"/>
      <w:r>
        <w:rPr>
          <w:rFonts w:ascii="宋体" w:hAnsi="宋体" w:hint="eastAsia"/>
          <w:color w:val="000000"/>
          <w:sz w:val="24"/>
        </w:rPr>
        <w:t>天弘永</w:t>
      </w:r>
      <w:proofErr w:type="gramEnd"/>
      <w:r>
        <w:rPr>
          <w:rFonts w:ascii="宋体" w:hAnsi="宋体" w:hint="eastAsia"/>
          <w:color w:val="000000"/>
          <w:sz w:val="24"/>
        </w:rPr>
        <w:t>利债券型证券投资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天弘安康</w:t>
      </w:r>
      <w:proofErr w:type="gramEnd"/>
      <w:r>
        <w:rPr>
          <w:rFonts w:ascii="宋体" w:hAnsi="宋体" w:hint="eastAsia"/>
          <w:color w:val="000000"/>
          <w:sz w:val="24"/>
        </w:rPr>
        <w:t>颐养混合型证券投资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天弘通</w:t>
      </w:r>
      <w:proofErr w:type="gramEnd"/>
      <w:r>
        <w:rPr>
          <w:rFonts w:ascii="宋体" w:hAnsi="宋体" w:hint="eastAsia"/>
          <w:color w:val="000000"/>
          <w:sz w:val="24"/>
        </w:rPr>
        <w:t>利混合型证券投资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天弘荣</w:t>
      </w:r>
      <w:proofErr w:type="gramEnd"/>
      <w:r>
        <w:rPr>
          <w:rFonts w:ascii="宋体" w:hAnsi="宋体" w:hint="eastAsia"/>
          <w:color w:val="000000"/>
          <w:sz w:val="24"/>
        </w:rPr>
        <w:t>享定期开放债券型发起式证券投资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天弘增强</w:t>
      </w:r>
      <w:proofErr w:type="gramEnd"/>
      <w:r>
        <w:rPr>
          <w:rFonts w:ascii="宋体" w:hAnsi="宋体" w:hint="eastAsia"/>
          <w:color w:val="000000"/>
          <w:sz w:val="24"/>
        </w:rPr>
        <w:t>回报债券型证券投资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天弘华享</w:t>
      </w:r>
      <w:proofErr w:type="gramEnd"/>
      <w:r>
        <w:rPr>
          <w:rFonts w:ascii="宋体" w:hAnsi="宋体" w:hint="eastAsia"/>
          <w:color w:val="000000"/>
          <w:sz w:val="24"/>
        </w:rPr>
        <w:t>三个月定期开放债券型发起式证券投资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天弘信</w:t>
      </w:r>
      <w:proofErr w:type="gramEnd"/>
      <w:r>
        <w:rPr>
          <w:rFonts w:ascii="宋体" w:hAnsi="宋体" w:hint="eastAsia"/>
          <w:color w:val="000000"/>
          <w:sz w:val="24"/>
        </w:rPr>
        <w:t>益债券型证券投资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天弘丰利</w:t>
      </w:r>
      <w:proofErr w:type="gramEnd"/>
      <w:r>
        <w:rPr>
          <w:rFonts w:ascii="宋体" w:hAnsi="宋体" w:hint="eastAsia"/>
          <w:color w:val="000000"/>
          <w:sz w:val="24"/>
        </w:rPr>
        <w:t>债券型证券投资基金（LOF）基金经理、</w:t>
      </w:r>
      <w:proofErr w:type="gramStart"/>
      <w:r>
        <w:rPr>
          <w:rFonts w:ascii="宋体" w:hAnsi="宋体" w:hint="eastAsia"/>
          <w:color w:val="000000"/>
          <w:sz w:val="24"/>
        </w:rPr>
        <w:t>天弘安康颐</w:t>
      </w:r>
      <w:proofErr w:type="gramEnd"/>
      <w:r>
        <w:rPr>
          <w:rFonts w:ascii="宋体" w:hAnsi="宋体" w:hint="eastAsia"/>
          <w:color w:val="000000"/>
          <w:sz w:val="24"/>
        </w:rPr>
        <w:t>和混合型证券投资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张寓先生，金融学硕士，11年证券从业经验，历任建信基金管理有限责任公司助理研究员、中信证券股份有限公司研究员。2013年1月加盟本公司，历任研究员、投资经理，现任</w:t>
      </w:r>
      <w:proofErr w:type="gramStart"/>
      <w:r>
        <w:rPr>
          <w:rFonts w:ascii="宋体" w:hAnsi="宋体" w:hint="eastAsia"/>
          <w:color w:val="000000"/>
          <w:sz w:val="24"/>
        </w:rPr>
        <w:t>天弘通</w:t>
      </w:r>
      <w:proofErr w:type="gramEnd"/>
      <w:r>
        <w:rPr>
          <w:rFonts w:ascii="宋体" w:hAnsi="宋体" w:hint="eastAsia"/>
          <w:color w:val="000000"/>
          <w:sz w:val="24"/>
        </w:rPr>
        <w:t>利混合型证券投资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天弘增强</w:t>
      </w:r>
      <w:proofErr w:type="gramEnd"/>
      <w:r>
        <w:rPr>
          <w:rFonts w:ascii="宋体" w:hAnsi="宋体" w:hint="eastAsia"/>
          <w:color w:val="000000"/>
          <w:sz w:val="24"/>
        </w:rPr>
        <w:t>回报债券型证券投资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天弘新</w:t>
      </w:r>
      <w:proofErr w:type="gramEnd"/>
      <w:r>
        <w:rPr>
          <w:rFonts w:ascii="宋体" w:hAnsi="宋体" w:hint="eastAsia"/>
          <w:color w:val="000000"/>
          <w:sz w:val="24"/>
        </w:rPr>
        <w:t>活力灵活配置混合型发起式证券投资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天弘惠</w:t>
      </w:r>
      <w:proofErr w:type="gramEnd"/>
      <w:r>
        <w:rPr>
          <w:rFonts w:ascii="宋体" w:hAnsi="宋体" w:hint="eastAsia"/>
          <w:color w:val="000000"/>
          <w:sz w:val="24"/>
        </w:rPr>
        <w:t>利灵活配置混合型证券投资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天弘价值</w:t>
      </w:r>
      <w:proofErr w:type="gramEnd"/>
      <w:r>
        <w:rPr>
          <w:rFonts w:ascii="宋体" w:hAnsi="宋体" w:hint="eastAsia"/>
          <w:color w:val="000000"/>
          <w:sz w:val="24"/>
        </w:rPr>
        <w:t>精选灵活配置混合型发起式证券投资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天弘裕利</w:t>
      </w:r>
      <w:proofErr w:type="gramEnd"/>
      <w:r>
        <w:rPr>
          <w:rFonts w:ascii="宋体" w:hAnsi="宋体" w:hint="eastAsia"/>
          <w:color w:val="000000"/>
          <w:sz w:val="24"/>
        </w:rPr>
        <w:t>灵活配置混合型证券投资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天弘益</w:t>
      </w:r>
      <w:proofErr w:type="gramEnd"/>
      <w:r>
        <w:rPr>
          <w:rFonts w:ascii="宋体" w:hAnsi="宋体" w:hint="eastAsia"/>
          <w:color w:val="000000"/>
          <w:sz w:val="24"/>
        </w:rPr>
        <w:t>新混合型证券投资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roofErr w:type="gramStart"/>
      <w:r>
        <w:rPr>
          <w:rFonts w:ascii="宋体" w:hAnsi="宋体" w:hint="eastAsia"/>
          <w:color w:val="000000"/>
          <w:sz w:val="24"/>
        </w:rPr>
        <w:t>天弘永</w:t>
      </w:r>
      <w:proofErr w:type="gramEnd"/>
      <w:r>
        <w:rPr>
          <w:rFonts w:ascii="宋体" w:hAnsi="宋体" w:hint="eastAsia"/>
          <w:color w:val="000000"/>
          <w:sz w:val="24"/>
        </w:rPr>
        <w:t>利债券型证券投资</w:t>
      </w:r>
      <w:proofErr w:type="gramStart"/>
      <w:r>
        <w:rPr>
          <w:rFonts w:ascii="宋体" w:hAnsi="宋体" w:hint="eastAsia"/>
          <w:color w:val="000000"/>
          <w:sz w:val="24"/>
        </w:rPr>
        <w:t>基金基金</w:t>
      </w:r>
      <w:proofErr w:type="gramEnd"/>
      <w:r>
        <w:rPr>
          <w:rFonts w:ascii="宋体" w:hAnsi="宋体" w:hint="eastAsia"/>
          <w:color w:val="000000"/>
          <w:sz w:val="24"/>
        </w:rPr>
        <w:t>经理。</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5、基金管理人投资决策委员会成员的姓名和职务</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lastRenderedPageBreak/>
        <w:t>陈钢先生：本公司副总经理，投资决策委员会联席主席、固定收益总监。</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熊军先生：本公司副总经理，投资决策委员会联席主席、公司首席经济学家。</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邓强先生：首席</w:t>
      </w:r>
      <w:proofErr w:type="gramStart"/>
      <w:r>
        <w:rPr>
          <w:rFonts w:ascii="宋体" w:hAnsi="宋体" w:hint="eastAsia"/>
          <w:color w:val="000000"/>
          <w:sz w:val="24"/>
        </w:rPr>
        <w:t>风控官</w:t>
      </w:r>
      <w:proofErr w:type="gramEnd"/>
      <w:r>
        <w:rPr>
          <w:rFonts w:ascii="宋体" w:hAnsi="宋体" w:hint="eastAsia"/>
          <w:color w:val="000000"/>
          <w:sz w:val="24"/>
        </w:rPr>
        <w:t>。</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姜晓丽女士：固定收益机构投资部总经理，基金经理。</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于洋先生：股票投资研究部总经理助理，基金经理。</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上述人员之间不存在近亲属关系。</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三、基金管理人的职责</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1、依法募集资金，办理或者委托经中国证监会认定的其他机构代为办理基金份额的发售、申购、赎回和登记事宜；</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2、办理基金备案手续；</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3、对所管理的不同基金财产分别管理、分别记账，进行证券投资；</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4、按照基金合同的约定确定基金收益分配方案，及时向基金份额持有人分配收益；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5、进行基金会计核算并编制基金财务会计报告；</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6、编制季度报告、中期报告和年度报告；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7、计算并公告基金净值信息，确定基金份额申购、赎回价格；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8、办理与基金财产管理业务活动有关的信息披露事项；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9、按照规定召集基金份额持有人大会；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10、保存基金财产管理业务活动的记录、账册、报表和其他相关资料；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11、以基金管理人名义，代表基金份额持有人利益行使诉讼权利或者实施其他法律行为；</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12、法律法规及中国证监会规定的和《基金合同》约定的其他职责。</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四、基金管理人承诺</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1、基金管理人遵守法律的承诺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本基金管理人承诺不从事违反《证券法》、《基金法》、《运作办法》、《销售办法》、《信息披露办法》等法律法规的活动，并承诺建立健全内部控制制度，采取有效措施，防止违法行为的发生。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2、基金管理人禁止性行为的承诺</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本基金管理人依法禁止从事以下行为：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lastRenderedPageBreak/>
        <w:t xml:space="preserve">（1）将其固有财产或者他人财产混同于基金财产从事证券投资；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（2）不公平地对待其管理的不同基金财产；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（3）利用基金财产或者职务之便为基金份额持有人以外的第三人牟取利益；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 xml:space="preserve">（4）向基金份额持有人违规承诺收益或者承担损失；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（5）侵占、挪用基金财产；</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（6）泄露因职务便利获取的未公开信息、利用该信息从事或者明示、暗示他人从事相关的交易活动；</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（7）玩忽职守，不按照规定履行职责；</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（8）法律、行政法规和中国证监会规定禁止的其他行为。</w:t>
      </w:r>
    </w:p>
    <w:p w:rsidR="00562FFD" w:rsidRDefault="003317D3">
      <w:pPr>
        <w:spacing w:line="360" w:lineRule="auto"/>
        <w:ind w:firstLineChars="196" w:firstLine="470"/>
        <w:rPr>
          <w:rFonts w:ascii="宋体" w:hAnsi="宋体"/>
          <w:color w:val="000000"/>
          <w:sz w:val="24"/>
        </w:rPr>
      </w:pPr>
      <w:r>
        <w:rPr>
          <w:rFonts w:ascii="宋体" w:hAnsi="宋体"/>
          <w:color w:val="000000"/>
          <w:sz w:val="24"/>
        </w:rPr>
        <w:t>3</w:t>
      </w:r>
      <w:r>
        <w:rPr>
          <w:rFonts w:ascii="宋体" w:hAnsi="宋体" w:hint="eastAsia"/>
          <w:color w:val="000000"/>
          <w:sz w:val="24"/>
        </w:rPr>
        <w:t xml:space="preserve">、基金经理承诺 </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（1）依照有关法律法规和基金合同的规定，本着勤勉谨慎的原则为基金份额持有人谋取最大利益。</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（2）不利用职务之便为自己、被代理人、被代表人、受雇他人或任何</w:t>
      </w:r>
      <w:proofErr w:type="gramStart"/>
      <w:r>
        <w:rPr>
          <w:rFonts w:ascii="宋体" w:hAnsi="宋体" w:hint="eastAsia"/>
          <w:color w:val="000000"/>
          <w:sz w:val="24"/>
        </w:rPr>
        <w:t>其他第三</w:t>
      </w:r>
      <w:proofErr w:type="gramEnd"/>
      <w:r>
        <w:rPr>
          <w:rFonts w:ascii="宋体" w:hAnsi="宋体" w:hint="eastAsia"/>
          <w:color w:val="000000"/>
          <w:sz w:val="24"/>
        </w:rPr>
        <w:t>人谋取不当利益。</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w:t>
      </w:r>
      <w:proofErr w:type="gramStart"/>
      <w:r>
        <w:rPr>
          <w:rFonts w:ascii="宋体" w:hAnsi="宋体" w:hint="eastAsia"/>
          <w:color w:val="000000"/>
          <w:sz w:val="24"/>
        </w:rPr>
        <w:t>不</w:t>
      </w:r>
      <w:proofErr w:type="gramEnd"/>
      <w:r>
        <w:rPr>
          <w:rFonts w:ascii="宋体" w:hAnsi="宋体" w:hint="eastAsia"/>
          <w:color w:val="000000"/>
          <w:sz w:val="24"/>
        </w:rPr>
        <w:t>泄漏在任职期间知悉的有关证券、基金的商业秘密、尚未依法公开的基金投资内容、基金投资计划等信息，或利用该信息从事或者明示、暗示他人从事相关的交易活动。</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（4）不从事损害基金资产和基金份额持有人利益的证券交易及其他活动。</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五、基金管理人的风险管理与内部控制制度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1、风险管理的原则</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（1）全面性原则：公司风险管理必须覆盖公司所有的部门和岗位，涵盖所有风险类型，并贯穿于所有业务流程和业务环节；</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独立性原则：公司根据业务需要设立保持相对独立的机构、部门和岗位，并在相关部门建立防火墙；公司设立独立的风险管理部门及审计部门，负责识别、监测、评估和报告公司风险管理状况，并进行独立汇报；</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（3）审慎性原则：风险管理核心是有效防范各种风险，任何制度的建立都要以防范风险、审慎经营为出发点；</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（4）有效性原则：风险管理制度具有高度权威性，是所有员工必须严格遵守的行动指南；执行风险管理制度不得有任何例外，任何员工不得拥有超越制度</w:t>
      </w:r>
      <w:r>
        <w:rPr>
          <w:rFonts w:ascii="宋体" w:hAnsi="宋体" w:hint="eastAsia"/>
          <w:color w:val="000000"/>
          <w:sz w:val="24"/>
        </w:rPr>
        <w:lastRenderedPageBreak/>
        <w:t>或违反制度的权力；</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（5）适时性原则：公司应当根据公司经营战略方针等内部环境和法规、市场环境等外部环境变化及时对风险进行识别和评估，并对其管理政策和措施进行相应的调整；</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（6）定量与定性相结合的原则：针对合</w:t>
      </w:r>
      <w:proofErr w:type="gramStart"/>
      <w:r>
        <w:rPr>
          <w:rFonts w:ascii="宋体" w:hAnsi="宋体" w:hint="eastAsia"/>
          <w:color w:val="000000"/>
          <w:sz w:val="24"/>
        </w:rPr>
        <w:t>规</w:t>
      </w:r>
      <w:proofErr w:type="gramEnd"/>
      <w:r>
        <w:rPr>
          <w:rFonts w:ascii="宋体" w:hAnsi="宋体" w:hint="eastAsia"/>
          <w:color w:val="000000"/>
          <w:sz w:val="24"/>
        </w:rPr>
        <w:t>风险、操作风险、市场风险、信用风险和流动性风险的不同特点，利用定性和定量的评估方法，建立完备的风险控制指标体系，使风险控制更具客观性和操作性。</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2、风险管理和内部风险控制体系结构</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公司的风险管理体系结构是一个分工明确、相互牵制的组织结构，由最高管理层对风险管理负最终责任，各个业务部门负责本部门的风险评估和监控，内控合</w:t>
      </w:r>
      <w:proofErr w:type="gramStart"/>
      <w:r>
        <w:rPr>
          <w:rFonts w:ascii="宋体" w:hAnsi="宋体" w:hint="eastAsia"/>
          <w:color w:val="000000"/>
          <w:sz w:val="24"/>
        </w:rPr>
        <w:t>规</w:t>
      </w:r>
      <w:proofErr w:type="gramEnd"/>
      <w:r>
        <w:rPr>
          <w:rFonts w:ascii="宋体" w:hAnsi="宋体" w:hint="eastAsia"/>
          <w:color w:val="000000"/>
          <w:sz w:val="24"/>
        </w:rPr>
        <w:t>部负责监察公司的风险管理措施的执行。具体而言，包括如下组成部分：</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（1）董事会：负责监督检查公司的合法合</w:t>
      </w:r>
      <w:proofErr w:type="gramStart"/>
      <w:r>
        <w:rPr>
          <w:rFonts w:ascii="宋体" w:hAnsi="宋体" w:hint="eastAsia"/>
          <w:color w:val="000000"/>
          <w:sz w:val="24"/>
        </w:rPr>
        <w:t>规</w:t>
      </w:r>
      <w:proofErr w:type="gramEnd"/>
      <w:r>
        <w:rPr>
          <w:rFonts w:ascii="宋体" w:hAnsi="宋体" w:hint="eastAsia"/>
          <w:color w:val="000000"/>
          <w:sz w:val="24"/>
        </w:rPr>
        <w:t>运营、内部控制、风险管理，从而控制公司的整体运营风险；</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（2）督察长：独立行使督察权利，直接对董事会负责，及时向审计与风险控制委员会提交有关公司规范运作和风险控制方面的工作报告；</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（3）投资决策委员会：负责指导基金财产的运作、制定本基金的资产配置方案和基本的投资策略；</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风险管理委员会：拟定公司风险管理战略，经董事会批准后组织实施；组织实施董事会批准的年度风险预算、风险可容忍度限额及其他量化风险管理工具；根据公司总体风险控制目标，制定各业务和各环节风险控制目标和要求；落实公司就重大风险管理做出的决定或决议；听取并讨论会议议题，就重大风险管理事项形成决议；拟定或批准公司风险管理制度、流程；对责任人提出处罚建议，经总经理办公会讨论后执行；</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（5）内控合</w:t>
      </w:r>
      <w:proofErr w:type="gramStart"/>
      <w:r>
        <w:rPr>
          <w:rFonts w:ascii="宋体" w:hAnsi="宋体" w:hint="eastAsia"/>
          <w:color w:val="000000"/>
          <w:sz w:val="24"/>
        </w:rPr>
        <w:t>规</w:t>
      </w:r>
      <w:proofErr w:type="gramEnd"/>
      <w:r>
        <w:rPr>
          <w:rFonts w:ascii="宋体" w:hAnsi="宋体" w:hint="eastAsia"/>
          <w:color w:val="000000"/>
          <w:sz w:val="24"/>
        </w:rPr>
        <w:t>部：负责公司集中统一的合</w:t>
      </w:r>
      <w:proofErr w:type="gramStart"/>
      <w:r>
        <w:rPr>
          <w:rFonts w:ascii="宋体" w:hAnsi="宋体" w:hint="eastAsia"/>
          <w:color w:val="000000"/>
          <w:sz w:val="24"/>
        </w:rPr>
        <w:t>规</w:t>
      </w:r>
      <w:proofErr w:type="gramEnd"/>
      <w:r>
        <w:rPr>
          <w:rFonts w:ascii="宋体" w:hAnsi="宋体" w:hint="eastAsia"/>
          <w:color w:val="000000"/>
          <w:sz w:val="24"/>
        </w:rPr>
        <w:t>管理工作，按照公司规定和督察长的安排履行合</w:t>
      </w:r>
      <w:proofErr w:type="gramStart"/>
      <w:r>
        <w:rPr>
          <w:rFonts w:ascii="宋体" w:hAnsi="宋体" w:hint="eastAsia"/>
          <w:color w:val="000000"/>
          <w:sz w:val="24"/>
        </w:rPr>
        <w:t>规</w:t>
      </w:r>
      <w:proofErr w:type="gramEnd"/>
      <w:r>
        <w:rPr>
          <w:rFonts w:ascii="宋体" w:hAnsi="宋体" w:hint="eastAsia"/>
          <w:color w:val="000000"/>
          <w:sz w:val="24"/>
        </w:rPr>
        <w:t>管理职责，建立和完善合</w:t>
      </w:r>
      <w:proofErr w:type="gramStart"/>
      <w:r>
        <w:rPr>
          <w:rFonts w:ascii="宋体" w:hAnsi="宋体" w:hint="eastAsia"/>
          <w:color w:val="000000"/>
          <w:sz w:val="24"/>
        </w:rPr>
        <w:t>规</w:t>
      </w:r>
      <w:proofErr w:type="gramEnd"/>
      <w:r>
        <w:rPr>
          <w:rFonts w:ascii="宋体" w:hAnsi="宋体" w:hint="eastAsia"/>
          <w:color w:val="000000"/>
          <w:sz w:val="24"/>
        </w:rPr>
        <w:t>管理及合</w:t>
      </w:r>
      <w:proofErr w:type="gramStart"/>
      <w:r>
        <w:rPr>
          <w:rFonts w:ascii="宋体" w:hAnsi="宋体" w:hint="eastAsia"/>
          <w:color w:val="000000"/>
          <w:sz w:val="24"/>
        </w:rPr>
        <w:t>规</w:t>
      </w:r>
      <w:proofErr w:type="gramEnd"/>
      <w:r>
        <w:rPr>
          <w:rFonts w:ascii="宋体" w:hAnsi="宋体" w:hint="eastAsia"/>
          <w:color w:val="000000"/>
          <w:sz w:val="24"/>
        </w:rPr>
        <w:t>风险信息的监控、识别、处置、报告体系，不断提升公司整体合</w:t>
      </w:r>
      <w:proofErr w:type="gramStart"/>
      <w:r>
        <w:rPr>
          <w:rFonts w:ascii="宋体" w:hAnsi="宋体" w:hint="eastAsia"/>
          <w:color w:val="000000"/>
          <w:sz w:val="24"/>
        </w:rPr>
        <w:t>规</w:t>
      </w:r>
      <w:proofErr w:type="gramEnd"/>
      <w:r>
        <w:rPr>
          <w:rFonts w:ascii="宋体" w:hAnsi="宋体" w:hint="eastAsia"/>
          <w:color w:val="000000"/>
          <w:sz w:val="24"/>
        </w:rPr>
        <w:t>意识和能力；</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（6）风险管理部：通过投资交易系统</w:t>
      </w:r>
      <w:proofErr w:type="gramStart"/>
      <w:r>
        <w:rPr>
          <w:rFonts w:ascii="宋体" w:hAnsi="宋体" w:hint="eastAsia"/>
          <w:color w:val="000000"/>
          <w:sz w:val="24"/>
        </w:rPr>
        <w:t>的风控参数</w:t>
      </w:r>
      <w:proofErr w:type="gramEnd"/>
      <w:r>
        <w:rPr>
          <w:rFonts w:ascii="宋体" w:hAnsi="宋体" w:hint="eastAsia"/>
          <w:color w:val="000000"/>
          <w:sz w:val="24"/>
        </w:rPr>
        <w:t>设置，保证各投资组合的投资比例合</w:t>
      </w:r>
      <w:proofErr w:type="gramStart"/>
      <w:r>
        <w:rPr>
          <w:rFonts w:ascii="宋体" w:hAnsi="宋体" w:hint="eastAsia"/>
          <w:color w:val="000000"/>
          <w:sz w:val="24"/>
        </w:rPr>
        <w:t>规</w:t>
      </w:r>
      <w:proofErr w:type="gramEnd"/>
      <w:r>
        <w:rPr>
          <w:rFonts w:ascii="宋体" w:hAnsi="宋体" w:hint="eastAsia"/>
          <w:color w:val="000000"/>
          <w:sz w:val="24"/>
        </w:rPr>
        <w:t>；参与各投资组合新股申购、一级债申购、银行间交易等场外交易的风险识别与评估，保证各投资组合场外交易的事中合</w:t>
      </w:r>
      <w:proofErr w:type="gramStart"/>
      <w:r>
        <w:rPr>
          <w:rFonts w:ascii="宋体" w:hAnsi="宋体" w:hint="eastAsia"/>
          <w:color w:val="000000"/>
          <w:sz w:val="24"/>
        </w:rPr>
        <w:t>规</w:t>
      </w:r>
      <w:proofErr w:type="gramEnd"/>
      <w:r>
        <w:rPr>
          <w:rFonts w:ascii="宋体" w:hAnsi="宋体" w:hint="eastAsia"/>
          <w:color w:val="000000"/>
          <w:sz w:val="24"/>
        </w:rPr>
        <w:t>控制；负责各投资组合</w:t>
      </w:r>
      <w:r>
        <w:rPr>
          <w:rFonts w:ascii="宋体" w:hAnsi="宋体" w:hint="eastAsia"/>
          <w:color w:val="000000"/>
          <w:sz w:val="24"/>
        </w:rPr>
        <w:lastRenderedPageBreak/>
        <w:t>投资绩效、风险的计量和控制；</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（7）审计部：通过运用系统化和规范化的方法，审查、评价并改善公司的业务活动、内部控制和风险管理的适当性和有效性，以促进公司完善治理、增加价值和实现目标；</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8）业务部门：风险管理是每一个业务部门最首要的责任。各部门的部门经理对本部门的风险负全部责任，负责履行公司的风险管理程序，负责本部门的风险管理系统的开发、执行和维护，用于识别、监控和降低风险。</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3、内部控制制度综述</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（1）风险控制制度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公司风险控制的目标为严格遵守国家法律法规、行业自律规定和公司各项规章制度，自觉形成守法经营、规范运作的经营思想和经营风格；不断提高经营管理水平，在风险最小化的前提下，确保基金份额持有人利益最大化；建立行之有效的风险控制机制和制度，确保各项经营管理活动的健康运行与公司财产的安全完整；维护公司信誉，保持公司的良好形象。针对公司面临的各种风险，包括政策和市场风险，管理风险和职业道德风险，分别制定严格防范措施，并制定岗位分离制度、空间分离制度、作业流程制度、集中交易制度、信息披露制度、资料保全制度、保密制度和独立的监察稽核制度等相关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（2）内控合</w:t>
      </w:r>
      <w:proofErr w:type="gramStart"/>
      <w:r>
        <w:rPr>
          <w:rFonts w:ascii="宋体" w:hAnsi="宋体" w:hint="eastAsia"/>
          <w:color w:val="000000"/>
          <w:sz w:val="24"/>
        </w:rPr>
        <w:t>规</w:t>
      </w:r>
      <w:proofErr w:type="gramEnd"/>
      <w:r>
        <w:rPr>
          <w:rFonts w:ascii="宋体" w:hAnsi="宋体" w:hint="eastAsia"/>
          <w:color w:val="000000"/>
          <w:sz w:val="24"/>
        </w:rPr>
        <w:t>管理制度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为保障持续规范发展，公司制定合</w:t>
      </w:r>
      <w:proofErr w:type="gramStart"/>
      <w:r>
        <w:rPr>
          <w:rFonts w:ascii="宋体" w:hAnsi="宋体" w:hint="eastAsia"/>
          <w:color w:val="000000"/>
          <w:sz w:val="24"/>
        </w:rPr>
        <w:t>规</w:t>
      </w:r>
      <w:proofErr w:type="gramEnd"/>
      <w:r>
        <w:rPr>
          <w:rFonts w:ascii="宋体" w:hAnsi="宋体" w:hint="eastAsia"/>
          <w:color w:val="000000"/>
          <w:sz w:val="24"/>
        </w:rPr>
        <w:t>管理制度。公司设督察长，负责公司合</w:t>
      </w:r>
      <w:proofErr w:type="gramStart"/>
      <w:r>
        <w:rPr>
          <w:rFonts w:ascii="宋体" w:hAnsi="宋体" w:hint="eastAsia"/>
          <w:color w:val="000000"/>
          <w:sz w:val="24"/>
        </w:rPr>
        <w:t>规</w:t>
      </w:r>
      <w:proofErr w:type="gramEnd"/>
      <w:r>
        <w:rPr>
          <w:rFonts w:ascii="宋体" w:hAnsi="宋体" w:hint="eastAsia"/>
          <w:color w:val="000000"/>
          <w:sz w:val="24"/>
        </w:rPr>
        <w:t>管理工作，实施对公司经营管理合</w:t>
      </w:r>
      <w:proofErr w:type="gramStart"/>
      <w:r>
        <w:rPr>
          <w:rFonts w:ascii="宋体" w:hAnsi="宋体" w:hint="eastAsia"/>
          <w:color w:val="000000"/>
          <w:sz w:val="24"/>
        </w:rPr>
        <w:t>规</w:t>
      </w:r>
      <w:proofErr w:type="gramEnd"/>
      <w:r>
        <w:rPr>
          <w:rFonts w:ascii="宋体" w:hAnsi="宋体" w:hint="eastAsia"/>
          <w:color w:val="000000"/>
          <w:sz w:val="24"/>
        </w:rPr>
        <w:t>合法性的审查、监督和检查。内控合</w:t>
      </w:r>
      <w:proofErr w:type="gramStart"/>
      <w:r>
        <w:rPr>
          <w:rFonts w:ascii="宋体" w:hAnsi="宋体" w:hint="eastAsia"/>
          <w:color w:val="000000"/>
          <w:sz w:val="24"/>
        </w:rPr>
        <w:t>规</w:t>
      </w:r>
      <w:proofErr w:type="gramEnd"/>
      <w:r>
        <w:rPr>
          <w:rFonts w:ascii="宋体" w:hAnsi="宋体" w:hint="eastAsia"/>
          <w:color w:val="000000"/>
          <w:sz w:val="24"/>
        </w:rPr>
        <w:t>部负责公司集中统一的合</w:t>
      </w:r>
      <w:proofErr w:type="gramStart"/>
      <w:r>
        <w:rPr>
          <w:rFonts w:ascii="宋体" w:hAnsi="宋体" w:hint="eastAsia"/>
          <w:color w:val="000000"/>
          <w:sz w:val="24"/>
        </w:rPr>
        <w:t>规</w:t>
      </w:r>
      <w:proofErr w:type="gramEnd"/>
      <w:r>
        <w:rPr>
          <w:rFonts w:ascii="宋体" w:hAnsi="宋体" w:hint="eastAsia"/>
          <w:color w:val="000000"/>
          <w:sz w:val="24"/>
        </w:rPr>
        <w:t>管理工作，按照公司规定和督察长的安排履行合</w:t>
      </w:r>
      <w:proofErr w:type="gramStart"/>
      <w:r>
        <w:rPr>
          <w:rFonts w:ascii="宋体" w:hAnsi="宋体" w:hint="eastAsia"/>
          <w:color w:val="000000"/>
          <w:sz w:val="24"/>
        </w:rPr>
        <w:t>规</w:t>
      </w:r>
      <w:proofErr w:type="gramEnd"/>
      <w:r>
        <w:rPr>
          <w:rFonts w:ascii="宋体" w:hAnsi="宋体" w:hint="eastAsia"/>
          <w:color w:val="000000"/>
          <w:sz w:val="24"/>
        </w:rPr>
        <w:t>管理职责，建立和完善合</w:t>
      </w:r>
      <w:proofErr w:type="gramStart"/>
      <w:r>
        <w:rPr>
          <w:rFonts w:ascii="宋体" w:hAnsi="宋体" w:hint="eastAsia"/>
          <w:color w:val="000000"/>
          <w:sz w:val="24"/>
        </w:rPr>
        <w:t>规</w:t>
      </w:r>
      <w:proofErr w:type="gramEnd"/>
      <w:r>
        <w:rPr>
          <w:rFonts w:ascii="宋体" w:hAnsi="宋体" w:hint="eastAsia"/>
          <w:color w:val="000000"/>
          <w:sz w:val="24"/>
        </w:rPr>
        <w:t>管理及合</w:t>
      </w:r>
      <w:proofErr w:type="gramStart"/>
      <w:r>
        <w:rPr>
          <w:rFonts w:ascii="宋体" w:hAnsi="宋体" w:hint="eastAsia"/>
          <w:color w:val="000000"/>
          <w:sz w:val="24"/>
        </w:rPr>
        <w:t>规</w:t>
      </w:r>
      <w:proofErr w:type="gramEnd"/>
      <w:r>
        <w:rPr>
          <w:rFonts w:ascii="宋体" w:hAnsi="宋体" w:hint="eastAsia"/>
          <w:color w:val="000000"/>
          <w:sz w:val="24"/>
        </w:rPr>
        <w:t>风险信息的监控、识别、处置、报告体系，不断提升公司整体合</w:t>
      </w:r>
      <w:proofErr w:type="gramStart"/>
      <w:r>
        <w:rPr>
          <w:rFonts w:ascii="宋体" w:hAnsi="宋体" w:hint="eastAsia"/>
          <w:color w:val="000000"/>
          <w:sz w:val="24"/>
        </w:rPr>
        <w:t>规</w:t>
      </w:r>
      <w:proofErr w:type="gramEnd"/>
      <w:r>
        <w:rPr>
          <w:rFonts w:ascii="宋体" w:hAnsi="宋体" w:hint="eastAsia"/>
          <w:color w:val="000000"/>
          <w:sz w:val="24"/>
        </w:rPr>
        <w:t>意识和能力。</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（3）审计管理制度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为规范内部审计工作，公司制定内部审计管理制度。内部审计通过运用系统化和规范化的方法，审查、评价并改善公司的业务活动、内部控制和风险管理的适当性和有效性，以促进公司完善治理、增加价值和实现目标。</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（4）内部会计控制制度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建立了基金会计的工作制度及相应的操作控制规程，确保会计业务有章可循；</w:t>
      </w:r>
      <w:r>
        <w:rPr>
          <w:rFonts w:ascii="宋体" w:hAnsi="宋体" w:hint="eastAsia"/>
          <w:color w:val="000000"/>
          <w:sz w:val="24"/>
        </w:rPr>
        <w:lastRenderedPageBreak/>
        <w:t>按照相互制约原则，建立了基金会计业务的复核制度以及与托管行相关业务的相互核查监督机制；为了防范基金会计在资金头寸管理上出现透支风险，制定了资金头寸管理制度；为了确保基金资产的安全，公司严格规范基金清算交割工作，并在授权范围内，及时准确地完成基金清算；强化会计的事前、事中、事后监督和考核制度；为了防止会计数据的毁损、散失和泄密，制定了完善的档案保管和财务交接制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4、风险管理和内部风险控制的措施</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（1）建立、健全内控体系，完善内控制度。公司建立、健全了内控结构，高管人员关于内控有明确的分工，确保各项业务活动有恰当的组织和授权，确保内控合</w:t>
      </w:r>
      <w:proofErr w:type="gramStart"/>
      <w:r>
        <w:rPr>
          <w:rFonts w:ascii="宋体" w:hAnsi="宋体" w:hint="eastAsia"/>
          <w:color w:val="000000"/>
          <w:sz w:val="24"/>
        </w:rPr>
        <w:t>规</w:t>
      </w:r>
      <w:proofErr w:type="gramEnd"/>
      <w:r>
        <w:rPr>
          <w:rFonts w:ascii="宋体" w:hAnsi="宋体" w:hint="eastAsia"/>
          <w:color w:val="000000"/>
          <w:sz w:val="24"/>
        </w:rPr>
        <w:t>工作是独立的，并得到高管人员的支持，同时置备操作手册，并定期更新；</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（2）建立相互分离、相互制衡的内控机制。公司建立、健全了各项制度，做到基金经理分开、投资决策分开、基金交易集中，形成不同部门、不同岗位之间的制衡机制，从制度上减少和防范风险；</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（3）建立、健全岗位责任制。公司建立、健全了岗位责任制，使每个员工都明确自己的任务、职责，并及时将各自工作领域中的风险隐患上报，以防范和减少风险；</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4）建立风险分类、识别、评估、报告、提示程序。公司建立了风险管理委员会，使用适合的程序，确认和评估与公司运作有关的风险；公司建立了自下而上的风险报告程序，对风险隐患进行层层汇报，使各个层次的人员及时掌握风险状况，从而以最快速度做出决策；</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（5）建立内部监控系统。公司建立了有效的内部监控系统，如电脑预警系统、投资监控系统，能对可能出现的各种风险进行全面和实时的监控；</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6）使用数量化的风险管理手段。采取数量化、技术化的风险控制手段，建立数量化的风险管理模型，用以提示市场趋势、行业及个股的风险，以便公司及时采取有效的措施，对风险进行分散、控制和规避，尽可能地减少损失；</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（7）提供足够的培训。公司制定了完整的培训计划，为所有员工提供足够和适当的培训，使员工明确其职责所在，控制风险。</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5、基金管理人关于内部合</w:t>
      </w:r>
      <w:proofErr w:type="gramStart"/>
      <w:r>
        <w:rPr>
          <w:rFonts w:ascii="宋体" w:hAnsi="宋体" w:hint="eastAsia"/>
          <w:color w:val="000000"/>
          <w:sz w:val="24"/>
        </w:rPr>
        <w:t>规</w:t>
      </w:r>
      <w:proofErr w:type="gramEnd"/>
      <w:r>
        <w:rPr>
          <w:rFonts w:ascii="宋体" w:hAnsi="宋体" w:hint="eastAsia"/>
          <w:color w:val="000000"/>
          <w:sz w:val="24"/>
        </w:rPr>
        <w:t>控制声明书</w:t>
      </w:r>
    </w:p>
    <w:p w:rsidR="00562FFD" w:rsidRDefault="003317D3">
      <w:pPr>
        <w:spacing w:line="360" w:lineRule="auto"/>
        <w:ind w:firstLineChars="196" w:firstLine="470"/>
        <w:rPr>
          <w:rFonts w:ascii="宋体" w:hAnsi="宋体"/>
          <w:color w:val="000000"/>
          <w:sz w:val="24"/>
        </w:rPr>
      </w:pPr>
      <w:r>
        <w:rPr>
          <w:rFonts w:ascii="宋体" w:hAnsi="宋体" w:hint="eastAsia"/>
          <w:color w:val="000000"/>
          <w:sz w:val="24"/>
        </w:rPr>
        <w:t>本公司确知建立、维护、维持和完善内部控制制度是本公司董事会及管理层</w:t>
      </w:r>
      <w:r>
        <w:rPr>
          <w:rFonts w:ascii="宋体" w:hAnsi="宋体" w:hint="eastAsia"/>
          <w:color w:val="000000"/>
          <w:sz w:val="24"/>
        </w:rPr>
        <w:lastRenderedPageBreak/>
        <w:t>的责任。本公司特别声明以上关于内部控制的披露真实、准确，并承诺将根据市场变化和公司业务发展不断完善内部控制制度。</w:t>
      </w:r>
    </w:p>
    <w:p w:rsidR="00562FFD" w:rsidRDefault="003317D3">
      <w:pPr>
        <w:spacing w:line="360" w:lineRule="auto"/>
        <w:ind w:firstLineChars="196" w:firstLine="470"/>
        <w:rPr>
          <w:rFonts w:hAnsi="宋体"/>
          <w:sz w:val="24"/>
        </w:rPr>
      </w:pPr>
      <w:bookmarkStart w:id="19" w:name="_Toc164766373"/>
      <w:r>
        <w:rPr>
          <w:rFonts w:hAnsi="宋体"/>
          <w:sz w:val="24"/>
        </w:rPr>
        <w:br w:type="page"/>
      </w:r>
    </w:p>
    <w:p w:rsidR="00562FFD" w:rsidRDefault="003317D3">
      <w:pPr>
        <w:pStyle w:val="af0"/>
        <w:rPr>
          <w:rFonts w:hAnsi="宋体"/>
          <w:bCs/>
          <w:szCs w:val="28"/>
        </w:rPr>
      </w:pPr>
      <w:bookmarkStart w:id="20" w:name="_Toc34222295"/>
      <w:bookmarkStart w:id="21" w:name="_Toc56692687"/>
      <w:r>
        <w:rPr>
          <w:rFonts w:hint="eastAsia"/>
          <w:szCs w:val="28"/>
        </w:rPr>
        <w:lastRenderedPageBreak/>
        <w:t>第四部分 基金托管人</w:t>
      </w:r>
      <w:bookmarkEnd w:id="19"/>
      <w:bookmarkEnd w:id="20"/>
      <w:bookmarkEnd w:id="21"/>
    </w:p>
    <w:p w:rsidR="00562FFD" w:rsidRDefault="003317D3">
      <w:pPr>
        <w:autoSpaceDE w:val="0"/>
        <w:snapToGrid w:val="0"/>
        <w:spacing w:line="360" w:lineRule="auto"/>
        <w:ind w:firstLine="504"/>
        <w:jc w:val="left"/>
        <w:rPr>
          <w:rFonts w:asciiTheme="minorEastAsia" w:eastAsiaTheme="minorEastAsia" w:hAnsiTheme="minorEastAsia"/>
          <w:sz w:val="24"/>
        </w:rPr>
      </w:pPr>
      <w:bookmarkStart w:id="22" w:name="_Toc313303336"/>
      <w:r>
        <w:rPr>
          <w:rFonts w:asciiTheme="minorEastAsia" w:eastAsiaTheme="minorEastAsia" w:hAnsiTheme="minorEastAsia" w:hint="eastAsia"/>
          <w:sz w:val="24"/>
        </w:rPr>
        <w:t>一、基金托管人情况</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1、基本情况</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名称：北京银行股份有限公司</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住所：北京市西城区金融大街甲17号首层</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办公地址：北京市西城区金融大街丙17号</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法定代表人：张东宁</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成立时间：1996年1月29日</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组织形式：股份有限公司</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注册资本：2114298.4272亿元人民币</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存续期间：持续经营</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基金托管资格批文及文号：中国证监会证监许可【2008】776号</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联系人：盖君</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联系电话：010-66223583</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传真：010-66226045</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券投资基金代销业务；债券结算代理业务；短期融资</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主承销业务；经中国银行业监督管理委员会批准的其它业务。</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发展概况</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北京银行成立于1996年，抢抓时代机遇，相继实现引资、上市、跨区域等发展突破，在北京、天津、上海、西安、深圳、杭州、长沙、南京、济南、南昌、石家庄、乌鲁木齐等十余个中心城市以及香港特别行政区、荷兰拥有670多家分支机构，探索了中小银行创新发展的经典模式。新时期，北京银行紧密</w:t>
      </w:r>
      <w:r>
        <w:rPr>
          <w:rFonts w:asciiTheme="minorEastAsia" w:eastAsiaTheme="minorEastAsia" w:hAnsiTheme="minorEastAsia" w:hint="eastAsia"/>
          <w:sz w:val="24"/>
        </w:rPr>
        <w:lastRenderedPageBreak/>
        <w:t>围绕“服务实体经济、防控金融风险、深化金融改革”三项任务，强化党建引领，依法合</w:t>
      </w:r>
      <w:proofErr w:type="gramStart"/>
      <w:r>
        <w:rPr>
          <w:rFonts w:asciiTheme="minorEastAsia" w:eastAsiaTheme="minorEastAsia" w:hAnsiTheme="minorEastAsia" w:hint="eastAsia"/>
          <w:sz w:val="24"/>
        </w:rPr>
        <w:t>规</w:t>
      </w:r>
      <w:proofErr w:type="gramEnd"/>
      <w:r>
        <w:rPr>
          <w:rFonts w:asciiTheme="minorEastAsia" w:eastAsiaTheme="minorEastAsia" w:hAnsiTheme="minorEastAsia" w:hint="eastAsia"/>
          <w:sz w:val="24"/>
        </w:rPr>
        <w:t>经营，加快数字化转型升级，加强全方位风险管控，扎实推动全行各项业务高质量发展。</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截至2021年3月末，北京银行资产总额达到3.03</w:t>
      </w:r>
      <w:proofErr w:type="gramStart"/>
      <w:r>
        <w:rPr>
          <w:rFonts w:asciiTheme="minorEastAsia" w:eastAsiaTheme="minorEastAsia" w:hAnsiTheme="minorEastAsia" w:hint="eastAsia"/>
          <w:sz w:val="24"/>
        </w:rPr>
        <w:t>万亿</w:t>
      </w:r>
      <w:proofErr w:type="gramEnd"/>
      <w:r>
        <w:rPr>
          <w:rFonts w:asciiTheme="minorEastAsia" w:eastAsiaTheme="minorEastAsia" w:hAnsiTheme="minorEastAsia" w:hint="eastAsia"/>
          <w:sz w:val="24"/>
        </w:rPr>
        <w:t>元，2021年一季度实现净利润68.98亿元。成本收入比18.33%，不良贷款率1.46%，拨备覆盖率为226.03%，资本充足率11.42%，各项经营指标均达到国际银行业先进水平，品牌价值达597亿元，一级资本排名全球千家大银行62位，连续七年跻身全球银行业百强。</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北京银行凭借优秀的经营业绩和优质的金融服务，赢得了社会各界的高度赞誉，先后荣获“全国文明单位”、“亚洲十大最佳上市银行”、“中国最佳城市商业零售银行”、“最佳区域性银行”、“最佳支持中小企业贡献奖”、“最佳便民服务银行”、“中国上市公司百强企业”、“中国社会责任优秀企业”、“最具持续投资价值上市公司”、“中国最受尊敬企业”、“最受尊敬银行”、“最值得百姓信赖的银行机构”及“中国优秀企业公民”、“最佳互联网金融银行奖”等称号。</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3、资产管理与托管部主要人员情况</w:t>
      </w:r>
    </w:p>
    <w:p w:rsidR="00562FFD" w:rsidRDefault="003317D3">
      <w:pPr>
        <w:autoSpaceDE w:val="0"/>
        <w:snapToGrid w:val="0"/>
        <w:spacing w:line="360" w:lineRule="auto"/>
        <w:ind w:firstLine="504"/>
        <w:jc w:val="left"/>
        <w:rPr>
          <w:rFonts w:asciiTheme="minorEastAsia" w:eastAsiaTheme="minorEastAsia" w:hAnsiTheme="minorEastAsia"/>
          <w:sz w:val="24"/>
        </w:rPr>
      </w:pPr>
      <w:proofErr w:type="gramStart"/>
      <w:r>
        <w:rPr>
          <w:rFonts w:asciiTheme="minorEastAsia" w:eastAsiaTheme="minorEastAsia" w:hAnsiTheme="minorEastAsia" w:hint="eastAsia"/>
          <w:sz w:val="24"/>
        </w:rPr>
        <w:t>琚泽钧</w:t>
      </w:r>
      <w:proofErr w:type="gramEnd"/>
      <w:r>
        <w:rPr>
          <w:rFonts w:asciiTheme="minorEastAsia" w:eastAsiaTheme="minorEastAsia" w:hAnsiTheme="minorEastAsia" w:hint="eastAsia"/>
          <w:sz w:val="24"/>
        </w:rPr>
        <w:t>先生，北京交通大学管理学博士学位，特许金融分析师CFA；2003年加入北京银行，曾在支行、总行国际业务部、总行资金交易部工作；2011年6月至2012年2月，历任总行资金交易部总经理助理，2012年2月至2014年1月，分别任总行同业票据部总经理助理和副总经理；2014年1月至2020年5月，任总行资产管理部副总经理；2020年5月至今，任总行资产管理与托管部总经理。曾牵头开发的理财综合管理系统获得人民银行2014年科技发展三等奖。</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北京银行资产管理与托管部充分发挥作为新兴托管银行的高起点优势，搭建了由高素质人才组成的专业团队，内设估值核算岗、资金清算岗、投资监督岗、系统管理岗、内控稽核岗等岗位，各岗位人员均分别具有相应的会计核算、资产估值、资金清算、投资监督、风险控制等方面的专业知识和丰富的业务经验，</w:t>
      </w:r>
      <w:r>
        <w:rPr>
          <w:rFonts w:asciiTheme="minorEastAsia" w:eastAsiaTheme="minorEastAsia" w:hAnsiTheme="minorEastAsia"/>
          <w:sz w:val="24"/>
        </w:rPr>
        <w:t>70%</w:t>
      </w:r>
      <w:r>
        <w:rPr>
          <w:rFonts w:asciiTheme="minorEastAsia" w:eastAsiaTheme="minorEastAsia" w:hAnsiTheme="minorEastAsia" w:hint="eastAsia"/>
          <w:sz w:val="24"/>
        </w:rPr>
        <w:t>的员工拥有研究生及以上学历。</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4、基金托管业务经营情况</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北京银行资产管理与托管部秉持“严谨、专业、高效”的经营理念，严格履行托管人的各项职责，切实维护基金持有人的合法权益，为基金提供高质量</w:t>
      </w:r>
      <w:r>
        <w:rPr>
          <w:rFonts w:asciiTheme="minorEastAsia" w:eastAsiaTheme="minorEastAsia" w:hAnsiTheme="minorEastAsia" w:hint="eastAsia"/>
          <w:sz w:val="24"/>
        </w:rPr>
        <w:lastRenderedPageBreak/>
        <w:t>的托管服务。经过多年稳步发展，北京银行托管资产规模不断扩大，托管业务品种不断增加，已形成包括证券投资基金、基金专户理财、证券公司资产管理计划、信托计划、银行理财、保险资金、股权投资基金等产品在内的托管产品体系，北京银行专业高效的托管服务赢得了客户的广泛高度认同。</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二、基金托管人的内部控制制度</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1、内部控制目标</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作为基金托管人，北京银行严格遵守国家有关托管业务的法律法规、行业监管规章和本行有关管理规定，守法经营、规范运作、严格管理，确保基金托管业务的稳健运行，保证基金财产的安全完整，确保有关信息的真实、准确、完整、及时披露，保护基金份额持有人的合法权益。</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 xml:space="preserve">2、内部控制组织结构 </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北京银行设有风险与内控管理委员会，负责全行风险管理与内部控制工作，对托管业务风险控制工作进行检查指导。资产管理与托管部设有内控稽核岗，配备了专职内控稽核人员负责托管业务的内控监督工作。</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3、内部控制制度及措施</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北京银行资产管理与托管</w:t>
      </w:r>
      <w:proofErr w:type="gramStart"/>
      <w:r>
        <w:rPr>
          <w:rFonts w:asciiTheme="minorEastAsia" w:eastAsiaTheme="minorEastAsia" w:hAnsiTheme="minorEastAsia" w:hint="eastAsia"/>
          <w:sz w:val="24"/>
        </w:rPr>
        <w:t>部具备</w:t>
      </w:r>
      <w:proofErr w:type="gramEnd"/>
      <w:r>
        <w:rPr>
          <w:rFonts w:asciiTheme="minorEastAsia" w:eastAsiaTheme="minorEastAsia" w:hAnsiTheme="minorEastAsia" w:hint="eastAsia"/>
          <w:sz w:val="24"/>
        </w:rPr>
        <w:t>系统、完善的内部控制制度体系，建立了业务管理制度、内部控制制度、业务操作流程，可以保证托管业务的规范操作和顺利进行；业务人员均具备从业资格；业务操作严格实行经办、复核、审批制度，授权工作实行集中控制，制约机制严格有效；业务印章按规程保管、存放、使用，账户资料严格保管，未经授权不得查看；业务</w:t>
      </w:r>
      <w:proofErr w:type="gramStart"/>
      <w:r>
        <w:rPr>
          <w:rFonts w:asciiTheme="minorEastAsia" w:eastAsiaTheme="minorEastAsia" w:hAnsiTheme="minorEastAsia" w:hint="eastAsia"/>
          <w:sz w:val="24"/>
        </w:rPr>
        <w:t>操作区</w:t>
      </w:r>
      <w:proofErr w:type="gramEnd"/>
      <w:r>
        <w:rPr>
          <w:rFonts w:asciiTheme="minorEastAsia" w:eastAsiaTheme="minorEastAsia" w:hAnsiTheme="minorEastAsia" w:hint="eastAsia"/>
          <w:sz w:val="24"/>
        </w:rPr>
        <w:t>封闭管理，实施音像监控；业务信息由专职信息披露人负责，防止泄密；业务实现系统自动化操作，防止人为操作风险的发生；技术系统完整、独立。</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hint="eastAsia"/>
          <w:sz w:val="24"/>
        </w:rPr>
        <w:t>三、基金托管人对基金管理人运作基金进行监督的方法和程序</w:t>
      </w:r>
    </w:p>
    <w:p w:rsidR="00562FFD" w:rsidRDefault="003317D3">
      <w:pPr>
        <w:autoSpaceDE w:val="0"/>
        <w:snapToGrid w:val="0"/>
        <w:spacing w:line="360" w:lineRule="auto"/>
        <w:ind w:firstLine="504"/>
        <w:jc w:val="left"/>
        <w:rPr>
          <w:rFonts w:asciiTheme="minorEastAsia" w:eastAsiaTheme="minorEastAsia" w:hAnsiTheme="minorEastAsia"/>
          <w:sz w:val="24"/>
        </w:rPr>
      </w:pPr>
      <w:r>
        <w:rPr>
          <w:rFonts w:asciiTheme="minorEastAsia" w:eastAsiaTheme="minorEastAsia" w:hAnsiTheme="minorEastAsia"/>
          <w:sz w:val="24"/>
        </w:rPr>
        <w:t>根据《基金法》、《运作办法》的相关规定，基金托管人发现基金管理人的投资指令违反法律、行政法规和其他有关规定，或者违反基金合同约定的，应当拒绝执行，立即通知基金管理人，并及时向证券监督管理机构报告。基金托管人如发现基金管理人依据交易程序已经生效的投资指令违反法律、行政法规和其他有关规定，或者违反基金合同约定的，应当立即通知基金管理人，并及时向证券监督管理机构报告。</w:t>
      </w:r>
    </w:p>
    <w:p w:rsidR="00562FFD" w:rsidRDefault="003317D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562FFD" w:rsidRDefault="003317D3">
      <w:pPr>
        <w:pStyle w:val="af0"/>
        <w:rPr>
          <w:szCs w:val="28"/>
        </w:rPr>
      </w:pPr>
      <w:bookmarkStart w:id="23" w:name="_Toc34222296"/>
      <w:bookmarkStart w:id="24" w:name="_Toc164766374"/>
      <w:bookmarkStart w:id="25" w:name="_Toc56692688"/>
      <w:bookmarkStart w:id="26" w:name="_Toc402517804"/>
      <w:bookmarkStart w:id="27" w:name="_Toc421744345"/>
      <w:bookmarkEnd w:id="22"/>
      <w:r>
        <w:rPr>
          <w:rFonts w:hint="eastAsia"/>
          <w:szCs w:val="28"/>
        </w:rPr>
        <w:lastRenderedPageBreak/>
        <w:t>第五部分 相关服务机构</w:t>
      </w:r>
      <w:bookmarkEnd w:id="23"/>
      <w:bookmarkEnd w:id="24"/>
      <w:bookmarkEnd w:id="25"/>
      <w:bookmarkEnd w:id="26"/>
      <w:bookmarkEnd w:id="27"/>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一、基金销售机构</w:t>
      </w:r>
    </w:p>
    <w:p w:rsidR="00562FFD" w:rsidRDefault="003317D3">
      <w:pPr>
        <w:spacing w:line="500" w:lineRule="exact"/>
        <w:ind w:firstLine="493"/>
        <w:rPr>
          <w:rFonts w:ascii="宋体" w:hAnsi="宋体"/>
          <w:color w:val="000000"/>
          <w:sz w:val="24"/>
        </w:rPr>
      </w:pPr>
      <w:r>
        <w:rPr>
          <w:rFonts w:ascii="宋体" w:hAnsi="宋体" w:hint="eastAsia"/>
          <w:color w:val="000000"/>
          <w:sz w:val="24"/>
        </w:rPr>
        <w:t>1、直销机构：</w:t>
      </w:r>
    </w:p>
    <w:p w:rsidR="00562FFD" w:rsidRDefault="003317D3">
      <w:pPr>
        <w:spacing w:line="500" w:lineRule="exact"/>
        <w:ind w:firstLine="493"/>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proofErr w:type="gramStart"/>
      <w:r>
        <w:rPr>
          <w:rFonts w:ascii="宋体" w:hAnsi="宋体" w:hint="eastAsia"/>
          <w:color w:val="000000"/>
          <w:sz w:val="24"/>
        </w:rPr>
        <w:t>天弘基金</w:t>
      </w:r>
      <w:proofErr w:type="gramEnd"/>
      <w:r>
        <w:rPr>
          <w:rFonts w:ascii="宋体" w:hAnsi="宋体" w:hint="eastAsia"/>
          <w:color w:val="000000"/>
          <w:sz w:val="24"/>
        </w:rPr>
        <w:t>管理有限公司直销中心</w:t>
      </w:r>
      <w:r>
        <w:rPr>
          <w:rFonts w:ascii="宋体" w:hAnsi="宋体"/>
          <w:color w:val="000000"/>
          <w:sz w:val="24"/>
        </w:rPr>
        <w:t xml:space="preserve"> </w:t>
      </w:r>
    </w:p>
    <w:p w:rsidR="00562FFD" w:rsidRDefault="003317D3">
      <w:pPr>
        <w:spacing w:line="500" w:lineRule="exact"/>
        <w:ind w:firstLine="567"/>
        <w:rPr>
          <w:rFonts w:ascii="宋体" w:hAnsi="宋体"/>
          <w:color w:val="000000"/>
          <w:sz w:val="24"/>
        </w:rPr>
      </w:pPr>
      <w:r>
        <w:rPr>
          <w:rFonts w:ascii="宋体" w:hAnsi="宋体" w:hint="eastAsia"/>
          <w:color w:val="000000"/>
          <w:sz w:val="24"/>
        </w:rPr>
        <w:t>住所：</w:t>
      </w:r>
      <w:r w:rsidR="0013131D" w:rsidRPr="0013131D">
        <w:rPr>
          <w:rFonts w:ascii="宋体" w:hAnsi="宋体" w:hint="eastAsia"/>
          <w:color w:val="000000"/>
          <w:sz w:val="24"/>
        </w:rPr>
        <w:t>天津自贸试验区（中心商务区）新华路3678号</w:t>
      </w:r>
      <w:proofErr w:type="gramStart"/>
      <w:r w:rsidR="0013131D" w:rsidRPr="0013131D">
        <w:rPr>
          <w:rFonts w:ascii="宋体" w:hAnsi="宋体" w:hint="eastAsia"/>
          <w:color w:val="000000"/>
          <w:sz w:val="24"/>
        </w:rPr>
        <w:t>宝风大厦</w:t>
      </w:r>
      <w:proofErr w:type="gramEnd"/>
      <w:r w:rsidR="0013131D" w:rsidRPr="0013131D">
        <w:rPr>
          <w:rFonts w:ascii="宋体" w:hAnsi="宋体" w:hint="eastAsia"/>
          <w:color w:val="000000"/>
          <w:sz w:val="24"/>
        </w:rPr>
        <w:t>23层</w:t>
      </w:r>
    </w:p>
    <w:p w:rsidR="00562FFD" w:rsidRDefault="003317D3">
      <w:pPr>
        <w:spacing w:line="500" w:lineRule="exact"/>
        <w:ind w:firstLine="567"/>
        <w:rPr>
          <w:rFonts w:ascii="宋体" w:hAnsi="宋体"/>
          <w:color w:val="000000"/>
          <w:sz w:val="24"/>
        </w:rPr>
      </w:pPr>
      <w:r>
        <w:rPr>
          <w:rFonts w:ascii="宋体" w:hAnsi="宋体" w:hint="eastAsia"/>
          <w:color w:val="000000"/>
          <w:sz w:val="24"/>
        </w:rPr>
        <w:t>办公地址：天津市河西区马场道</w:t>
      </w:r>
      <w:r>
        <w:rPr>
          <w:rFonts w:ascii="宋体" w:hAnsi="宋体"/>
          <w:color w:val="000000"/>
          <w:sz w:val="24"/>
        </w:rPr>
        <w:t>59</w:t>
      </w:r>
      <w:r>
        <w:rPr>
          <w:rFonts w:ascii="宋体" w:hAnsi="宋体" w:hint="eastAsia"/>
          <w:color w:val="000000"/>
          <w:sz w:val="24"/>
        </w:rPr>
        <w:t>号天津国际经济贸易中心</w:t>
      </w:r>
      <w:r>
        <w:rPr>
          <w:rFonts w:ascii="宋体" w:hAnsi="宋体"/>
          <w:color w:val="000000"/>
          <w:sz w:val="24"/>
        </w:rPr>
        <w:t>A</w:t>
      </w:r>
      <w:r>
        <w:rPr>
          <w:rFonts w:ascii="宋体" w:hAnsi="宋体" w:hint="eastAsia"/>
          <w:color w:val="000000"/>
          <w:sz w:val="24"/>
        </w:rPr>
        <w:t>座</w:t>
      </w:r>
      <w:r>
        <w:rPr>
          <w:rFonts w:ascii="宋体" w:hAnsi="宋体"/>
          <w:color w:val="000000"/>
          <w:sz w:val="24"/>
        </w:rPr>
        <w:t>16</w:t>
      </w:r>
      <w:r>
        <w:rPr>
          <w:rFonts w:ascii="宋体" w:hAnsi="宋体" w:hint="eastAsia"/>
          <w:color w:val="000000"/>
          <w:sz w:val="24"/>
        </w:rPr>
        <w:t>层</w:t>
      </w:r>
    </w:p>
    <w:p w:rsidR="00562FFD" w:rsidRDefault="003317D3">
      <w:pPr>
        <w:spacing w:line="500" w:lineRule="exact"/>
        <w:ind w:firstLine="567"/>
        <w:rPr>
          <w:rFonts w:ascii="宋体" w:hAnsi="宋体"/>
          <w:color w:val="000000"/>
          <w:sz w:val="24"/>
        </w:rPr>
      </w:pPr>
      <w:r>
        <w:rPr>
          <w:rFonts w:ascii="宋体" w:hAnsi="宋体" w:hint="eastAsia"/>
          <w:color w:val="000000"/>
          <w:sz w:val="24"/>
        </w:rPr>
        <w:t>法定代表人：</w:t>
      </w:r>
      <w:r w:rsidR="0013131D" w:rsidRPr="0013131D">
        <w:rPr>
          <w:rFonts w:ascii="宋体" w:hAnsi="宋体" w:hint="eastAsia"/>
          <w:color w:val="000000"/>
          <w:sz w:val="24"/>
        </w:rPr>
        <w:t>韩歆毅</w:t>
      </w:r>
    </w:p>
    <w:p w:rsidR="00562FFD" w:rsidRDefault="003317D3">
      <w:pPr>
        <w:spacing w:line="500" w:lineRule="exact"/>
        <w:ind w:firstLine="567"/>
        <w:rPr>
          <w:rFonts w:ascii="宋体" w:hAnsi="宋体"/>
          <w:color w:val="000000"/>
          <w:sz w:val="24"/>
        </w:rPr>
      </w:pPr>
      <w:r>
        <w:rPr>
          <w:rFonts w:ascii="宋体" w:hAnsi="宋体" w:hint="eastAsia"/>
          <w:color w:val="000000"/>
          <w:sz w:val="24"/>
        </w:rPr>
        <w:t>电话：（</w:t>
      </w:r>
      <w:r>
        <w:rPr>
          <w:rFonts w:ascii="宋体" w:hAnsi="宋体"/>
          <w:color w:val="000000"/>
          <w:sz w:val="24"/>
        </w:rPr>
        <w:t>022</w:t>
      </w:r>
      <w:r>
        <w:rPr>
          <w:rFonts w:ascii="宋体" w:hAnsi="宋体" w:hint="eastAsia"/>
          <w:color w:val="000000"/>
          <w:sz w:val="24"/>
        </w:rPr>
        <w:t>）</w:t>
      </w:r>
      <w:r>
        <w:rPr>
          <w:rFonts w:ascii="宋体" w:hAnsi="宋体"/>
          <w:color w:val="000000"/>
          <w:sz w:val="24"/>
        </w:rPr>
        <w:t>83865560</w:t>
      </w:r>
    </w:p>
    <w:p w:rsidR="00562FFD" w:rsidRDefault="003317D3">
      <w:pPr>
        <w:spacing w:line="500" w:lineRule="exact"/>
        <w:ind w:firstLine="567"/>
        <w:rPr>
          <w:rFonts w:ascii="宋体" w:hAnsi="宋体"/>
          <w:color w:val="000000"/>
          <w:sz w:val="24"/>
        </w:rPr>
      </w:pPr>
      <w:r>
        <w:rPr>
          <w:rFonts w:ascii="宋体" w:hAnsi="宋体" w:hint="eastAsia"/>
          <w:color w:val="000000"/>
          <w:sz w:val="24"/>
        </w:rPr>
        <w:t>传真：（</w:t>
      </w:r>
      <w:r>
        <w:rPr>
          <w:rFonts w:ascii="宋体" w:hAnsi="宋体"/>
          <w:color w:val="000000"/>
          <w:sz w:val="24"/>
        </w:rPr>
        <w:t>022</w:t>
      </w:r>
      <w:r>
        <w:rPr>
          <w:rFonts w:ascii="宋体" w:hAnsi="宋体" w:hint="eastAsia"/>
          <w:color w:val="000000"/>
          <w:sz w:val="24"/>
        </w:rPr>
        <w:t>）</w:t>
      </w:r>
      <w:r>
        <w:rPr>
          <w:rFonts w:ascii="宋体" w:hAnsi="宋体"/>
          <w:color w:val="000000"/>
          <w:sz w:val="24"/>
        </w:rPr>
        <w:t>83865563</w:t>
      </w:r>
    </w:p>
    <w:p w:rsidR="00562FFD" w:rsidRDefault="003317D3">
      <w:pPr>
        <w:spacing w:line="500" w:lineRule="exact"/>
        <w:ind w:firstLine="567"/>
        <w:rPr>
          <w:rFonts w:ascii="宋体" w:hAnsi="宋体"/>
          <w:color w:val="000000"/>
          <w:sz w:val="24"/>
        </w:rPr>
      </w:pPr>
      <w:r>
        <w:rPr>
          <w:rFonts w:ascii="宋体" w:hAnsi="宋体" w:hint="eastAsia"/>
          <w:color w:val="000000"/>
          <w:sz w:val="24"/>
        </w:rPr>
        <w:t>联系人：司媛</w:t>
      </w:r>
    </w:p>
    <w:p w:rsidR="00562FFD" w:rsidRDefault="003317D3">
      <w:pPr>
        <w:spacing w:line="500" w:lineRule="exact"/>
        <w:ind w:firstLine="567"/>
        <w:rPr>
          <w:rFonts w:ascii="宋体" w:hAnsi="宋体"/>
          <w:color w:val="000000"/>
          <w:sz w:val="24"/>
        </w:rPr>
      </w:pPr>
      <w:r>
        <w:rPr>
          <w:rFonts w:ascii="宋体" w:hAnsi="宋体" w:hint="eastAsia"/>
          <w:color w:val="000000"/>
          <w:sz w:val="24"/>
        </w:rPr>
        <w:t>客服电话：</w:t>
      </w:r>
      <w:r>
        <w:rPr>
          <w:rFonts w:ascii="宋体" w:hAnsi="宋体"/>
          <w:color w:val="000000"/>
          <w:sz w:val="24"/>
        </w:rPr>
        <w:t>95046</w:t>
      </w:r>
    </w:p>
    <w:p w:rsidR="00562FFD" w:rsidRDefault="003317D3">
      <w:pPr>
        <w:spacing w:line="500" w:lineRule="exact"/>
        <w:ind w:firstLine="493"/>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proofErr w:type="gramStart"/>
      <w:r>
        <w:rPr>
          <w:rFonts w:ascii="宋体" w:hAnsi="宋体" w:hint="eastAsia"/>
          <w:color w:val="000000"/>
          <w:sz w:val="24"/>
        </w:rPr>
        <w:t>天弘基金</w:t>
      </w:r>
      <w:proofErr w:type="gramEnd"/>
      <w:r>
        <w:rPr>
          <w:rFonts w:ascii="宋体" w:hAnsi="宋体" w:hint="eastAsia"/>
          <w:color w:val="000000"/>
          <w:sz w:val="24"/>
        </w:rPr>
        <w:t>管理有限公司北京分公司</w:t>
      </w:r>
    </w:p>
    <w:p w:rsidR="00562FFD" w:rsidRDefault="003317D3">
      <w:pPr>
        <w:spacing w:line="500" w:lineRule="exact"/>
        <w:ind w:firstLine="567"/>
        <w:rPr>
          <w:rFonts w:ascii="宋体" w:hAnsi="宋体"/>
          <w:color w:val="000000"/>
          <w:sz w:val="24"/>
        </w:rPr>
      </w:pPr>
      <w:r>
        <w:rPr>
          <w:rFonts w:ascii="宋体" w:hAnsi="宋体" w:hint="eastAsia"/>
          <w:color w:val="000000"/>
          <w:sz w:val="24"/>
        </w:rPr>
        <w:t>办公地址：北京市西城区月坛北街</w:t>
      </w:r>
      <w:r>
        <w:rPr>
          <w:rFonts w:ascii="宋体" w:hAnsi="宋体"/>
          <w:color w:val="000000"/>
          <w:sz w:val="24"/>
        </w:rPr>
        <w:t>2</w:t>
      </w:r>
      <w:r>
        <w:rPr>
          <w:rFonts w:ascii="宋体" w:hAnsi="宋体" w:hint="eastAsia"/>
          <w:color w:val="000000"/>
          <w:sz w:val="24"/>
        </w:rPr>
        <w:t>号月坛大厦</w:t>
      </w:r>
      <w:r>
        <w:rPr>
          <w:rFonts w:ascii="宋体" w:hAnsi="宋体"/>
          <w:color w:val="000000"/>
          <w:sz w:val="24"/>
        </w:rPr>
        <w:t>A</w:t>
      </w:r>
      <w:r>
        <w:rPr>
          <w:rFonts w:ascii="宋体" w:hAnsi="宋体" w:hint="eastAsia"/>
          <w:color w:val="000000"/>
          <w:sz w:val="24"/>
        </w:rPr>
        <w:t>2</w:t>
      </w:r>
      <w:r>
        <w:rPr>
          <w:rFonts w:ascii="宋体" w:hAnsi="宋体"/>
          <w:color w:val="000000"/>
          <w:sz w:val="24"/>
        </w:rPr>
        <w:t>1</w:t>
      </w:r>
    </w:p>
    <w:p w:rsidR="00562FFD" w:rsidRDefault="003317D3">
      <w:pPr>
        <w:spacing w:line="500" w:lineRule="exact"/>
        <w:ind w:firstLine="567"/>
        <w:rPr>
          <w:rFonts w:ascii="宋体" w:hAnsi="宋体"/>
          <w:color w:val="000000"/>
          <w:sz w:val="24"/>
        </w:rPr>
      </w:pPr>
      <w:r>
        <w:rPr>
          <w:rFonts w:ascii="宋体" w:hAnsi="宋体" w:hint="eastAsia"/>
          <w:color w:val="000000"/>
          <w:sz w:val="24"/>
        </w:rPr>
        <w:t>电话：（</w:t>
      </w:r>
      <w:r>
        <w:rPr>
          <w:rFonts w:ascii="宋体" w:hAnsi="宋体"/>
          <w:color w:val="000000"/>
          <w:sz w:val="24"/>
        </w:rPr>
        <w:t>010</w:t>
      </w:r>
      <w:r>
        <w:rPr>
          <w:rFonts w:ascii="宋体" w:hAnsi="宋体" w:hint="eastAsia"/>
          <w:color w:val="000000"/>
          <w:sz w:val="24"/>
        </w:rPr>
        <w:t>）</w:t>
      </w:r>
      <w:r>
        <w:rPr>
          <w:rFonts w:ascii="宋体" w:hAnsi="宋体"/>
          <w:color w:val="000000"/>
          <w:sz w:val="24"/>
        </w:rPr>
        <w:t>83571789</w:t>
      </w:r>
    </w:p>
    <w:p w:rsidR="00562FFD" w:rsidRDefault="003317D3">
      <w:pPr>
        <w:spacing w:line="500" w:lineRule="exact"/>
        <w:ind w:firstLine="567"/>
        <w:rPr>
          <w:rFonts w:ascii="宋体" w:hAnsi="宋体"/>
          <w:color w:val="000000"/>
          <w:sz w:val="24"/>
        </w:rPr>
      </w:pPr>
      <w:r>
        <w:rPr>
          <w:rFonts w:ascii="宋体" w:hAnsi="宋体" w:hint="eastAsia"/>
          <w:color w:val="000000"/>
          <w:sz w:val="24"/>
        </w:rPr>
        <w:t>联系人：周娜</w:t>
      </w:r>
    </w:p>
    <w:p w:rsidR="00562FFD" w:rsidRDefault="003317D3">
      <w:pPr>
        <w:spacing w:line="360" w:lineRule="auto"/>
        <w:ind w:firstLineChars="200" w:firstLine="480"/>
        <w:rPr>
          <w:rFonts w:ascii="宋体" w:hAnsi="宋体" w:cs="宋体-WinCharSetFFFF-H"/>
          <w:color w:val="000000"/>
          <w:kern w:val="0"/>
          <w:sz w:val="24"/>
        </w:rPr>
      </w:pPr>
      <w:r>
        <w:rPr>
          <w:rFonts w:ascii="宋体" w:hAnsi="宋体" w:cs="宋体-WinCharSetFFFF-H"/>
          <w:color w:val="000000"/>
          <w:kern w:val="0"/>
          <w:sz w:val="24"/>
        </w:rPr>
        <w:t>2、本基金的其他销售机构情况详见本基金《基金份额发售公告》</w:t>
      </w:r>
      <w:r>
        <w:rPr>
          <w:rFonts w:ascii="宋体" w:hAnsi="宋体" w:cs="宋体-WinCharSetFFFF-H" w:hint="eastAsia"/>
          <w:color w:val="000000"/>
          <w:kern w:val="0"/>
          <w:sz w:val="24"/>
        </w:rPr>
        <w:t>及基金管理人网站</w:t>
      </w:r>
      <w:r>
        <w:rPr>
          <w:rFonts w:ascii="宋体" w:hAnsi="宋体" w:cs="宋体-WinCharSetFFFF-H"/>
          <w:color w:val="000000"/>
          <w:kern w:val="0"/>
          <w:sz w:val="24"/>
        </w:rPr>
        <w:t>。</w:t>
      </w:r>
    </w:p>
    <w:p w:rsidR="00562FFD" w:rsidRDefault="003317D3">
      <w:pPr>
        <w:spacing w:line="360" w:lineRule="auto"/>
        <w:ind w:firstLineChars="200" w:firstLine="480"/>
        <w:rPr>
          <w:rFonts w:ascii="宋体" w:hAnsi="宋体" w:cs="宋体-WinCharSetFFFF-H"/>
          <w:color w:val="000000"/>
          <w:kern w:val="0"/>
          <w:sz w:val="24"/>
        </w:rPr>
      </w:pPr>
      <w:r>
        <w:rPr>
          <w:rFonts w:ascii="宋体" w:hAnsi="宋体" w:cs="宋体-WinCharSetFFFF-H"/>
          <w:color w:val="000000"/>
          <w:kern w:val="0"/>
          <w:sz w:val="24"/>
        </w:rPr>
        <w:t>3、基金管理人可根据有关法律法规的要求，选择其他符合要求的机构调整为本基金的销售机构</w:t>
      </w:r>
      <w:r>
        <w:rPr>
          <w:rFonts w:ascii="宋体" w:hAnsi="宋体" w:cs="宋体-WinCharSetFFFF-H" w:hint="eastAsia"/>
          <w:color w:val="000000"/>
          <w:kern w:val="0"/>
          <w:sz w:val="24"/>
        </w:rPr>
        <w:t>，并在基金管理人网站公示</w:t>
      </w:r>
      <w:r>
        <w:rPr>
          <w:rFonts w:ascii="宋体" w:hAnsi="宋体" w:cs="宋体-WinCharSetFFFF-H"/>
          <w:color w:val="000000"/>
          <w:kern w:val="0"/>
          <w:sz w:val="24"/>
        </w:rPr>
        <w:t>。</w:t>
      </w:r>
    </w:p>
    <w:p w:rsidR="00562FFD" w:rsidRDefault="003317D3">
      <w:pPr>
        <w:spacing w:line="360" w:lineRule="auto"/>
        <w:ind w:firstLineChars="200" w:firstLine="480"/>
        <w:rPr>
          <w:rFonts w:ascii="宋体" w:hAnsi="宋体"/>
          <w:color w:val="000000"/>
          <w:sz w:val="24"/>
        </w:rPr>
      </w:pPr>
      <w:r>
        <w:rPr>
          <w:rFonts w:ascii="宋体" w:hAnsi="宋体"/>
          <w:color w:val="000000"/>
          <w:sz w:val="24"/>
        </w:rPr>
        <w:t>二、登记机构</w:t>
      </w:r>
      <w:r>
        <w:rPr>
          <w:rFonts w:ascii="宋体" w:hAnsi="宋体"/>
          <w:color w:val="000000"/>
          <w:sz w:val="24"/>
        </w:rPr>
        <w:cr/>
        <w:t xml:space="preserve">    名称：</w:t>
      </w:r>
      <w:proofErr w:type="gramStart"/>
      <w:r>
        <w:rPr>
          <w:rFonts w:ascii="宋体" w:hAnsi="宋体"/>
          <w:color w:val="000000"/>
          <w:sz w:val="24"/>
        </w:rPr>
        <w:t>天弘基金</w:t>
      </w:r>
      <w:proofErr w:type="gramEnd"/>
      <w:r>
        <w:rPr>
          <w:rFonts w:ascii="宋体" w:hAnsi="宋体"/>
          <w:color w:val="000000"/>
          <w:sz w:val="24"/>
        </w:rPr>
        <w:t>管理有限公司</w:t>
      </w:r>
      <w:r>
        <w:rPr>
          <w:rFonts w:ascii="宋体" w:hAnsi="宋体"/>
          <w:color w:val="000000"/>
          <w:sz w:val="24"/>
        </w:rPr>
        <w:cr/>
        <w:t xml:space="preserve">    住所：</w:t>
      </w:r>
      <w:r w:rsidR="0013131D" w:rsidRPr="0013131D">
        <w:rPr>
          <w:rFonts w:ascii="宋体" w:hAnsi="宋体" w:hint="eastAsia"/>
          <w:color w:val="000000"/>
          <w:sz w:val="24"/>
        </w:rPr>
        <w:t>天津自贸试验区（中心商务区）新华路3678号</w:t>
      </w:r>
      <w:proofErr w:type="gramStart"/>
      <w:r w:rsidR="0013131D" w:rsidRPr="0013131D">
        <w:rPr>
          <w:rFonts w:ascii="宋体" w:hAnsi="宋体" w:hint="eastAsia"/>
          <w:color w:val="000000"/>
          <w:sz w:val="24"/>
        </w:rPr>
        <w:t>宝风大厦</w:t>
      </w:r>
      <w:proofErr w:type="gramEnd"/>
      <w:r w:rsidR="0013131D" w:rsidRPr="0013131D">
        <w:rPr>
          <w:rFonts w:ascii="宋体" w:hAnsi="宋体" w:hint="eastAsia"/>
          <w:color w:val="000000"/>
          <w:sz w:val="24"/>
        </w:rPr>
        <w:t>23层</w:t>
      </w:r>
      <w:r>
        <w:rPr>
          <w:rFonts w:ascii="宋体" w:hAnsi="宋体"/>
          <w:color w:val="000000"/>
          <w:sz w:val="24"/>
        </w:rPr>
        <w:cr/>
        <w:t xml:space="preserve">    办公地址：天津市河西区马场道59号天津国际经济贸易中心A座16层</w:t>
      </w:r>
      <w:r>
        <w:rPr>
          <w:rFonts w:ascii="宋体" w:hAnsi="宋体"/>
          <w:color w:val="000000"/>
          <w:sz w:val="24"/>
        </w:rPr>
        <w:cr/>
        <w:t xml:space="preserve">    法定代表人：</w:t>
      </w:r>
      <w:r w:rsidR="0013131D" w:rsidRPr="0013131D">
        <w:rPr>
          <w:rFonts w:ascii="宋体" w:hAnsi="宋体" w:hint="eastAsia"/>
          <w:bCs/>
          <w:color w:val="000000"/>
          <w:sz w:val="24"/>
        </w:rPr>
        <w:t>韩歆毅</w:t>
      </w:r>
      <w:r>
        <w:rPr>
          <w:rFonts w:ascii="宋体" w:hAnsi="宋体"/>
          <w:color w:val="000000"/>
          <w:sz w:val="24"/>
        </w:rPr>
        <w:cr/>
        <w:t xml:space="preserve">    电话：（022）83865560 </w:t>
      </w:r>
      <w:r>
        <w:rPr>
          <w:rFonts w:ascii="宋体" w:hAnsi="宋体"/>
          <w:color w:val="000000"/>
          <w:sz w:val="24"/>
        </w:rPr>
        <w:cr/>
        <w:t xml:space="preserve">    传真：（022）83865563 </w:t>
      </w:r>
      <w:r>
        <w:rPr>
          <w:rFonts w:ascii="宋体" w:hAnsi="宋体"/>
          <w:color w:val="000000"/>
          <w:sz w:val="24"/>
        </w:rPr>
        <w:cr/>
        <w:t xml:space="preserve">    联系人：薄贺龙</w:t>
      </w:r>
      <w:r>
        <w:rPr>
          <w:rFonts w:ascii="宋体" w:hAnsi="宋体"/>
          <w:color w:val="000000"/>
          <w:sz w:val="24"/>
        </w:rPr>
        <w:cr/>
        <w:t xml:space="preserve">    三、律师事务所和经办律师</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lastRenderedPageBreak/>
        <w:t>名称：上海源泰律师事务所</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住所：上海市浦东新区浦东南路</w:t>
      </w:r>
      <w:r>
        <w:rPr>
          <w:rFonts w:ascii="宋体" w:hAnsi="宋体"/>
          <w:color w:val="000000"/>
          <w:sz w:val="24"/>
        </w:rPr>
        <w:t>256号华夏银行大厦14楼</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办公地址：上海市浦东新区浦东南路</w:t>
      </w:r>
      <w:r>
        <w:rPr>
          <w:rFonts w:ascii="宋体" w:hAnsi="宋体"/>
          <w:color w:val="000000"/>
          <w:sz w:val="24"/>
        </w:rPr>
        <w:t>256号华夏银行大厦14楼</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负责人：廖海</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电话：</w:t>
      </w:r>
      <w:r>
        <w:rPr>
          <w:rFonts w:ascii="宋体" w:hAnsi="宋体"/>
          <w:color w:val="000000"/>
          <w:sz w:val="24"/>
        </w:rPr>
        <w:t>021- 51150298</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传真：</w:t>
      </w:r>
      <w:r>
        <w:rPr>
          <w:rFonts w:ascii="宋体" w:hAnsi="宋体"/>
          <w:color w:val="000000"/>
          <w:sz w:val="24"/>
        </w:rPr>
        <w:t>021- 51150398</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经办律师：刘佳、刘翠</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联系人：刘佳</w:t>
      </w:r>
      <w:r>
        <w:rPr>
          <w:rFonts w:ascii="宋体" w:hAnsi="宋体"/>
          <w:color w:val="000000"/>
          <w:sz w:val="24"/>
        </w:rPr>
        <w:t xml:space="preserve">   </w:t>
      </w:r>
    </w:p>
    <w:p w:rsidR="00562FFD" w:rsidRDefault="003317D3">
      <w:pPr>
        <w:spacing w:line="360" w:lineRule="auto"/>
        <w:ind w:firstLineChars="200" w:firstLine="480"/>
        <w:rPr>
          <w:rFonts w:ascii="宋体" w:hAnsi="宋体"/>
          <w:color w:val="000000"/>
          <w:sz w:val="24"/>
        </w:rPr>
      </w:pPr>
      <w:r>
        <w:rPr>
          <w:rFonts w:ascii="宋体" w:hAnsi="宋体"/>
          <w:color w:val="000000"/>
          <w:sz w:val="24"/>
        </w:rPr>
        <w:t>四、会计师事务所和经办注册会计师</w:t>
      </w:r>
      <w:r>
        <w:rPr>
          <w:rFonts w:ascii="宋体" w:hAnsi="宋体"/>
          <w:color w:val="000000"/>
          <w:sz w:val="24"/>
        </w:rPr>
        <w:cr/>
        <w:t xml:space="preserve">    名称：普华永道中天会计师事务所（特殊普通合伙）</w:t>
      </w:r>
      <w:r>
        <w:rPr>
          <w:rFonts w:ascii="宋体" w:hAnsi="宋体"/>
          <w:color w:val="000000"/>
          <w:sz w:val="24"/>
        </w:rPr>
        <w:cr/>
        <w:t xml:space="preserve">    住所：上海市浦东新区陆家嘴环路1318号</w:t>
      </w:r>
      <w:proofErr w:type="gramStart"/>
      <w:r>
        <w:rPr>
          <w:rFonts w:ascii="宋体" w:hAnsi="宋体"/>
          <w:color w:val="000000"/>
          <w:sz w:val="24"/>
        </w:rPr>
        <w:t>星展银行</w:t>
      </w:r>
      <w:proofErr w:type="gramEnd"/>
      <w:r>
        <w:rPr>
          <w:rFonts w:ascii="宋体" w:hAnsi="宋体"/>
          <w:color w:val="000000"/>
          <w:sz w:val="24"/>
        </w:rPr>
        <w:t>大厦6楼</w:t>
      </w:r>
      <w:r>
        <w:rPr>
          <w:rFonts w:ascii="宋体" w:hAnsi="宋体"/>
          <w:color w:val="000000"/>
          <w:sz w:val="24"/>
        </w:rPr>
        <w:cr/>
        <w:t xml:space="preserve">    办公地址：中国上海市湖滨路202号普华永道中心11楼</w:t>
      </w:r>
      <w:r>
        <w:rPr>
          <w:rFonts w:ascii="宋体" w:hAnsi="宋体"/>
          <w:color w:val="000000"/>
          <w:sz w:val="24"/>
        </w:rPr>
        <w:cr/>
        <w:t xml:space="preserve">    执行事务合伙人：李丹</w:t>
      </w:r>
      <w:r>
        <w:rPr>
          <w:rFonts w:ascii="宋体" w:hAnsi="宋体"/>
          <w:color w:val="000000"/>
          <w:sz w:val="24"/>
        </w:rPr>
        <w:cr/>
        <w:t xml:space="preserve">    电话：（021）23238888 </w:t>
      </w:r>
      <w:r>
        <w:rPr>
          <w:rFonts w:ascii="宋体" w:hAnsi="宋体"/>
          <w:color w:val="000000"/>
          <w:sz w:val="24"/>
        </w:rPr>
        <w:cr/>
        <w:t xml:space="preserve">    传真：（021）23238800 </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经办注册会计师：张振波、林佳璐</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联系人：林佳璐</w:t>
      </w:r>
    </w:p>
    <w:p w:rsidR="00562FFD" w:rsidRDefault="003317D3">
      <w:pPr>
        <w:autoSpaceDE w:val="0"/>
        <w:autoSpaceDN w:val="0"/>
        <w:adjustRightInd w:val="0"/>
        <w:spacing w:line="360" w:lineRule="auto"/>
        <w:ind w:firstLineChars="200" w:firstLine="480"/>
        <w:jc w:val="center"/>
        <w:outlineLvl w:val="0"/>
        <w:rPr>
          <w:szCs w:val="28"/>
        </w:rPr>
      </w:pPr>
      <w:r>
        <w:rPr>
          <w:rFonts w:ascii="宋体" w:hAnsi="宋体"/>
          <w:bCs/>
          <w:color w:val="000000"/>
          <w:sz w:val="24"/>
          <w:szCs w:val="28"/>
        </w:rPr>
        <w:br w:type="page"/>
      </w:r>
      <w:bookmarkStart w:id="28" w:name="_Toc164766376"/>
      <w:bookmarkStart w:id="29" w:name="_Toc56692689"/>
      <w:r>
        <w:rPr>
          <w:rFonts w:ascii="宋体" w:hint="eastAsia"/>
          <w:b/>
          <w:color w:val="000000"/>
          <w:kern w:val="0"/>
          <w:sz w:val="28"/>
          <w:szCs w:val="28"/>
        </w:rPr>
        <w:lastRenderedPageBreak/>
        <w:t>第六部分 基金的</w:t>
      </w:r>
      <w:bookmarkEnd w:id="28"/>
      <w:r>
        <w:rPr>
          <w:rFonts w:ascii="宋体" w:hint="eastAsia"/>
          <w:b/>
          <w:color w:val="000000"/>
          <w:kern w:val="0"/>
          <w:sz w:val="28"/>
          <w:szCs w:val="28"/>
        </w:rPr>
        <w:t>募集</w:t>
      </w:r>
      <w:bookmarkEnd w:id="29"/>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一、基金募集的依据</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本基金由基金管理人依照《基金法》、《运作办法》、《销售办法》、《信息披露办法》、</w:t>
      </w:r>
      <w:r>
        <w:rPr>
          <w:rFonts w:ascii="宋体" w:hAnsi="宋体" w:cs="宋体-WinCharSetFFFF-H"/>
          <w:bCs/>
          <w:kern w:val="0"/>
          <w:sz w:val="24"/>
        </w:rPr>
        <w:t>《流动性风险管理规定》</w:t>
      </w:r>
      <w:r>
        <w:rPr>
          <w:rFonts w:ascii="宋体" w:hAnsi="宋体" w:cs="宋体-WinCharSetFFFF-H" w:hint="eastAsia"/>
          <w:bCs/>
          <w:kern w:val="0"/>
          <w:sz w:val="24"/>
        </w:rPr>
        <w:t>、</w:t>
      </w:r>
      <w:r>
        <w:rPr>
          <w:rFonts w:ascii="宋体" w:hAnsi="宋体" w:cs="宋体-WinCharSetFFFF-H" w:hint="eastAsia"/>
          <w:kern w:val="0"/>
          <w:sz w:val="24"/>
        </w:rPr>
        <w:t>《基金合同》及其它法律法规的有关规定募集，已于20</w:t>
      </w:r>
      <w:r>
        <w:rPr>
          <w:rFonts w:ascii="宋体" w:hAnsi="宋体" w:cs="宋体-WinCharSetFFFF-H"/>
          <w:kern w:val="0"/>
          <w:sz w:val="24"/>
        </w:rPr>
        <w:t>2X</w:t>
      </w:r>
      <w:r>
        <w:rPr>
          <w:rFonts w:ascii="宋体" w:hAnsi="宋体" w:cs="宋体-WinCharSetFFFF-H" w:hint="eastAsia"/>
          <w:kern w:val="0"/>
          <w:sz w:val="24"/>
        </w:rPr>
        <w:t>年XX月XX</w:t>
      </w:r>
      <w:proofErr w:type="gramStart"/>
      <w:r>
        <w:rPr>
          <w:rFonts w:ascii="宋体" w:hAnsi="宋体" w:cs="宋体-WinCharSetFFFF-H" w:hint="eastAsia"/>
          <w:kern w:val="0"/>
          <w:sz w:val="24"/>
        </w:rPr>
        <w:t>日获得</w:t>
      </w:r>
      <w:proofErr w:type="gramEnd"/>
      <w:r>
        <w:rPr>
          <w:rFonts w:ascii="宋体" w:hAnsi="宋体" w:cs="宋体-WinCharSetFFFF-H" w:hint="eastAsia"/>
          <w:kern w:val="0"/>
          <w:sz w:val="24"/>
        </w:rPr>
        <w:t>中国证监会准予注册的批复（证监许可【20</w:t>
      </w:r>
      <w:r>
        <w:rPr>
          <w:rFonts w:ascii="宋体" w:hAnsi="宋体" w:cs="宋体-WinCharSetFFFF-H"/>
          <w:kern w:val="0"/>
          <w:sz w:val="24"/>
        </w:rPr>
        <w:t>2X</w:t>
      </w:r>
      <w:r>
        <w:rPr>
          <w:rFonts w:ascii="宋体" w:hAnsi="宋体" w:cs="宋体-WinCharSetFFFF-H" w:hint="eastAsia"/>
          <w:kern w:val="0"/>
          <w:sz w:val="24"/>
        </w:rPr>
        <w:t>】XXX号）。</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二、基金类型与运作方式</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kern w:val="0"/>
          <w:sz w:val="24"/>
        </w:rPr>
        <w:t>1</w:t>
      </w:r>
      <w:r>
        <w:rPr>
          <w:rFonts w:ascii="宋体" w:hAnsi="宋体" w:cs="宋体-WinCharSetFFFF-H" w:hint="eastAsia"/>
          <w:kern w:val="0"/>
          <w:sz w:val="24"/>
        </w:rPr>
        <w:t>、基金类型</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混合型证券投资基金</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kern w:val="0"/>
          <w:sz w:val="24"/>
        </w:rPr>
        <w:t>2</w:t>
      </w:r>
      <w:r>
        <w:rPr>
          <w:rFonts w:ascii="宋体" w:hAnsi="宋体" w:cs="宋体-WinCharSetFFFF-H" w:hint="eastAsia"/>
          <w:kern w:val="0"/>
          <w:sz w:val="24"/>
        </w:rPr>
        <w:t>、基金的运作方式</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契约型开放式</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三、基金存续期限</w:t>
      </w:r>
    </w:p>
    <w:p w:rsidR="00562FFD" w:rsidRDefault="003317D3">
      <w:pPr>
        <w:spacing w:line="360" w:lineRule="auto"/>
        <w:ind w:firstLineChars="200" w:firstLine="480"/>
        <w:rPr>
          <w:bCs/>
          <w:sz w:val="24"/>
        </w:rPr>
      </w:pPr>
      <w:r>
        <w:rPr>
          <w:bCs/>
          <w:sz w:val="24"/>
        </w:rPr>
        <w:t>不定期</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四、募集方式</w:t>
      </w:r>
    </w:p>
    <w:p w:rsidR="00562FFD" w:rsidRDefault="003317D3">
      <w:pPr>
        <w:autoSpaceDE w:val="0"/>
        <w:autoSpaceDN w:val="0"/>
        <w:adjustRightInd w:val="0"/>
        <w:spacing w:line="360" w:lineRule="auto"/>
        <w:ind w:firstLineChars="200" w:firstLine="480"/>
        <w:rPr>
          <w:rFonts w:ascii="宋体" w:hAnsi="宋体" w:cs="宋体-WinCharSetFFFF-H"/>
          <w:bCs/>
          <w:kern w:val="0"/>
          <w:sz w:val="24"/>
        </w:rPr>
      </w:pPr>
      <w:r>
        <w:rPr>
          <w:rFonts w:ascii="宋体" w:hAnsi="宋体" w:cs="宋体-WinCharSetFFFF-H" w:hint="eastAsia"/>
          <w:bCs/>
          <w:kern w:val="0"/>
          <w:sz w:val="24"/>
        </w:rPr>
        <w:t>通过各销售机构的基金销售网</w:t>
      </w:r>
      <w:proofErr w:type="gramStart"/>
      <w:r>
        <w:rPr>
          <w:rFonts w:ascii="宋体" w:hAnsi="宋体" w:cs="宋体-WinCharSetFFFF-H" w:hint="eastAsia"/>
          <w:bCs/>
          <w:kern w:val="0"/>
          <w:sz w:val="24"/>
        </w:rPr>
        <w:t>点公开</w:t>
      </w:r>
      <w:proofErr w:type="gramEnd"/>
      <w:r>
        <w:rPr>
          <w:rFonts w:ascii="宋体" w:hAnsi="宋体" w:cs="宋体-WinCharSetFFFF-H" w:hint="eastAsia"/>
          <w:bCs/>
          <w:kern w:val="0"/>
          <w:sz w:val="24"/>
        </w:rPr>
        <w:t>发售，各销售机构的具体名单</w:t>
      </w:r>
      <w:proofErr w:type="gramStart"/>
      <w:r>
        <w:rPr>
          <w:rFonts w:ascii="宋体" w:hAnsi="宋体" w:cs="宋体-WinCharSetFFFF-H" w:hint="eastAsia"/>
          <w:bCs/>
          <w:kern w:val="0"/>
          <w:sz w:val="24"/>
        </w:rPr>
        <w:t>见基金</w:t>
      </w:r>
      <w:proofErr w:type="gramEnd"/>
      <w:r>
        <w:rPr>
          <w:rFonts w:ascii="宋体" w:hAnsi="宋体" w:cs="宋体-WinCharSetFFFF-H" w:hint="eastAsia"/>
          <w:bCs/>
          <w:kern w:val="0"/>
          <w:sz w:val="24"/>
        </w:rPr>
        <w:t>份额发售公告以及基金管理人网站。</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本基金的具体发售方式和发售机构见《基金份额发售公告》。</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五、募集期限</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本基金的募集期限为自基金份额发售之日起不超过3个月。</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本基金的发售期为自</w:t>
      </w:r>
      <w:r>
        <w:rPr>
          <w:rFonts w:ascii="宋体" w:hAnsi="宋体" w:cs="宋体-WinCharSetFFFF-H"/>
          <w:kern w:val="0"/>
          <w:sz w:val="24"/>
        </w:rPr>
        <w:t>202X</w:t>
      </w:r>
      <w:r>
        <w:rPr>
          <w:rFonts w:ascii="宋体" w:hAnsi="宋体" w:cs="宋体-WinCharSetFFFF-H" w:hint="eastAsia"/>
          <w:kern w:val="0"/>
          <w:sz w:val="24"/>
        </w:rPr>
        <w:t>年</w:t>
      </w:r>
      <w:r>
        <w:rPr>
          <w:rFonts w:ascii="宋体" w:hAnsi="宋体" w:cs="宋体-WinCharSetFFFF-H"/>
          <w:kern w:val="0"/>
          <w:sz w:val="24"/>
        </w:rPr>
        <w:t>XX</w:t>
      </w:r>
      <w:r>
        <w:rPr>
          <w:rFonts w:ascii="宋体" w:hAnsi="宋体" w:cs="宋体-WinCharSetFFFF-H" w:hint="eastAsia"/>
          <w:kern w:val="0"/>
          <w:sz w:val="24"/>
        </w:rPr>
        <w:t>月</w:t>
      </w:r>
      <w:r>
        <w:rPr>
          <w:rFonts w:ascii="宋体" w:hAnsi="宋体" w:cs="宋体-WinCharSetFFFF-H"/>
          <w:kern w:val="0"/>
          <w:sz w:val="24"/>
        </w:rPr>
        <w:t>XX</w:t>
      </w:r>
      <w:r>
        <w:rPr>
          <w:rFonts w:ascii="宋体" w:hAnsi="宋体" w:cs="宋体-WinCharSetFFFF-H" w:hint="eastAsia"/>
          <w:kern w:val="0"/>
          <w:sz w:val="24"/>
        </w:rPr>
        <w:t>日至</w:t>
      </w:r>
      <w:r>
        <w:rPr>
          <w:rFonts w:ascii="宋体" w:hAnsi="宋体" w:cs="宋体-WinCharSetFFFF-H"/>
          <w:kern w:val="0"/>
          <w:sz w:val="24"/>
        </w:rPr>
        <w:t>202X</w:t>
      </w:r>
      <w:r>
        <w:rPr>
          <w:rFonts w:ascii="宋体" w:hAnsi="宋体" w:cs="宋体-WinCharSetFFFF-H" w:hint="eastAsia"/>
          <w:kern w:val="0"/>
          <w:sz w:val="24"/>
        </w:rPr>
        <w:t>年</w:t>
      </w:r>
      <w:r>
        <w:rPr>
          <w:rFonts w:ascii="宋体" w:hAnsi="宋体" w:cs="宋体-WinCharSetFFFF-H"/>
          <w:kern w:val="0"/>
          <w:sz w:val="24"/>
        </w:rPr>
        <w:t>XX</w:t>
      </w:r>
      <w:r>
        <w:rPr>
          <w:rFonts w:ascii="宋体" w:hAnsi="宋体" w:cs="宋体-WinCharSetFFFF-H" w:hint="eastAsia"/>
          <w:kern w:val="0"/>
          <w:sz w:val="24"/>
        </w:rPr>
        <w:t>月</w:t>
      </w:r>
      <w:r>
        <w:rPr>
          <w:rFonts w:ascii="宋体" w:hAnsi="宋体" w:cs="宋体-WinCharSetFFFF-H"/>
          <w:kern w:val="0"/>
          <w:sz w:val="24"/>
        </w:rPr>
        <w:t>XX</w:t>
      </w:r>
      <w:r>
        <w:rPr>
          <w:rFonts w:ascii="宋体" w:hAnsi="宋体" w:cs="宋体-WinCharSetFFFF-H" w:hint="eastAsia"/>
          <w:kern w:val="0"/>
          <w:sz w:val="24"/>
        </w:rPr>
        <w:t>日止。</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基金管理人可根据基金销售情况在募集期限内适当延长、缩短或调整基金的发售时间，并及时公告。</w:t>
      </w:r>
    </w:p>
    <w:p w:rsidR="00562FFD" w:rsidRDefault="003317D3">
      <w:pPr>
        <w:spacing w:line="360" w:lineRule="auto"/>
        <w:ind w:firstLine="420"/>
        <w:rPr>
          <w:rFonts w:ascii="宋体" w:hAnsi="宋体"/>
          <w:color w:val="000000"/>
          <w:sz w:val="24"/>
        </w:rPr>
      </w:pPr>
      <w:r>
        <w:rPr>
          <w:rFonts w:ascii="宋体" w:hAnsi="宋体" w:hint="eastAsia"/>
          <w:color w:val="000000"/>
          <w:sz w:val="24"/>
        </w:rPr>
        <w:t>六、募集规模限制</w:t>
      </w:r>
    </w:p>
    <w:p w:rsidR="00562FFD" w:rsidRDefault="003317D3">
      <w:pPr>
        <w:spacing w:line="360" w:lineRule="auto"/>
        <w:ind w:firstLine="420"/>
        <w:rPr>
          <w:rFonts w:ascii="宋体" w:hAnsi="宋体"/>
          <w:bCs/>
          <w:color w:val="000000"/>
          <w:sz w:val="24"/>
        </w:rPr>
      </w:pPr>
      <w:r>
        <w:rPr>
          <w:rFonts w:ascii="宋体" w:hAnsi="宋体" w:hint="eastAsia"/>
          <w:color w:val="000000"/>
          <w:sz w:val="24"/>
        </w:rPr>
        <w:t>本基金的最低募集份额总额为2亿份。</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七、募集对象</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符合法律法规规定的可投资于证券投资基金的个人投资者、机构投资者、合格境外机构投资者</w:t>
      </w:r>
      <w:r>
        <w:rPr>
          <w:rFonts w:ascii="宋体" w:hAnsi="宋体" w:cs="宋体-WinCharSetFFFF-H" w:hint="eastAsia"/>
          <w:bCs/>
          <w:kern w:val="0"/>
          <w:sz w:val="24"/>
        </w:rPr>
        <w:t>、人民币合格境外机构投资者</w:t>
      </w:r>
      <w:r>
        <w:rPr>
          <w:rFonts w:ascii="宋体" w:hAnsi="宋体" w:cs="宋体-WinCharSetFFFF-H" w:hint="eastAsia"/>
          <w:kern w:val="0"/>
          <w:sz w:val="24"/>
        </w:rPr>
        <w:t>以及法律法规或中国证监会允许购买证券投资基金的其他投资人。</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基金销售机构对认购申请的受理并不代表该申请一定成功，而仅代表销售机</w:t>
      </w:r>
      <w:r>
        <w:rPr>
          <w:rFonts w:ascii="宋体" w:hAnsi="宋体" w:cs="宋体-WinCharSetFFFF-H" w:hint="eastAsia"/>
          <w:kern w:val="0"/>
          <w:sz w:val="24"/>
        </w:rPr>
        <w:lastRenderedPageBreak/>
        <w:t>构确实接收到认购申请。认购申请的确认以登记机构或基金管理人的确认结果为准。对于认购申请及认购份额的确认情况，投资人应及时查询并妥善行使合法权利。</w:t>
      </w:r>
    </w:p>
    <w:p w:rsidR="00562FFD" w:rsidRDefault="003317D3">
      <w:pPr>
        <w:pStyle w:val="Default"/>
        <w:ind w:firstLine="480"/>
        <w:rPr>
          <w:rFonts w:hAnsi="宋体" w:cs="宋体-WinCharSetFFFF-H"/>
        </w:rPr>
      </w:pPr>
      <w:r>
        <w:rPr>
          <w:rFonts w:hAnsi="宋体" w:cs="宋体-WinCharSetFFFF-H" w:hint="eastAsia"/>
        </w:rPr>
        <w:t>八、基金份额发售面值、认购费用及认购份额的计算</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kern w:val="0"/>
          <w:sz w:val="24"/>
        </w:rPr>
        <w:t>1、本</w:t>
      </w:r>
      <w:proofErr w:type="gramStart"/>
      <w:r>
        <w:rPr>
          <w:rFonts w:ascii="宋体" w:hAnsi="宋体" w:cs="宋体-WinCharSetFFFF-H" w:hint="eastAsia"/>
          <w:kern w:val="0"/>
          <w:sz w:val="24"/>
        </w:rPr>
        <w:t>基金基金</w:t>
      </w:r>
      <w:proofErr w:type="gramEnd"/>
      <w:r>
        <w:rPr>
          <w:rFonts w:ascii="宋体" w:hAnsi="宋体" w:cs="宋体-WinCharSetFFFF-H" w:hint="eastAsia"/>
          <w:kern w:val="0"/>
          <w:sz w:val="24"/>
        </w:rPr>
        <w:t>份额发售面值为人民币</w:t>
      </w:r>
      <w:r>
        <w:rPr>
          <w:rFonts w:ascii="宋体" w:hAnsi="宋体" w:cs="宋体-WinCharSetFFFF-H"/>
          <w:kern w:val="0"/>
          <w:sz w:val="24"/>
        </w:rPr>
        <w:t>1.00</w:t>
      </w:r>
      <w:r>
        <w:rPr>
          <w:rFonts w:ascii="宋体" w:hAnsi="宋体" w:cs="宋体-WinCharSetFFFF-H" w:hint="eastAsia"/>
          <w:kern w:val="0"/>
          <w:sz w:val="24"/>
        </w:rPr>
        <w:t>元。</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kern w:val="0"/>
          <w:sz w:val="24"/>
        </w:rPr>
        <w:t>2、认购费用</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kern w:val="0"/>
          <w:sz w:val="24"/>
        </w:rPr>
        <w:t>本基金A类基金份额在认购时收取基金认购费用；C类基金份额不收取认购费用。</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对于A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562FFD" w:rsidRDefault="003317D3">
      <w:pPr>
        <w:autoSpaceDE w:val="0"/>
        <w:autoSpaceDN w:val="0"/>
        <w:adjustRightInd w:val="0"/>
        <w:spacing w:line="360" w:lineRule="auto"/>
        <w:ind w:firstLineChars="200" w:firstLine="480"/>
        <w:rPr>
          <w:rFonts w:ascii="宋体" w:hAnsi="宋体" w:cs="宋体-WinCharSetFFFF-H"/>
          <w:color w:val="000000"/>
          <w:kern w:val="0"/>
          <w:sz w:val="24"/>
        </w:rPr>
      </w:pPr>
      <w:r>
        <w:rPr>
          <w:rFonts w:ascii="宋体" w:hAnsi="宋体" w:cs="宋体-WinCharSetFFFF-H" w:hint="eastAsia"/>
          <w:kern w:val="0"/>
          <w:sz w:val="24"/>
        </w:rPr>
        <w:t>上述投资群体通过基金管理人的直销中心认购本基金</w:t>
      </w:r>
      <w:r>
        <w:rPr>
          <w:rFonts w:ascii="宋体" w:hAnsi="宋体" w:hint="eastAsia"/>
          <w:bCs/>
          <w:sz w:val="24"/>
        </w:rPr>
        <w:t>A类</w:t>
      </w:r>
      <w:r>
        <w:rPr>
          <w:rFonts w:ascii="宋体" w:hAnsi="宋体" w:cs="宋体-WinCharSetFFFF-H" w:hint="eastAsia"/>
          <w:kern w:val="0"/>
          <w:sz w:val="24"/>
        </w:rPr>
        <w:t>基金份额的认购费率见下表：</w:t>
      </w:r>
    </w:p>
    <w:tbl>
      <w:tblPr>
        <w:tblStyle w:val="14"/>
        <w:tblW w:w="0" w:type="auto"/>
        <w:jc w:val="center"/>
        <w:tblLook w:val="04A0" w:firstRow="1" w:lastRow="0" w:firstColumn="1" w:lastColumn="0" w:noHBand="0" w:noVBand="1"/>
      </w:tblPr>
      <w:tblGrid>
        <w:gridCol w:w="2853"/>
        <w:gridCol w:w="2788"/>
      </w:tblGrid>
      <w:tr w:rsidR="00562FFD">
        <w:trPr>
          <w:jc w:val="center"/>
        </w:trPr>
        <w:tc>
          <w:tcPr>
            <w:tcW w:w="2853" w:type="dxa"/>
            <w:vAlign w:val="center"/>
          </w:tcPr>
          <w:p w:rsidR="00562FFD" w:rsidRDefault="003317D3">
            <w:pPr>
              <w:autoSpaceDE w:val="0"/>
              <w:autoSpaceDN w:val="0"/>
              <w:adjustRightInd w:val="0"/>
              <w:jc w:val="center"/>
              <w:rPr>
                <w:rFonts w:cs="宋体"/>
                <w:b/>
                <w:sz w:val="24"/>
              </w:rPr>
            </w:pPr>
            <w:r>
              <w:rPr>
                <w:rFonts w:cs="宋体" w:hint="eastAsia"/>
                <w:b/>
                <w:sz w:val="24"/>
              </w:rPr>
              <w:t>认购金额（</w:t>
            </w:r>
            <w:r>
              <w:rPr>
                <w:b/>
                <w:sz w:val="24"/>
              </w:rPr>
              <w:t>M</w:t>
            </w:r>
            <w:r>
              <w:rPr>
                <w:rFonts w:cs="宋体" w:hint="eastAsia"/>
                <w:b/>
                <w:sz w:val="24"/>
              </w:rPr>
              <w:t>）</w:t>
            </w:r>
          </w:p>
        </w:tc>
        <w:tc>
          <w:tcPr>
            <w:tcW w:w="2788" w:type="dxa"/>
            <w:vAlign w:val="center"/>
          </w:tcPr>
          <w:p w:rsidR="00562FFD" w:rsidRDefault="003317D3">
            <w:pPr>
              <w:autoSpaceDE w:val="0"/>
              <w:autoSpaceDN w:val="0"/>
              <w:adjustRightInd w:val="0"/>
              <w:jc w:val="center"/>
              <w:rPr>
                <w:rFonts w:cs="宋体"/>
                <w:b/>
                <w:sz w:val="24"/>
              </w:rPr>
            </w:pPr>
            <w:r>
              <w:rPr>
                <w:rFonts w:cs="宋体" w:hint="eastAsia"/>
                <w:b/>
                <w:sz w:val="24"/>
              </w:rPr>
              <w:t>A类基金份额认购费率</w:t>
            </w:r>
          </w:p>
        </w:tc>
      </w:tr>
      <w:tr w:rsidR="00562FFD">
        <w:trPr>
          <w:jc w:val="center"/>
        </w:trPr>
        <w:tc>
          <w:tcPr>
            <w:tcW w:w="2853" w:type="dxa"/>
          </w:tcPr>
          <w:p w:rsidR="00562FFD" w:rsidRDefault="003317D3">
            <w:pPr>
              <w:autoSpaceDE w:val="0"/>
              <w:autoSpaceDN w:val="0"/>
              <w:adjustRightInd w:val="0"/>
              <w:jc w:val="center"/>
              <w:rPr>
                <w:rFonts w:cs="宋体"/>
                <w:sz w:val="24"/>
              </w:rPr>
            </w:pPr>
            <w:r>
              <w:rPr>
                <w:rFonts w:hint="eastAsia"/>
                <w:sz w:val="24"/>
              </w:rPr>
              <w:t>M&lt;100万</w:t>
            </w:r>
          </w:p>
        </w:tc>
        <w:tc>
          <w:tcPr>
            <w:tcW w:w="2788" w:type="dxa"/>
          </w:tcPr>
          <w:p w:rsidR="00562FFD" w:rsidRDefault="003317D3">
            <w:pPr>
              <w:autoSpaceDE w:val="0"/>
              <w:autoSpaceDN w:val="0"/>
              <w:adjustRightInd w:val="0"/>
              <w:jc w:val="center"/>
              <w:rPr>
                <w:sz w:val="24"/>
              </w:rPr>
            </w:pPr>
            <w:r>
              <w:rPr>
                <w:rFonts w:hint="eastAsia"/>
                <w:sz w:val="24"/>
              </w:rPr>
              <w:t>0.08%</w:t>
            </w:r>
          </w:p>
        </w:tc>
      </w:tr>
      <w:tr w:rsidR="00562FFD">
        <w:trPr>
          <w:jc w:val="center"/>
        </w:trPr>
        <w:tc>
          <w:tcPr>
            <w:tcW w:w="2853" w:type="dxa"/>
          </w:tcPr>
          <w:p w:rsidR="00562FFD" w:rsidRDefault="003317D3">
            <w:pPr>
              <w:autoSpaceDE w:val="0"/>
              <w:autoSpaceDN w:val="0"/>
              <w:adjustRightInd w:val="0"/>
              <w:jc w:val="center"/>
              <w:rPr>
                <w:rFonts w:cs="宋体"/>
                <w:sz w:val="24"/>
              </w:rPr>
            </w:pPr>
            <w:r>
              <w:rPr>
                <w:rFonts w:hint="eastAsia"/>
                <w:sz w:val="24"/>
              </w:rPr>
              <w:t>100万≤M&lt;500万</w:t>
            </w:r>
          </w:p>
        </w:tc>
        <w:tc>
          <w:tcPr>
            <w:tcW w:w="2788" w:type="dxa"/>
          </w:tcPr>
          <w:p w:rsidR="00562FFD" w:rsidRDefault="003317D3">
            <w:pPr>
              <w:autoSpaceDE w:val="0"/>
              <w:autoSpaceDN w:val="0"/>
              <w:adjustRightInd w:val="0"/>
              <w:jc w:val="center"/>
              <w:rPr>
                <w:sz w:val="24"/>
              </w:rPr>
            </w:pPr>
            <w:r>
              <w:rPr>
                <w:rFonts w:hint="eastAsia"/>
                <w:sz w:val="24"/>
              </w:rPr>
              <w:t>0.04%</w:t>
            </w:r>
          </w:p>
        </w:tc>
      </w:tr>
      <w:tr w:rsidR="00562FFD">
        <w:trPr>
          <w:jc w:val="center"/>
        </w:trPr>
        <w:tc>
          <w:tcPr>
            <w:tcW w:w="2853" w:type="dxa"/>
          </w:tcPr>
          <w:p w:rsidR="00562FFD" w:rsidRDefault="003317D3">
            <w:pPr>
              <w:autoSpaceDE w:val="0"/>
              <w:autoSpaceDN w:val="0"/>
              <w:adjustRightInd w:val="0"/>
              <w:jc w:val="center"/>
              <w:rPr>
                <w:rFonts w:cs="宋体"/>
                <w:sz w:val="24"/>
              </w:rPr>
            </w:pPr>
            <w:r>
              <w:rPr>
                <w:rFonts w:hint="eastAsia"/>
                <w:sz w:val="24"/>
              </w:rPr>
              <w:t>M≥500万</w:t>
            </w:r>
          </w:p>
        </w:tc>
        <w:tc>
          <w:tcPr>
            <w:tcW w:w="2788" w:type="dxa"/>
          </w:tcPr>
          <w:p w:rsidR="00562FFD" w:rsidRDefault="003317D3">
            <w:pPr>
              <w:autoSpaceDE w:val="0"/>
              <w:autoSpaceDN w:val="0"/>
              <w:adjustRightInd w:val="0"/>
              <w:jc w:val="center"/>
              <w:rPr>
                <w:rFonts w:cs="宋体"/>
                <w:sz w:val="24"/>
              </w:rPr>
            </w:pPr>
            <w:r>
              <w:rPr>
                <w:rFonts w:hint="eastAsia"/>
                <w:sz w:val="24"/>
              </w:rPr>
              <w:t>1</w:t>
            </w:r>
            <w:r>
              <w:rPr>
                <w:sz w:val="24"/>
              </w:rPr>
              <w:t>,</w:t>
            </w:r>
            <w:r>
              <w:rPr>
                <w:rFonts w:hint="eastAsia"/>
                <w:sz w:val="24"/>
              </w:rPr>
              <w:t>00</w:t>
            </w:r>
            <w:r>
              <w:rPr>
                <w:sz w:val="24"/>
              </w:rPr>
              <w:t>0</w:t>
            </w:r>
            <w:r>
              <w:rPr>
                <w:rFonts w:hint="eastAsia"/>
                <w:sz w:val="24"/>
              </w:rPr>
              <w:t>元/笔</w:t>
            </w:r>
          </w:p>
        </w:tc>
      </w:tr>
    </w:tbl>
    <w:p w:rsidR="00562FFD" w:rsidRDefault="003317D3">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其他投资者认购本基金</w:t>
      </w:r>
      <w:r>
        <w:rPr>
          <w:rFonts w:ascii="宋体" w:hAnsi="宋体" w:hint="eastAsia"/>
          <w:bCs/>
          <w:sz w:val="24"/>
        </w:rPr>
        <w:t>A类</w:t>
      </w:r>
      <w:r>
        <w:rPr>
          <w:rFonts w:ascii="宋体" w:hAnsi="宋体" w:hint="eastAsia"/>
          <w:color w:val="000000"/>
          <w:sz w:val="24"/>
        </w:rPr>
        <w:t>基金份额的认购费率见下表：</w:t>
      </w:r>
    </w:p>
    <w:tbl>
      <w:tblPr>
        <w:tblStyle w:val="14"/>
        <w:tblW w:w="0" w:type="auto"/>
        <w:jc w:val="center"/>
        <w:tblLook w:val="04A0" w:firstRow="1" w:lastRow="0" w:firstColumn="1" w:lastColumn="0" w:noHBand="0" w:noVBand="1"/>
      </w:tblPr>
      <w:tblGrid>
        <w:gridCol w:w="2853"/>
        <w:gridCol w:w="2788"/>
      </w:tblGrid>
      <w:tr w:rsidR="00562FFD">
        <w:trPr>
          <w:jc w:val="center"/>
        </w:trPr>
        <w:tc>
          <w:tcPr>
            <w:tcW w:w="2853" w:type="dxa"/>
            <w:vAlign w:val="center"/>
          </w:tcPr>
          <w:p w:rsidR="00562FFD" w:rsidRDefault="003317D3">
            <w:pPr>
              <w:autoSpaceDE w:val="0"/>
              <w:autoSpaceDN w:val="0"/>
              <w:adjustRightInd w:val="0"/>
              <w:jc w:val="center"/>
              <w:rPr>
                <w:rFonts w:cs="宋体"/>
                <w:b/>
                <w:sz w:val="24"/>
              </w:rPr>
            </w:pPr>
            <w:r>
              <w:rPr>
                <w:rFonts w:cs="宋体" w:hint="eastAsia"/>
                <w:b/>
                <w:sz w:val="24"/>
              </w:rPr>
              <w:t>认购金额（</w:t>
            </w:r>
            <w:r>
              <w:rPr>
                <w:b/>
                <w:sz w:val="24"/>
              </w:rPr>
              <w:t>M</w:t>
            </w:r>
            <w:r>
              <w:rPr>
                <w:rFonts w:cs="宋体" w:hint="eastAsia"/>
                <w:b/>
                <w:sz w:val="24"/>
              </w:rPr>
              <w:t>）</w:t>
            </w:r>
          </w:p>
        </w:tc>
        <w:tc>
          <w:tcPr>
            <w:tcW w:w="2788" w:type="dxa"/>
            <w:vAlign w:val="center"/>
          </w:tcPr>
          <w:p w:rsidR="00562FFD" w:rsidRDefault="003317D3">
            <w:pPr>
              <w:autoSpaceDE w:val="0"/>
              <w:autoSpaceDN w:val="0"/>
              <w:adjustRightInd w:val="0"/>
              <w:jc w:val="center"/>
              <w:rPr>
                <w:rFonts w:cs="宋体"/>
                <w:b/>
                <w:sz w:val="24"/>
              </w:rPr>
            </w:pPr>
            <w:r>
              <w:rPr>
                <w:rFonts w:cs="宋体" w:hint="eastAsia"/>
                <w:b/>
                <w:sz w:val="24"/>
              </w:rPr>
              <w:t>A类基金份额认购费率</w:t>
            </w:r>
          </w:p>
        </w:tc>
      </w:tr>
      <w:tr w:rsidR="00562FFD">
        <w:trPr>
          <w:jc w:val="center"/>
        </w:trPr>
        <w:tc>
          <w:tcPr>
            <w:tcW w:w="2853" w:type="dxa"/>
          </w:tcPr>
          <w:p w:rsidR="00562FFD" w:rsidRDefault="003317D3">
            <w:pPr>
              <w:autoSpaceDE w:val="0"/>
              <w:autoSpaceDN w:val="0"/>
              <w:adjustRightInd w:val="0"/>
              <w:jc w:val="center"/>
              <w:rPr>
                <w:rFonts w:cs="宋体"/>
                <w:sz w:val="24"/>
              </w:rPr>
            </w:pPr>
            <w:r>
              <w:rPr>
                <w:rFonts w:hint="eastAsia"/>
                <w:sz w:val="24"/>
              </w:rPr>
              <w:t>M&lt;100万</w:t>
            </w:r>
          </w:p>
        </w:tc>
        <w:tc>
          <w:tcPr>
            <w:tcW w:w="2788" w:type="dxa"/>
          </w:tcPr>
          <w:p w:rsidR="00562FFD" w:rsidRDefault="003317D3">
            <w:pPr>
              <w:autoSpaceDE w:val="0"/>
              <w:autoSpaceDN w:val="0"/>
              <w:adjustRightInd w:val="0"/>
              <w:jc w:val="center"/>
              <w:rPr>
                <w:sz w:val="24"/>
              </w:rPr>
            </w:pPr>
            <w:r>
              <w:rPr>
                <w:rFonts w:hint="eastAsia"/>
                <w:sz w:val="24"/>
              </w:rPr>
              <w:t>0.80%</w:t>
            </w:r>
          </w:p>
        </w:tc>
      </w:tr>
      <w:tr w:rsidR="00562FFD">
        <w:trPr>
          <w:jc w:val="center"/>
        </w:trPr>
        <w:tc>
          <w:tcPr>
            <w:tcW w:w="2853" w:type="dxa"/>
          </w:tcPr>
          <w:p w:rsidR="00562FFD" w:rsidRDefault="003317D3">
            <w:pPr>
              <w:autoSpaceDE w:val="0"/>
              <w:autoSpaceDN w:val="0"/>
              <w:adjustRightInd w:val="0"/>
              <w:jc w:val="center"/>
              <w:rPr>
                <w:rFonts w:cs="宋体"/>
                <w:sz w:val="24"/>
              </w:rPr>
            </w:pPr>
            <w:r>
              <w:rPr>
                <w:rFonts w:hint="eastAsia"/>
                <w:sz w:val="24"/>
              </w:rPr>
              <w:t>100万≤M&lt;500万</w:t>
            </w:r>
          </w:p>
        </w:tc>
        <w:tc>
          <w:tcPr>
            <w:tcW w:w="2788" w:type="dxa"/>
          </w:tcPr>
          <w:p w:rsidR="00562FFD" w:rsidRDefault="003317D3">
            <w:pPr>
              <w:autoSpaceDE w:val="0"/>
              <w:autoSpaceDN w:val="0"/>
              <w:adjustRightInd w:val="0"/>
              <w:jc w:val="center"/>
              <w:rPr>
                <w:sz w:val="24"/>
              </w:rPr>
            </w:pPr>
            <w:r>
              <w:rPr>
                <w:rFonts w:hint="eastAsia"/>
                <w:sz w:val="24"/>
              </w:rPr>
              <w:t>0.40%</w:t>
            </w:r>
          </w:p>
        </w:tc>
      </w:tr>
      <w:tr w:rsidR="00562FFD">
        <w:trPr>
          <w:jc w:val="center"/>
        </w:trPr>
        <w:tc>
          <w:tcPr>
            <w:tcW w:w="2853" w:type="dxa"/>
          </w:tcPr>
          <w:p w:rsidR="00562FFD" w:rsidRDefault="003317D3">
            <w:pPr>
              <w:autoSpaceDE w:val="0"/>
              <w:autoSpaceDN w:val="0"/>
              <w:adjustRightInd w:val="0"/>
              <w:jc w:val="center"/>
              <w:rPr>
                <w:rFonts w:cs="宋体"/>
                <w:sz w:val="24"/>
              </w:rPr>
            </w:pPr>
            <w:r>
              <w:rPr>
                <w:rFonts w:hint="eastAsia"/>
                <w:sz w:val="24"/>
              </w:rPr>
              <w:t>M≥500万</w:t>
            </w:r>
          </w:p>
        </w:tc>
        <w:tc>
          <w:tcPr>
            <w:tcW w:w="2788" w:type="dxa"/>
          </w:tcPr>
          <w:p w:rsidR="00562FFD" w:rsidRDefault="003317D3">
            <w:pPr>
              <w:autoSpaceDE w:val="0"/>
              <w:autoSpaceDN w:val="0"/>
              <w:adjustRightInd w:val="0"/>
              <w:jc w:val="center"/>
              <w:rPr>
                <w:rFonts w:cs="宋体"/>
                <w:sz w:val="24"/>
              </w:rPr>
            </w:pPr>
            <w:r>
              <w:rPr>
                <w:rFonts w:hint="eastAsia"/>
                <w:sz w:val="24"/>
              </w:rPr>
              <w:t>1</w:t>
            </w:r>
            <w:r>
              <w:rPr>
                <w:sz w:val="24"/>
              </w:rPr>
              <w:t>,0</w:t>
            </w:r>
            <w:r>
              <w:rPr>
                <w:rFonts w:hint="eastAsia"/>
                <w:sz w:val="24"/>
              </w:rPr>
              <w:t>00元/笔</w:t>
            </w:r>
          </w:p>
        </w:tc>
      </w:tr>
    </w:tbl>
    <w:p w:rsidR="00562FFD" w:rsidRDefault="003317D3">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本基金认购费用不列入基金财产，主要用于基金的市场推广、销售、登记等募集期间发生的各项费用。</w:t>
      </w:r>
    </w:p>
    <w:p w:rsidR="00562FFD" w:rsidRDefault="003317D3">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募集期投资人可以多次认购本基金，A类基金份额认购费率按每笔认购申请单独计算。</w:t>
      </w:r>
    </w:p>
    <w:p w:rsidR="00562FFD" w:rsidRDefault="003317D3">
      <w:pPr>
        <w:spacing w:line="360" w:lineRule="auto"/>
        <w:ind w:firstLineChars="200" w:firstLine="480"/>
        <w:rPr>
          <w:rFonts w:ascii="宋体" w:hAnsi="宋体"/>
          <w:color w:val="000000"/>
          <w:sz w:val="24"/>
        </w:rPr>
      </w:pPr>
      <w:r>
        <w:rPr>
          <w:rFonts w:ascii="宋体" w:hAnsi="宋体"/>
          <w:color w:val="000000"/>
          <w:sz w:val="24"/>
        </w:rPr>
        <w:t>3、认购份额的计算</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基金认购采用“金额认购、份额确认”的方式。基金的认购金额包括认购费</w:t>
      </w:r>
      <w:r>
        <w:rPr>
          <w:rFonts w:ascii="宋体" w:hAnsi="宋体" w:hint="eastAsia"/>
          <w:color w:val="000000"/>
          <w:sz w:val="24"/>
        </w:rPr>
        <w:lastRenderedPageBreak/>
        <w:t>用和净认购金额。</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（1）认购A类基金份额的计算公式为：</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1）认购费用适用比例费率时：</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净认购金额＝认购金额／（1＋认购费率）</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认购费用＝认购金额－净认购金额</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认购份额＝（净认购金额+认购利息）/基金份额发售面值</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2）认购费用适用固定金额时：</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净认购金额＝认购金额－固定认购费用</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认购费用＝固定认购费用</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认购份额＝（净认购金额+认购利息）/基金份额发售面值</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例1：某投资者（非养老金客户）投资10万元认购本基金A类基金份额，该笔认购产生利息50元，对应认购费率为0.80%，则其可得到的认购份额为：</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净认购金额＝</w:t>
      </w:r>
      <w:r>
        <w:rPr>
          <w:rFonts w:ascii="宋体" w:hAnsi="宋体"/>
          <w:color w:val="000000"/>
          <w:sz w:val="24"/>
        </w:rPr>
        <w:t>100,000/(1+0.80%)</w:t>
      </w:r>
      <w:r>
        <w:rPr>
          <w:rFonts w:ascii="宋体" w:hAnsi="宋体" w:hint="eastAsia"/>
          <w:color w:val="000000"/>
          <w:sz w:val="24"/>
        </w:rPr>
        <w:t>＝</w:t>
      </w:r>
      <w:r>
        <w:rPr>
          <w:rFonts w:ascii="宋体" w:hAnsi="宋体"/>
          <w:color w:val="000000"/>
          <w:sz w:val="24"/>
        </w:rPr>
        <w:t>99,206.35</w:t>
      </w:r>
      <w:r>
        <w:rPr>
          <w:rFonts w:ascii="MS Gothic" w:hAnsi="MS Gothic" w:cs="MS Gothic"/>
          <w:color w:val="000000"/>
          <w:sz w:val="24"/>
        </w:rPr>
        <w:t>‬</w:t>
      </w:r>
      <w:r>
        <w:rPr>
          <w:rFonts w:ascii="宋体" w:hAnsi="宋体" w:hint="eastAsia"/>
          <w:color w:val="000000"/>
          <w:sz w:val="24"/>
        </w:rPr>
        <w:t>元</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p>
    <w:p w:rsidR="00562FFD" w:rsidRDefault="003317D3">
      <w:pPr>
        <w:spacing w:line="360" w:lineRule="auto"/>
        <w:ind w:firstLineChars="200" w:firstLine="480"/>
        <w:jc w:val="left"/>
        <w:rPr>
          <w:rFonts w:ascii="MS Gothic" w:hAnsi="MS Gothic" w:cs="MS Gothic"/>
          <w:color w:val="000000"/>
          <w:sz w:val="24"/>
        </w:rPr>
      </w:pPr>
      <w:r>
        <w:rPr>
          <w:rFonts w:ascii="宋体" w:hAnsi="宋体" w:hint="eastAsia"/>
          <w:color w:val="000000"/>
          <w:sz w:val="24"/>
        </w:rPr>
        <w:t>认购费用＝</w:t>
      </w:r>
      <w:r>
        <w:rPr>
          <w:rFonts w:ascii="宋体" w:hAnsi="宋体"/>
          <w:color w:val="000000"/>
          <w:sz w:val="24"/>
        </w:rPr>
        <w:t>100,000</w:t>
      </w:r>
      <w:r>
        <w:rPr>
          <w:rFonts w:ascii="宋体" w:hAnsi="宋体" w:hint="eastAsia"/>
          <w:color w:val="000000"/>
          <w:sz w:val="24"/>
        </w:rPr>
        <w:t>－</w:t>
      </w:r>
      <w:r>
        <w:rPr>
          <w:rFonts w:ascii="宋体" w:hAnsi="宋体"/>
          <w:color w:val="000000"/>
          <w:sz w:val="24"/>
        </w:rPr>
        <w:t>99,206.35</w:t>
      </w:r>
      <w:r>
        <w:rPr>
          <w:rFonts w:ascii="宋体" w:hAnsi="宋体" w:hint="eastAsia"/>
          <w:color w:val="000000"/>
          <w:sz w:val="24"/>
        </w:rPr>
        <w:t>＝</w:t>
      </w:r>
      <w:r>
        <w:rPr>
          <w:rFonts w:ascii="宋体" w:hAnsi="宋体"/>
          <w:color w:val="000000"/>
          <w:sz w:val="24"/>
        </w:rPr>
        <w:t>793.65</w:t>
      </w:r>
      <w:r>
        <w:rPr>
          <w:rFonts w:ascii="宋体" w:hAnsi="宋体" w:hint="eastAsia"/>
          <w:color w:val="000000"/>
          <w:sz w:val="24"/>
        </w:rPr>
        <w:t>元</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p>
    <w:p w:rsidR="00562FFD" w:rsidRDefault="003317D3">
      <w:pPr>
        <w:spacing w:line="360" w:lineRule="auto"/>
        <w:ind w:firstLineChars="200" w:firstLine="480"/>
        <w:jc w:val="left"/>
        <w:rPr>
          <w:rFonts w:ascii="宋体" w:hAnsi="宋体"/>
          <w:color w:val="000000"/>
          <w:sz w:val="24"/>
        </w:rPr>
      </w:pPr>
      <w:r>
        <w:rPr>
          <w:rFonts w:ascii="宋体" w:hAnsi="宋体" w:hint="eastAsia"/>
          <w:color w:val="000000"/>
          <w:sz w:val="24"/>
        </w:rPr>
        <w:t>认购份额＝（</w:t>
      </w:r>
      <w:r>
        <w:rPr>
          <w:rFonts w:ascii="宋体" w:hAnsi="宋体"/>
          <w:color w:val="000000"/>
          <w:sz w:val="24"/>
        </w:rPr>
        <w:t>99,206.35+50</w:t>
      </w:r>
      <w:r>
        <w:rPr>
          <w:rFonts w:ascii="宋体" w:hAnsi="宋体" w:hint="eastAsia"/>
          <w:color w:val="000000"/>
          <w:sz w:val="24"/>
        </w:rPr>
        <w:t>）</w:t>
      </w:r>
      <w:r>
        <w:rPr>
          <w:rFonts w:ascii="宋体" w:hAnsi="宋体"/>
          <w:color w:val="000000"/>
          <w:sz w:val="24"/>
        </w:rPr>
        <w:t>/1.00=99,256.35</w:t>
      </w:r>
      <w:r>
        <w:rPr>
          <w:rFonts w:ascii="宋体" w:hAnsi="宋体" w:hint="eastAsia"/>
          <w:color w:val="000000"/>
          <w:sz w:val="24"/>
        </w:rPr>
        <w:t>份</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rPr>
          <w:rFonts w:ascii="MS Gothic" w:hAnsi="MS Gothic" w:cs="MS Gothic"/>
          <w:color w:val="000000"/>
          <w:sz w:val="24"/>
        </w:rPr>
        <w:t>‬</w:t>
      </w:r>
      <w:r>
        <w:t>‬</w:t>
      </w:r>
      <w:r>
        <w:t>‬</w:t>
      </w:r>
      <w:r>
        <w:t>‬</w:t>
      </w:r>
      <w:r>
        <w:t>‬</w:t>
      </w:r>
      <w:r>
        <w:t>‬</w:t>
      </w:r>
      <w:r>
        <w:t>‬</w:t>
      </w:r>
      <w:r>
        <w:t>‬</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（2）认购C类基金份额的计算公式为：</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认购份额＝（认购金额＋认购利息）/基金份额发售面值</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例2：某投资者（非养老金客户）投资10万元认购本基金C类基金份额，该笔认购产生利息50元，则其可得到的认购份额为：</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认购份额＝（100,000.00+50）/1.00=100,050.00份</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认购金额、份额计算结果保留到小数点后两位，小数点后两位以后的部分四舍五入，由此误差产生的收益或损失由基金财产承担。</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例3：某投资者（养老金客户）通过本管理人的直销中心投资本基金A类基金份额100,000元，假设该笔认购最后按照100%比例全部予以确认，认购费率为0.08%，假定该笔有效认购申请金额募集期产生的利息为</w:t>
      </w:r>
      <w:r>
        <w:rPr>
          <w:rFonts w:ascii="宋体" w:hAnsi="宋体"/>
          <w:color w:val="000000"/>
          <w:sz w:val="24"/>
        </w:rPr>
        <w:t>5</w:t>
      </w:r>
      <w:r>
        <w:rPr>
          <w:rFonts w:ascii="宋体" w:hAnsi="宋体" w:hint="eastAsia"/>
          <w:color w:val="000000"/>
          <w:sz w:val="24"/>
        </w:rPr>
        <w:t>0元，则可认购基金份额为：</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净认购金额＝100,000/（1＋0.08%）＝99,920.06元</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认购费用＝100,000-99,920.06＝79.94元</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认购份额＝（99,920.06＋</w:t>
      </w:r>
      <w:r>
        <w:rPr>
          <w:rFonts w:ascii="宋体" w:hAnsi="宋体"/>
          <w:color w:val="000000"/>
          <w:sz w:val="24"/>
        </w:rPr>
        <w:t>5</w:t>
      </w:r>
      <w:r>
        <w:rPr>
          <w:rFonts w:ascii="宋体" w:hAnsi="宋体" w:hint="eastAsia"/>
          <w:color w:val="000000"/>
          <w:sz w:val="24"/>
        </w:rPr>
        <w:t>0）/1.00＝99,9</w:t>
      </w:r>
      <w:r>
        <w:rPr>
          <w:rFonts w:ascii="宋体" w:hAnsi="宋体"/>
          <w:color w:val="000000"/>
          <w:sz w:val="24"/>
        </w:rPr>
        <w:t>7</w:t>
      </w:r>
      <w:r>
        <w:rPr>
          <w:rFonts w:ascii="宋体" w:hAnsi="宋体" w:hint="eastAsia"/>
          <w:color w:val="000000"/>
          <w:sz w:val="24"/>
        </w:rPr>
        <w:t>0.06份</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hint="eastAsia"/>
          <w:color w:val="000000"/>
          <w:sz w:val="24"/>
        </w:rPr>
        <w:lastRenderedPageBreak/>
        <w:t>即：该投资者（养老金客户）投资100,000元认购本基金A类基金份额，假设该笔认购最后按照100%比例全部予以确认，假定该笔有效认购申请金额募集期产生的利息为</w:t>
      </w:r>
      <w:r>
        <w:rPr>
          <w:rFonts w:ascii="宋体" w:hAnsi="宋体"/>
          <w:color w:val="000000"/>
          <w:sz w:val="24"/>
        </w:rPr>
        <w:t>5</w:t>
      </w:r>
      <w:r>
        <w:rPr>
          <w:rFonts w:ascii="宋体" w:hAnsi="宋体" w:hint="eastAsia"/>
          <w:color w:val="000000"/>
          <w:sz w:val="24"/>
        </w:rPr>
        <w:t>0元，可得到99,9</w:t>
      </w:r>
      <w:r>
        <w:rPr>
          <w:rFonts w:ascii="宋体" w:hAnsi="宋体"/>
          <w:color w:val="000000"/>
          <w:sz w:val="24"/>
        </w:rPr>
        <w:t>7</w:t>
      </w:r>
      <w:r>
        <w:rPr>
          <w:rFonts w:ascii="宋体" w:hAnsi="宋体" w:hint="eastAsia"/>
          <w:color w:val="000000"/>
          <w:sz w:val="24"/>
        </w:rPr>
        <w:t>0.06份A类基金份额。</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九、投资者对本基金的认购</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kern w:val="0"/>
          <w:sz w:val="24"/>
        </w:rPr>
        <w:t>1、认购时间安排</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投资者认购本基金的具体业务办理时间见《基金份额发售公告》。</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2、投资者认购本基金应提交的文件和办理的手续</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投资者认购本基金应提交的文件和办理的手续见《基金份额发售公告》。</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3、认购的方式及确认</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投资者在募集期内可多次认购基金份额，认购申请一经受理，不得撤销。</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基金销售机构对认购申请的受理并不代表该申请一定成功，而仅代表销售机构确实接收到认购申请。认购申请的确认以登记机构或基金管理人的确认结果为准。对于认购申请及认购份额的确认情况，投资人应及时查询并妥善行使合法权利，否则，由此产生的任何损失由投资者自行承担。</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投资者在</w:t>
      </w:r>
      <w:r>
        <w:rPr>
          <w:rFonts w:ascii="宋体" w:hAnsi="宋体" w:cs="宋体-WinCharSetFFFF-H"/>
          <w:kern w:val="0"/>
          <w:sz w:val="24"/>
        </w:rPr>
        <w:t>T</w:t>
      </w:r>
      <w:r>
        <w:rPr>
          <w:rFonts w:ascii="宋体" w:hAnsi="宋体" w:cs="宋体-WinCharSetFFFF-H" w:hint="eastAsia"/>
          <w:kern w:val="0"/>
          <w:sz w:val="24"/>
        </w:rPr>
        <w:t>日规定时间内提交的认购申请，应于</w:t>
      </w:r>
      <w:r>
        <w:rPr>
          <w:rFonts w:ascii="宋体" w:hAnsi="宋体" w:cs="宋体-WinCharSetFFFF-H"/>
          <w:kern w:val="0"/>
          <w:sz w:val="24"/>
        </w:rPr>
        <w:t>T+2日通过基金管理人直销系统</w:t>
      </w:r>
      <w:r>
        <w:rPr>
          <w:rFonts w:ascii="宋体" w:hAnsi="宋体" w:cs="宋体-WinCharSetFFFF-H" w:hint="eastAsia"/>
          <w:kern w:val="0"/>
          <w:sz w:val="24"/>
        </w:rPr>
        <w:t>或基金管理人的客户服务中心查询认购申请是否被成功受理。</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投资者应于基金合同生效后</w:t>
      </w:r>
      <w:r>
        <w:rPr>
          <w:rFonts w:ascii="宋体" w:hAnsi="宋体" w:cs="宋体-WinCharSetFFFF-H"/>
          <w:kern w:val="0"/>
          <w:sz w:val="24"/>
        </w:rPr>
        <w:t>通过基金管理人直销系统</w:t>
      </w:r>
      <w:r>
        <w:rPr>
          <w:rFonts w:ascii="宋体" w:hAnsi="宋体" w:cs="宋体-WinCharSetFFFF-H" w:hint="eastAsia"/>
          <w:kern w:val="0"/>
          <w:sz w:val="24"/>
        </w:rPr>
        <w:t>或基金管理人的客户服务中心查询认购确认份额。</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4、</w:t>
      </w:r>
      <w:bookmarkStart w:id="30" w:name="_Hlk10021664"/>
      <w:r>
        <w:rPr>
          <w:rFonts w:ascii="宋体" w:hAnsi="宋体" w:cs="宋体-WinCharSetFFFF-H" w:hint="eastAsia"/>
          <w:kern w:val="0"/>
          <w:sz w:val="24"/>
        </w:rPr>
        <w:t>认购的限额</w:t>
      </w:r>
      <w:bookmarkEnd w:id="30"/>
    </w:p>
    <w:p w:rsidR="00562FFD" w:rsidRDefault="003317D3">
      <w:pPr>
        <w:spacing w:line="360" w:lineRule="auto"/>
        <w:ind w:firstLine="420"/>
        <w:rPr>
          <w:rFonts w:ascii="宋体" w:hAnsi="宋体"/>
          <w:color w:val="000000"/>
          <w:sz w:val="24"/>
        </w:rPr>
      </w:pPr>
      <w:bookmarkStart w:id="31" w:name="_Toc88969249"/>
      <w:r>
        <w:rPr>
          <w:rFonts w:ascii="宋体" w:hAnsi="宋体"/>
          <w:color w:val="000000"/>
          <w:sz w:val="24"/>
        </w:rPr>
        <w:t>（1）</w:t>
      </w:r>
      <w:r>
        <w:rPr>
          <w:rFonts w:ascii="宋体" w:hAnsi="宋体" w:hint="eastAsia"/>
          <w:color w:val="000000"/>
          <w:sz w:val="24"/>
        </w:rPr>
        <w:t>投资人认购时，需按销售机构规定的方式全额缴款。</w:t>
      </w:r>
    </w:p>
    <w:p w:rsidR="00562FFD" w:rsidRDefault="003317D3">
      <w:pPr>
        <w:spacing w:line="360" w:lineRule="auto"/>
        <w:ind w:firstLine="420"/>
        <w:rPr>
          <w:rFonts w:ascii="宋体" w:hAnsi="宋体"/>
          <w:color w:val="000000"/>
          <w:sz w:val="24"/>
        </w:rPr>
      </w:pPr>
      <w:r>
        <w:rPr>
          <w:rFonts w:ascii="宋体" w:hAnsi="宋体"/>
          <w:color w:val="000000"/>
          <w:sz w:val="24"/>
        </w:rPr>
        <w:t>（2）</w:t>
      </w:r>
      <w:r>
        <w:rPr>
          <w:rFonts w:ascii="宋体" w:hAnsi="宋体" w:hint="eastAsia"/>
          <w:color w:val="000000"/>
          <w:sz w:val="24"/>
        </w:rPr>
        <w:t>在募集期内，投资者可多次认购基金份额。基金管理人直销网点（不含网上交易）的首次单笔最低认购金额为人民币10,000.00元（含认购费、下同），追加认购的单笔最低认购金额为人民币1,000.00元。在其他销售机构及基金管理人网上交易的首次单笔最低认购金额为人民币10.00元，追加认购的单笔最低认购金额为人民币10.00元。各销售机构对本基金最低认购金额及交易级差有其他规定的，以各销售机构的业务规定为准。</w:t>
      </w:r>
    </w:p>
    <w:p w:rsidR="00562FFD" w:rsidRDefault="003317D3">
      <w:pPr>
        <w:spacing w:line="360" w:lineRule="auto"/>
        <w:ind w:firstLine="42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募集期间不设置投资者单个账户持有基金份额的比例和最高认购金额限制。各销售机构对本基金最低认购金额及交易级差有其他规定的，以各销售机构的业务规定为准。</w:t>
      </w:r>
    </w:p>
    <w:p w:rsidR="00562FFD" w:rsidRDefault="003317D3">
      <w:pPr>
        <w:spacing w:line="360" w:lineRule="auto"/>
        <w:ind w:firstLine="420"/>
        <w:rPr>
          <w:rFonts w:ascii="宋体" w:hAnsi="宋体"/>
          <w:bCs/>
          <w:color w:val="000000"/>
          <w:sz w:val="24"/>
        </w:rPr>
      </w:pPr>
      <w:r>
        <w:rPr>
          <w:rFonts w:ascii="宋体" w:hAnsi="宋体"/>
          <w:color w:val="000000"/>
          <w:sz w:val="24"/>
        </w:rPr>
        <w:lastRenderedPageBreak/>
        <w:t>（</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rsidR="00562FFD" w:rsidRDefault="003317D3">
      <w:pPr>
        <w:spacing w:line="360" w:lineRule="auto"/>
        <w:ind w:firstLine="42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投资人在募集期内可以多次认购基金份额，A类基金份额的认购费按每笔认购申请单独计算，但已受理的认购申请不得撤销。</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十、募集资金及利息的处理</w:t>
      </w:r>
      <w:bookmarkEnd w:id="31"/>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《基金合同》生效前，投资者的认购款项只能存入专门账户，不得动用。</w:t>
      </w:r>
    </w:p>
    <w:p w:rsidR="00562FFD" w:rsidRDefault="003317D3">
      <w:pPr>
        <w:autoSpaceDE w:val="0"/>
        <w:autoSpaceDN w:val="0"/>
        <w:adjustRightInd w:val="0"/>
        <w:spacing w:line="360" w:lineRule="auto"/>
        <w:ind w:firstLineChars="200" w:firstLine="480"/>
        <w:rPr>
          <w:rFonts w:ascii="宋体" w:hAnsi="宋体" w:cs="宋体-WinCharSetFFFF-H"/>
          <w:bCs/>
          <w:kern w:val="0"/>
          <w:sz w:val="24"/>
        </w:rPr>
      </w:pPr>
      <w:r>
        <w:rPr>
          <w:rFonts w:hAnsi="宋体" w:cs="宋体-WinCharSetFFFF-H" w:hint="eastAsia"/>
          <w:bCs/>
          <w:sz w:val="24"/>
        </w:rPr>
        <w:t>有效认购款项在募集期间产生的利息将折算为相应类别的基金份额</w:t>
      </w:r>
      <w:proofErr w:type="gramStart"/>
      <w:r>
        <w:rPr>
          <w:rFonts w:hAnsi="宋体" w:cs="宋体-WinCharSetFFFF-H" w:hint="eastAsia"/>
          <w:bCs/>
          <w:sz w:val="24"/>
        </w:rPr>
        <w:t>归基金</w:t>
      </w:r>
      <w:proofErr w:type="gramEnd"/>
      <w:r>
        <w:rPr>
          <w:rFonts w:hAnsi="宋体" w:cs="宋体-WinCharSetFFFF-H" w:hint="eastAsia"/>
          <w:bCs/>
          <w:sz w:val="24"/>
        </w:rPr>
        <w:t>份额持有人所有，其中利息转份额的具体数额以登记机构的记录为准。</w:t>
      </w:r>
    </w:p>
    <w:p w:rsidR="00562FFD" w:rsidRDefault="003317D3">
      <w:pPr>
        <w:pStyle w:val="af0"/>
        <w:rPr>
          <w:rFonts w:hAnsi="宋体"/>
          <w:bCs/>
          <w:szCs w:val="28"/>
        </w:rPr>
      </w:pPr>
      <w:r>
        <w:rPr>
          <w:rFonts w:hAnsi="宋体"/>
          <w:bCs/>
          <w:szCs w:val="28"/>
        </w:rPr>
        <w:br w:type="page"/>
      </w:r>
      <w:bookmarkStart w:id="32" w:name="_Toc34222297"/>
      <w:bookmarkStart w:id="33" w:name="_Toc56692690"/>
      <w:r>
        <w:rPr>
          <w:rFonts w:hint="eastAsia"/>
          <w:szCs w:val="28"/>
        </w:rPr>
        <w:lastRenderedPageBreak/>
        <w:t>第七部分 基金合同的生效</w:t>
      </w:r>
      <w:bookmarkEnd w:id="32"/>
      <w:bookmarkEnd w:id="33"/>
    </w:p>
    <w:p w:rsidR="00562FFD" w:rsidRDefault="003317D3">
      <w:pPr>
        <w:spacing w:line="360" w:lineRule="auto"/>
        <w:ind w:firstLineChars="200" w:firstLine="480"/>
        <w:rPr>
          <w:bCs/>
          <w:sz w:val="24"/>
        </w:rPr>
      </w:pPr>
      <w:r>
        <w:rPr>
          <w:rFonts w:hint="eastAsia"/>
          <w:bCs/>
          <w:sz w:val="24"/>
        </w:rPr>
        <w:t>一、基金备案的条件</w:t>
      </w:r>
    </w:p>
    <w:p w:rsidR="00562FFD" w:rsidRDefault="003317D3">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rsidR="00562FFD" w:rsidRDefault="003317D3">
      <w:pPr>
        <w:spacing w:line="360" w:lineRule="auto"/>
        <w:ind w:firstLineChars="200" w:firstLine="480"/>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62FFD" w:rsidRDefault="003317D3">
      <w:pPr>
        <w:spacing w:line="360" w:lineRule="auto"/>
        <w:ind w:firstLineChars="200" w:firstLine="480"/>
        <w:rPr>
          <w:bCs/>
          <w:sz w:val="24"/>
        </w:rPr>
      </w:pPr>
      <w:r>
        <w:rPr>
          <w:rFonts w:hint="eastAsia"/>
          <w:bCs/>
          <w:sz w:val="24"/>
        </w:rPr>
        <w:t>二、基金合同不能生效时募集资金的处理方式</w:t>
      </w:r>
    </w:p>
    <w:p w:rsidR="00562FFD" w:rsidRDefault="003317D3">
      <w:pPr>
        <w:spacing w:line="360" w:lineRule="auto"/>
        <w:ind w:firstLineChars="200" w:firstLine="480"/>
        <w:rPr>
          <w:bCs/>
          <w:sz w:val="24"/>
        </w:rPr>
      </w:pPr>
      <w:r>
        <w:rPr>
          <w:rFonts w:hint="eastAsia"/>
          <w:bCs/>
          <w:sz w:val="24"/>
        </w:rPr>
        <w:t>如果募集期限届满，未满足基金备案条件，基金管理人应当承担下列责任：</w:t>
      </w:r>
    </w:p>
    <w:p w:rsidR="00562FFD" w:rsidRDefault="003317D3">
      <w:pPr>
        <w:spacing w:line="360" w:lineRule="auto"/>
        <w:ind w:firstLineChars="200" w:firstLine="480"/>
        <w:rPr>
          <w:bCs/>
          <w:sz w:val="24"/>
        </w:rPr>
      </w:pPr>
      <w:r>
        <w:rPr>
          <w:rFonts w:hint="eastAsia"/>
          <w:bCs/>
          <w:sz w:val="24"/>
        </w:rPr>
        <w:t>1</w:t>
      </w:r>
      <w:r>
        <w:rPr>
          <w:rFonts w:hint="eastAsia"/>
          <w:bCs/>
          <w:sz w:val="24"/>
        </w:rPr>
        <w:t>、以其固有财产承担因募集行为而产生的债务和费用；</w:t>
      </w:r>
    </w:p>
    <w:p w:rsidR="00562FFD" w:rsidRDefault="003317D3">
      <w:pPr>
        <w:spacing w:line="360" w:lineRule="auto"/>
        <w:ind w:firstLineChars="200" w:firstLine="480"/>
        <w:rPr>
          <w:bCs/>
          <w:sz w:val="24"/>
        </w:rPr>
      </w:pPr>
      <w:r>
        <w:rPr>
          <w:rFonts w:hint="eastAsia"/>
          <w:bCs/>
          <w:sz w:val="24"/>
        </w:rPr>
        <w:t>2</w:t>
      </w:r>
      <w:r>
        <w:rPr>
          <w:rFonts w:hint="eastAsia"/>
          <w:bCs/>
          <w:sz w:val="24"/>
        </w:rPr>
        <w:t>、在基金募集期限届满后</w:t>
      </w:r>
      <w:r>
        <w:rPr>
          <w:rFonts w:hint="eastAsia"/>
          <w:bCs/>
          <w:sz w:val="24"/>
        </w:rPr>
        <w:t>30</w:t>
      </w:r>
      <w:r>
        <w:rPr>
          <w:rFonts w:hint="eastAsia"/>
          <w:bCs/>
          <w:sz w:val="24"/>
        </w:rPr>
        <w:t>日内返还投资者已交纳的款项，并加计银行同期活期存款利息（税后）；</w:t>
      </w:r>
    </w:p>
    <w:p w:rsidR="00562FFD" w:rsidRDefault="003317D3">
      <w:pPr>
        <w:spacing w:line="360" w:lineRule="auto"/>
        <w:ind w:firstLineChars="200" w:firstLine="480"/>
        <w:rPr>
          <w:bCs/>
          <w:sz w:val="24"/>
        </w:rPr>
      </w:pPr>
      <w:r>
        <w:rPr>
          <w:rFonts w:hint="eastAsia"/>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rsidR="00562FFD" w:rsidRDefault="003317D3">
      <w:pPr>
        <w:spacing w:line="360" w:lineRule="auto"/>
        <w:ind w:firstLineChars="200" w:firstLine="480"/>
        <w:rPr>
          <w:bCs/>
          <w:sz w:val="24"/>
        </w:rPr>
      </w:pPr>
      <w:r>
        <w:rPr>
          <w:rFonts w:hint="eastAsia"/>
          <w:bCs/>
          <w:sz w:val="24"/>
        </w:rPr>
        <w:t>三、基金存续期内的基金份额持有人数量和资产规模</w:t>
      </w:r>
    </w:p>
    <w:p w:rsidR="00562FFD" w:rsidRDefault="003317D3">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rFonts w:hint="eastAsia"/>
          <w:bCs/>
          <w:sz w:val="24"/>
        </w:rPr>
        <w:t>5000</w:t>
      </w:r>
      <w:r>
        <w:rPr>
          <w:rFonts w:hint="eastAsia"/>
          <w:bCs/>
          <w:sz w:val="24"/>
        </w:rPr>
        <w:t>万元的，基金管理人应当在定期报告中予以披露；连续</w:t>
      </w:r>
      <w:r>
        <w:rPr>
          <w:rFonts w:hint="eastAsia"/>
          <w:bCs/>
          <w:sz w:val="24"/>
        </w:rPr>
        <w:t>60</w:t>
      </w:r>
      <w:r>
        <w:rPr>
          <w:rFonts w:hint="eastAsia"/>
          <w:bCs/>
          <w:sz w:val="24"/>
        </w:rPr>
        <w:t>个工作日出现前述情况的，基金管理人应当在</w:t>
      </w:r>
      <w:r>
        <w:rPr>
          <w:rFonts w:hint="eastAsia"/>
          <w:bCs/>
          <w:sz w:val="24"/>
        </w:rPr>
        <w:t>10</w:t>
      </w:r>
      <w:r>
        <w:rPr>
          <w:rFonts w:hint="eastAsia"/>
          <w:bCs/>
          <w:sz w:val="24"/>
        </w:rPr>
        <w:t>个工作日内向中国证监会报告并提出解决方案，解决方案包括持续运作、转换运作方式、与其他基金合并或者终止基金合同等，并在</w:t>
      </w:r>
      <w:r>
        <w:rPr>
          <w:rFonts w:hint="eastAsia"/>
          <w:bCs/>
          <w:sz w:val="24"/>
        </w:rPr>
        <w:t>6</w:t>
      </w:r>
      <w:r>
        <w:rPr>
          <w:rFonts w:hint="eastAsia"/>
          <w:bCs/>
          <w:sz w:val="24"/>
        </w:rPr>
        <w:t>个月内召集基金份额持有人大会进行表决。</w:t>
      </w:r>
    </w:p>
    <w:p w:rsidR="00562FFD" w:rsidRDefault="003317D3">
      <w:pPr>
        <w:spacing w:line="360" w:lineRule="auto"/>
        <w:ind w:firstLineChars="200" w:firstLine="480"/>
        <w:rPr>
          <w:bCs/>
          <w:sz w:val="24"/>
        </w:rPr>
      </w:pPr>
      <w:r>
        <w:rPr>
          <w:rFonts w:hint="eastAsia"/>
          <w:bCs/>
          <w:sz w:val="24"/>
        </w:rPr>
        <w:t>法律法规或监管部门另有规定时，从其规定。</w:t>
      </w:r>
    </w:p>
    <w:p w:rsidR="00562FFD" w:rsidRDefault="003317D3">
      <w:pPr>
        <w:pStyle w:val="af0"/>
        <w:rPr>
          <w:rFonts w:hAnsi="宋体"/>
          <w:b w:val="0"/>
          <w:bCs/>
          <w:szCs w:val="28"/>
        </w:rPr>
      </w:pPr>
      <w:bookmarkStart w:id="34" w:name="_Toc164766377"/>
      <w:r>
        <w:rPr>
          <w:rFonts w:hAnsi="宋体"/>
          <w:bCs/>
          <w:sz w:val="24"/>
        </w:rPr>
        <w:br w:type="page"/>
      </w:r>
      <w:bookmarkStart w:id="35" w:name="_Toc56692691"/>
      <w:bookmarkStart w:id="36" w:name="_Toc34222298"/>
      <w:r>
        <w:rPr>
          <w:rFonts w:hint="eastAsia"/>
          <w:szCs w:val="28"/>
        </w:rPr>
        <w:lastRenderedPageBreak/>
        <w:t>第八部分 基金份额的申购与赎回</w:t>
      </w:r>
      <w:bookmarkEnd w:id="34"/>
      <w:bookmarkEnd w:id="35"/>
      <w:bookmarkEnd w:id="36"/>
    </w:p>
    <w:p w:rsidR="00562FFD" w:rsidRDefault="003317D3">
      <w:pPr>
        <w:spacing w:line="360" w:lineRule="auto"/>
        <w:ind w:firstLineChars="200" w:firstLine="480"/>
        <w:rPr>
          <w:rFonts w:ascii="宋体" w:hAnsi="宋体"/>
          <w:bCs/>
          <w:sz w:val="24"/>
        </w:rPr>
      </w:pPr>
      <w:r>
        <w:rPr>
          <w:rFonts w:ascii="宋体" w:hAnsi="宋体" w:hint="eastAsia"/>
          <w:bCs/>
          <w:sz w:val="24"/>
        </w:rPr>
        <w:t>一、申购和赎回场所</w:t>
      </w:r>
    </w:p>
    <w:p w:rsidR="00562FFD" w:rsidRDefault="003317D3">
      <w:pPr>
        <w:spacing w:line="360" w:lineRule="auto"/>
        <w:ind w:firstLineChars="200" w:firstLine="480"/>
        <w:rPr>
          <w:rFonts w:ascii="宋体" w:hAnsi="宋体"/>
          <w:bCs/>
          <w:sz w:val="24"/>
        </w:rPr>
      </w:pPr>
      <w:r>
        <w:rPr>
          <w:rFonts w:ascii="宋体" w:hAnsi="宋体" w:hint="eastAsia"/>
          <w:bCs/>
          <w:sz w:val="24"/>
        </w:rPr>
        <w:t>本基金的申购与赎回将通过销售机构进行。具体的销售机构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rsidR="00562FFD" w:rsidRDefault="003317D3">
      <w:pPr>
        <w:spacing w:line="360" w:lineRule="auto"/>
        <w:ind w:firstLineChars="200" w:firstLine="480"/>
        <w:rPr>
          <w:rFonts w:ascii="宋体" w:hAnsi="宋体"/>
          <w:bCs/>
          <w:sz w:val="24"/>
        </w:rPr>
      </w:pPr>
      <w:r>
        <w:rPr>
          <w:rFonts w:ascii="宋体" w:hAnsi="宋体" w:hint="eastAsia"/>
          <w:bCs/>
          <w:sz w:val="24"/>
        </w:rPr>
        <w:t>二、申购和赎回的开放日及时间</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、开放日及开放时间</w:t>
      </w:r>
    </w:p>
    <w:p w:rsidR="00562FFD" w:rsidRDefault="003317D3">
      <w:pPr>
        <w:spacing w:line="360" w:lineRule="auto"/>
        <w:ind w:firstLineChars="200" w:firstLine="480"/>
        <w:rPr>
          <w:rFonts w:ascii="宋体" w:hAnsi="宋体"/>
          <w:bCs/>
          <w:sz w:val="24"/>
        </w:rPr>
      </w:pPr>
      <w:r>
        <w:rPr>
          <w:rFonts w:ascii="宋体" w:hAnsi="宋体" w:hint="eastAsia"/>
          <w:bCs/>
          <w:sz w:val="24"/>
        </w:rPr>
        <w:t>投资人在开放日办理基金份额的申购和赎回，具体办理时间为上海证券交易所、深圳证券交易所的正常交易日的交易时间（若本基金参与港股</w:t>
      </w:r>
      <w:proofErr w:type="gramStart"/>
      <w:r>
        <w:rPr>
          <w:rFonts w:ascii="宋体" w:hAnsi="宋体" w:hint="eastAsia"/>
          <w:bCs/>
          <w:sz w:val="24"/>
        </w:rPr>
        <w:t>通交易且</w:t>
      </w:r>
      <w:proofErr w:type="gramEnd"/>
      <w:r>
        <w:rPr>
          <w:rFonts w:ascii="宋体" w:hAnsi="宋体" w:hint="eastAsia"/>
          <w:bCs/>
          <w:sz w:val="24"/>
        </w:rPr>
        <w:t>该工作日为非港股</w:t>
      </w:r>
      <w:proofErr w:type="gramStart"/>
      <w:r>
        <w:rPr>
          <w:rFonts w:ascii="宋体" w:hAnsi="宋体" w:hint="eastAsia"/>
          <w:bCs/>
          <w:sz w:val="24"/>
        </w:rPr>
        <w:t>通交易</w:t>
      </w:r>
      <w:proofErr w:type="gramEnd"/>
      <w:r>
        <w:rPr>
          <w:rFonts w:ascii="宋体" w:hAnsi="宋体" w:hint="eastAsia"/>
          <w:bCs/>
          <w:sz w:val="24"/>
        </w:rPr>
        <w:t>日时，</w:t>
      </w:r>
      <w:proofErr w:type="gramStart"/>
      <w:r>
        <w:rPr>
          <w:rFonts w:ascii="宋体" w:hAnsi="宋体" w:hint="eastAsia"/>
          <w:bCs/>
          <w:sz w:val="24"/>
        </w:rPr>
        <w:t>则基金</w:t>
      </w:r>
      <w:proofErr w:type="gramEnd"/>
      <w:r>
        <w:rPr>
          <w:rFonts w:ascii="宋体" w:hAnsi="宋体" w:hint="eastAsia"/>
          <w:bCs/>
          <w:sz w:val="24"/>
        </w:rPr>
        <w:t>管理人可根据实际情况决定本基金是否开放申购、赎回及转换业务，具体以届时依照法律法规发布的公告为准），但基金管理人根据法律法规、中国证监会的要求或基金合同的规定公告暂停申购、赎回时除外。</w:t>
      </w:r>
    </w:p>
    <w:p w:rsidR="00562FFD" w:rsidRDefault="003317D3">
      <w:pPr>
        <w:spacing w:line="360" w:lineRule="auto"/>
        <w:ind w:firstLineChars="200" w:firstLine="480"/>
        <w:rPr>
          <w:rFonts w:ascii="宋体" w:hAnsi="宋体"/>
          <w:bCs/>
          <w:sz w:val="24"/>
        </w:rPr>
      </w:pPr>
      <w:r>
        <w:rPr>
          <w:rFonts w:ascii="宋体" w:hAnsi="宋体"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、申购、赎回开始日及业务办理时间</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基金管理人自基金合同生效之日起不超过3个月开始办理申购，具体业务办理时间在申购开始公告中规定。</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基金管理人自基金合同生效之日起不超过3个月开始办理赎回，具体业务办理时间在赎回开始公告中规定。</w:t>
      </w:r>
    </w:p>
    <w:p w:rsidR="00562FFD" w:rsidRDefault="003317D3">
      <w:pPr>
        <w:spacing w:line="360" w:lineRule="auto"/>
        <w:ind w:firstLineChars="200" w:firstLine="480"/>
        <w:rPr>
          <w:rFonts w:ascii="宋体" w:hAnsi="宋体"/>
          <w:bCs/>
          <w:sz w:val="24"/>
        </w:rPr>
      </w:pPr>
      <w:r>
        <w:rPr>
          <w:rFonts w:ascii="宋体" w:hAnsi="宋体" w:hint="eastAsia"/>
          <w:bCs/>
          <w:sz w:val="24"/>
        </w:rPr>
        <w:t>在确定申购开始与赎回开始时间后，基金管理人应在申购、赎回开放日前依照《信息披露办法》的有关规定进行公告。基金管理人不得在基金合同约定之外的日期或者时间办理基金份额的申购、赎回或者转换。投资人在基金合同约定之外的日期和时间提出申购、赎回、转换申请</w:t>
      </w:r>
      <w:proofErr w:type="gramStart"/>
      <w:r>
        <w:rPr>
          <w:rFonts w:ascii="宋体" w:hAnsi="宋体" w:hint="eastAsia"/>
          <w:bCs/>
          <w:sz w:val="24"/>
        </w:rPr>
        <w:t>且登记</w:t>
      </w:r>
      <w:proofErr w:type="gramEnd"/>
      <w:r>
        <w:rPr>
          <w:rFonts w:ascii="宋体" w:hAnsi="宋体" w:hint="eastAsia"/>
          <w:bCs/>
          <w:sz w:val="24"/>
        </w:rPr>
        <w:t>机构确认接受的，其基金份额申购、赎回、转换价格为下一开放日该类基金份额申购、赎回、转换的价格。</w:t>
      </w:r>
    </w:p>
    <w:p w:rsidR="00562FFD" w:rsidRDefault="003317D3">
      <w:pPr>
        <w:spacing w:line="360" w:lineRule="auto"/>
        <w:ind w:firstLineChars="200" w:firstLine="480"/>
        <w:rPr>
          <w:rFonts w:ascii="宋体" w:hAnsi="宋体"/>
          <w:bCs/>
          <w:sz w:val="24"/>
        </w:rPr>
      </w:pPr>
      <w:r>
        <w:rPr>
          <w:rFonts w:ascii="宋体" w:hAnsi="宋体" w:hint="eastAsia"/>
          <w:bCs/>
          <w:sz w:val="24"/>
        </w:rPr>
        <w:t>三、申购与赎回的原则</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、“未知价”原则，即申购、赎回价格以申请当日收市后计算的各类基金份</w:t>
      </w:r>
      <w:r>
        <w:rPr>
          <w:rFonts w:ascii="宋体" w:hAnsi="宋体" w:hint="eastAsia"/>
          <w:bCs/>
          <w:sz w:val="24"/>
        </w:rPr>
        <w:lastRenderedPageBreak/>
        <w:t>额净值为基准进行计算；</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、“金额申购、份额赎回”原则，即申购以金额申请，赎回以份额申请；</w:t>
      </w:r>
    </w:p>
    <w:p w:rsidR="00562FFD" w:rsidRDefault="003317D3">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、当日的申购与赎回申请可以在基金管理人规定的时间以内撤销；</w:t>
      </w:r>
    </w:p>
    <w:p w:rsidR="00562FFD" w:rsidRDefault="003317D3">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、赎回遵循“先进先出”原则，即按照投资人认购、申购的先后次序进行顺序赎回；</w:t>
      </w:r>
    </w:p>
    <w:p w:rsidR="00562FFD" w:rsidRDefault="003317D3">
      <w:pPr>
        <w:spacing w:line="360" w:lineRule="auto"/>
        <w:ind w:firstLineChars="200" w:firstLine="480"/>
        <w:rPr>
          <w:rFonts w:ascii="宋体" w:hAnsi="宋体"/>
          <w:bCs/>
          <w:sz w:val="24"/>
        </w:rPr>
      </w:pPr>
      <w:r>
        <w:rPr>
          <w:rFonts w:ascii="宋体" w:hAnsi="宋体"/>
          <w:bCs/>
          <w:sz w:val="24"/>
        </w:rPr>
        <w:t>5、办理申购、赎回业务时，应当遵循基金份额持有人利益优先原则</w:t>
      </w:r>
      <w:r>
        <w:rPr>
          <w:rFonts w:ascii="宋体" w:hAnsi="宋体" w:hint="eastAsia"/>
          <w:bCs/>
          <w:sz w:val="24"/>
        </w:rPr>
        <w:t>，确保投资者的合法权益不受损害并得到公平对待。</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基金管理人可在法律法规允许的情况下，对上述原则进行调整。基金管理人必须在新规则开始实施前依照《信息披露办法》的有关规定在规定媒介上公告。</w:t>
      </w:r>
    </w:p>
    <w:p w:rsidR="00562FFD" w:rsidRDefault="003317D3">
      <w:pPr>
        <w:spacing w:line="360" w:lineRule="auto"/>
        <w:ind w:firstLineChars="200" w:firstLine="480"/>
        <w:rPr>
          <w:rFonts w:ascii="宋体" w:hAnsi="宋体"/>
          <w:bCs/>
          <w:sz w:val="24"/>
        </w:rPr>
      </w:pPr>
      <w:r>
        <w:rPr>
          <w:rFonts w:ascii="宋体" w:hAnsi="宋体" w:hint="eastAsia"/>
          <w:bCs/>
          <w:sz w:val="24"/>
        </w:rPr>
        <w:t>四、申购与赎回的程序</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、申购和赎回的申请方式</w:t>
      </w:r>
    </w:p>
    <w:p w:rsidR="00562FFD" w:rsidRDefault="003317D3">
      <w:pPr>
        <w:spacing w:line="360" w:lineRule="auto"/>
        <w:ind w:firstLineChars="200" w:firstLine="480"/>
        <w:rPr>
          <w:rFonts w:ascii="宋体" w:hAnsi="宋体"/>
          <w:bCs/>
          <w:sz w:val="24"/>
        </w:rPr>
      </w:pPr>
      <w:r>
        <w:rPr>
          <w:rFonts w:ascii="宋体" w:hAnsi="宋体" w:hint="eastAsia"/>
          <w:bCs/>
          <w:sz w:val="24"/>
        </w:rPr>
        <w:t>投资人必须根据销售机构规定的程序，在开放日的具体业务办理时间内提出申购或赎回的申请。</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、申购和赎回的款项支付</w:t>
      </w:r>
    </w:p>
    <w:p w:rsidR="00562FFD" w:rsidRDefault="003317D3">
      <w:pPr>
        <w:spacing w:line="360" w:lineRule="auto"/>
        <w:ind w:firstLineChars="200" w:firstLine="480"/>
        <w:rPr>
          <w:rFonts w:ascii="宋体" w:hAnsi="宋体"/>
          <w:bCs/>
          <w:sz w:val="24"/>
        </w:rPr>
      </w:pPr>
      <w:r>
        <w:rPr>
          <w:rFonts w:ascii="宋体" w:hAnsi="宋体" w:hint="eastAsia"/>
          <w:bCs/>
          <w:sz w:val="24"/>
        </w:rPr>
        <w:t>投资人申购基金份额时，必须全额交付申购款项，投资人交付申购款项，申购成立；基金份额登记机构确认基金份额时，申购生效。</w:t>
      </w:r>
    </w:p>
    <w:p w:rsidR="00562FFD" w:rsidRDefault="003317D3">
      <w:pPr>
        <w:spacing w:line="360" w:lineRule="auto"/>
        <w:ind w:firstLineChars="200" w:firstLine="480"/>
        <w:rPr>
          <w:rFonts w:ascii="宋体" w:hAnsi="宋体"/>
          <w:bCs/>
          <w:sz w:val="24"/>
        </w:rPr>
      </w:pPr>
      <w:r>
        <w:rPr>
          <w:rFonts w:ascii="宋体" w:hAnsi="宋体" w:hint="eastAsia"/>
          <w:bCs/>
          <w:sz w:val="24"/>
        </w:rPr>
        <w:t>基金份额持有人递交赎回申请，赎回成立；基金份额登记机构确认赎回时，赎回生效。投资者赎回申请生效后，基金管理人将在</w:t>
      </w:r>
      <w:r>
        <w:rPr>
          <w:rFonts w:ascii="宋体" w:hAnsi="宋体"/>
          <w:bCs/>
          <w:sz w:val="24"/>
        </w:rPr>
        <w:t>T</w:t>
      </w:r>
      <w:r>
        <w:rPr>
          <w:rFonts w:ascii="宋体" w:hAnsi="宋体" w:hint="eastAsia"/>
          <w:bCs/>
          <w:sz w:val="24"/>
        </w:rPr>
        <w:t>＋</w:t>
      </w:r>
      <w:r>
        <w:rPr>
          <w:rFonts w:ascii="宋体" w:hAnsi="宋体"/>
          <w:bCs/>
          <w:sz w:val="24"/>
        </w:rPr>
        <w:t>7</w:t>
      </w:r>
      <w:r>
        <w:rPr>
          <w:rFonts w:ascii="宋体" w:hAnsi="宋体" w:hint="eastAsia"/>
          <w:bCs/>
          <w:sz w:val="24"/>
        </w:rPr>
        <w:t>日</w:t>
      </w:r>
      <w:r>
        <w:rPr>
          <w:rFonts w:ascii="宋体" w:hAnsi="宋体"/>
          <w:bCs/>
          <w:sz w:val="24"/>
        </w:rPr>
        <w:t>(</w:t>
      </w:r>
      <w:r>
        <w:rPr>
          <w:rFonts w:ascii="宋体" w:hAnsi="宋体" w:hint="eastAsia"/>
          <w:bCs/>
          <w:sz w:val="24"/>
        </w:rPr>
        <w:t>包括该日</w:t>
      </w:r>
      <w:r>
        <w:rPr>
          <w:rFonts w:ascii="宋体" w:hAnsi="宋体"/>
          <w:bCs/>
          <w:sz w:val="24"/>
        </w:rPr>
        <w:t>)</w:t>
      </w:r>
      <w:r>
        <w:rPr>
          <w:rFonts w:ascii="宋体" w:hAnsi="宋体" w:hint="eastAsia"/>
          <w:bCs/>
          <w:sz w:val="24"/>
        </w:rPr>
        <w:t>内支付赎回款项。在发生巨额赎回或基金合同载明的其他暂停赎回或延缓支付赎回款项的情形时，款项的支付办法参照基金合同有关条款处理。</w:t>
      </w:r>
    </w:p>
    <w:p w:rsidR="00562FFD" w:rsidRDefault="003317D3">
      <w:pPr>
        <w:spacing w:line="360" w:lineRule="auto"/>
        <w:ind w:firstLineChars="200" w:firstLine="480"/>
        <w:rPr>
          <w:rFonts w:ascii="宋体" w:hAnsi="宋体"/>
          <w:bCs/>
          <w:sz w:val="24"/>
        </w:rPr>
      </w:pPr>
      <w:r>
        <w:rPr>
          <w:rFonts w:ascii="宋体" w:hAnsi="宋体" w:hint="eastAsia"/>
          <w:bCs/>
          <w:sz w:val="24"/>
        </w:rPr>
        <w:t>遇交易所或交易市场数据传输延迟、通讯系统故障、银行数据交换系统故障、港股</w:t>
      </w:r>
      <w:proofErr w:type="gramStart"/>
      <w:r>
        <w:rPr>
          <w:rFonts w:ascii="宋体" w:hAnsi="宋体" w:hint="eastAsia"/>
          <w:bCs/>
          <w:sz w:val="24"/>
        </w:rPr>
        <w:t>通交易</w:t>
      </w:r>
      <w:proofErr w:type="gramEnd"/>
      <w:r>
        <w:rPr>
          <w:rFonts w:ascii="宋体" w:hAnsi="宋体" w:hint="eastAsia"/>
          <w:bCs/>
          <w:sz w:val="24"/>
        </w:rPr>
        <w:t>系统或港股</w:t>
      </w:r>
      <w:proofErr w:type="gramStart"/>
      <w:r>
        <w:rPr>
          <w:rFonts w:ascii="宋体" w:hAnsi="宋体" w:hint="eastAsia"/>
          <w:bCs/>
          <w:sz w:val="24"/>
        </w:rPr>
        <w:t>通资金</w:t>
      </w:r>
      <w:proofErr w:type="gramEnd"/>
      <w:r>
        <w:rPr>
          <w:rFonts w:ascii="宋体" w:hAnsi="宋体" w:hint="eastAsia"/>
          <w:bCs/>
          <w:sz w:val="24"/>
        </w:rPr>
        <w:t>交收规则限制或其他</w:t>
      </w:r>
      <w:proofErr w:type="gramStart"/>
      <w:r>
        <w:rPr>
          <w:rFonts w:ascii="宋体" w:hAnsi="宋体" w:hint="eastAsia"/>
          <w:bCs/>
          <w:sz w:val="24"/>
        </w:rPr>
        <w:t>非基金</w:t>
      </w:r>
      <w:proofErr w:type="gramEnd"/>
      <w:r>
        <w:rPr>
          <w:rFonts w:ascii="宋体" w:hAnsi="宋体" w:hint="eastAsia"/>
          <w:bCs/>
          <w:sz w:val="24"/>
        </w:rPr>
        <w:t>管理人及基金托管人所能控制的因素影响业务处理流程，则赎回款项划付时间相应顺延。</w:t>
      </w:r>
    </w:p>
    <w:p w:rsidR="00562FFD" w:rsidRDefault="003317D3">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、申购和赎回申请的确认</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基金管理人应以交易时间结束前受理有效申购和赎回申请的当天作为申购或赎回申请日</w:t>
      </w:r>
      <w:r>
        <w:rPr>
          <w:rFonts w:ascii="宋体" w:hAnsi="宋体"/>
          <w:bCs/>
          <w:sz w:val="24"/>
        </w:rPr>
        <w:t>(T</w:t>
      </w:r>
      <w:r>
        <w:rPr>
          <w:rFonts w:ascii="宋体" w:hAnsi="宋体" w:hint="eastAsia"/>
          <w:bCs/>
          <w:sz w:val="24"/>
        </w:rPr>
        <w:t>日</w:t>
      </w:r>
      <w:r>
        <w:rPr>
          <w:rFonts w:ascii="宋体" w:hAnsi="宋体"/>
          <w:bCs/>
          <w:sz w:val="24"/>
        </w:rPr>
        <w:t>)，</w:t>
      </w:r>
      <w:r>
        <w:rPr>
          <w:rFonts w:ascii="宋体" w:hAnsi="宋体" w:hint="eastAsia"/>
          <w:bCs/>
          <w:sz w:val="24"/>
        </w:rPr>
        <w:t>在正常情况下，本基金登记机构在</w:t>
      </w:r>
      <w:r>
        <w:rPr>
          <w:rFonts w:ascii="宋体" w:hAnsi="宋体"/>
          <w:bCs/>
          <w:sz w:val="24"/>
        </w:rPr>
        <w:t>T+1</w:t>
      </w:r>
      <w:r>
        <w:rPr>
          <w:rFonts w:ascii="宋体" w:hAnsi="宋体" w:hint="eastAsia"/>
          <w:bCs/>
          <w:sz w:val="24"/>
        </w:rPr>
        <w:t>日内对该交易的有效性进行确认。</w:t>
      </w:r>
      <w:r>
        <w:rPr>
          <w:rFonts w:ascii="宋体" w:hAnsi="宋体"/>
          <w:bCs/>
          <w:sz w:val="24"/>
        </w:rPr>
        <w:t>T</w:t>
      </w:r>
      <w:r>
        <w:rPr>
          <w:rFonts w:ascii="宋体" w:hAnsi="宋体" w:hint="eastAsia"/>
          <w:bCs/>
          <w:sz w:val="24"/>
        </w:rPr>
        <w:t>日提交的有效申请，投资人应在</w:t>
      </w:r>
      <w:r>
        <w:rPr>
          <w:rFonts w:ascii="宋体" w:hAnsi="宋体"/>
          <w:bCs/>
          <w:sz w:val="24"/>
        </w:rPr>
        <w:t>T+2</w:t>
      </w:r>
      <w:r>
        <w:rPr>
          <w:rFonts w:ascii="宋体" w:hAnsi="宋体" w:hint="eastAsia"/>
          <w:bCs/>
          <w:sz w:val="24"/>
        </w:rPr>
        <w:t>日后</w:t>
      </w:r>
      <w:r>
        <w:rPr>
          <w:rFonts w:ascii="宋体" w:hAnsi="宋体"/>
          <w:bCs/>
          <w:sz w:val="24"/>
        </w:rPr>
        <w:t>(</w:t>
      </w:r>
      <w:r>
        <w:rPr>
          <w:rFonts w:ascii="宋体" w:hAnsi="宋体" w:hint="eastAsia"/>
          <w:bCs/>
          <w:sz w:val="24"/>
        </w:rPr>
        <w:t>包括该日</w:t>
      </w:r>
      <w:r>
        <w:rPr>
          <w:rFonts w:ascii="宋体" w:hAnsi="宋体"/>
          <w:bCs/>
          <w:sz w:val="24"/>
        </w:rPr>
        <w:t>)</w:t>
      </w:r>
      <w:r>
        <w:rPr>
          <w:rFonts w:ascii="宋体" w:hAnsi="宋体" w:hint="eastAsia"/>
          <w:bCs/>
          <w:sz w:val="24"/>
        </w:rPr>
        <w:t>及时到销售网点柜台或以销售机构规定的其他方式查询申请的确认情况。若申购不成立或</w:t>
      </w:r>
      <w:r>
        <w:rPr>
          <w:rFonts w:ascii="宋体" w:hAnsi="宋体"/>
          <w:bCs/>
          <w:sz w:val="24"/>
        </w:rPr>
        <w:t>无效</w:t>
      </w:r>
      <w:r>
        <w:rPr>
          <w:rFonts w:ascii="宋体" w:hAnsi="宋体" w:hint="eastAsia"/>
          <w:bCs/>
          <w:sz w:val="24"/>
        </w:rPr>
        <w:t>，则申购款项本金退还给投资人。如相关法律法规以及中国证监会另有规定，</w:t>
      </w:r>
      <w:r>
        <w:rPr>
          <w:rFonts w:ascii="宋体" w:hAnsi="宋体" w:hint="eastAsia"/>
          <w:bCs/>
          <w:sz w:val="24"/>
        </w:rPr>
        <w:lastRenderedPageBreak/>
        <w:t>则依规定执行。</w:t>
      </w:r>
    </w:p>
    <w:p w:rsidR="00562FFD" w:rsidRDefault="003317D3">
      <w:pPr>
        <w:spacing w:line="360" w:lineRule="auto"/>
        <w:ind w:firstLineChars="200" w:firstLine="480"/>
        <w:rPr>
          <w:rFonts w:ascii="宋体" w:hAnsi="宋体"/>
          <w:bCs/>
          <w:sz w:val="24"/>
        </w:rPr>
      </w:pPr>
      <w:r>
        <w:rPr>
          <w:rFonts w:ascii="宋体" w:hAnsi="宋体" w:hint="eastAsia"/>
          <w:bCs/>
          <w:sz w:val="24"/>
        </w:rPr>
        <w:t>销售机构对申购、赎回申请的受理并不代表申请一定成功，而仅代表销售机构确实接收到申请。申购、赎回的确认以登记机构的确认结果为准。对于申请的确认情况，投资者应及时查询。</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可在法律法规允许的范围内，在对基金份额持有人利益无实质性不利影响的前提下，依法对上述申购和赎回申请的确认时间进行调整，并必须在调整实施日前按照《信息披露办法》的有关规定在规定媒介上公告。</w:t>
      </w:r>
    </w:p>
    <w:p w:rsidR="00562FFD" w:rsidRDefault="003317D3">
      <w:pPr>
        <w:spacing w:line="360" w:lineRule="auto"/>
        <w:ind w:firstLineChars="200" w:firstLine="480"/>
        <w:rPr>
          <w:rFonts w:ascii="宋体" w:hAnsi="宋体"/>
          <w:bCs/>
          <w:sz w:val="24"/>
        </w:rPr>
      </w:pPr>
      <w:r>
        <w:rPr>
          <w:rFonts w:ascii="宋体" w:hAnsi="宋体" w:hint="eastAsia"/>
          <w:bCs/>
          <w:sz w:val="24"/>
        </w:rPr>
        <w:t>五、</w:t>
      </w:r>
      <w:r>
        <w:rPr>
          <w:rFonts w:ascii="宋体" w:hAnsi="宋体"/>
          <w:bCs/>
          <w:sz w:val="24"/>
        </w:rPr>
        <w:t>申购和赎回的数量限制</w:t>
      </w:r>
    </w:p>
    <w:p w:rsidR="00562FFD" w:rsidRDefault="003317D3">
      <w:pPr>
        <w:spacing w:line="360" w:lineRule="auto"/>
        <w:ind w:firstLine="420"/>
        <w:rPr>
          <w:rFonts w:ascii="宋体" w:hAnsi="宋体"/>
          <w:bCs/>
          <w:sz w:val="24"/>
        </w:rPr>
      </w:pPr>
      <w:r>
        <w:rPr>
          <w:rFonts w:ascii="宋体" w:hAnsi="宋体"/>
          <w:color w:val="000000"/>
          <w:sz w:val="24"/>
        </w:rPr>
        <w:t>1、</w:t>
      </w:r>
      <w:r>
        <w:rPr>
          <w:rFonts w:ascii="宋体" w:hAnsi="宋体" w:hint="eastAsia"/>
          <w:color w:val="000000"/>
          <w:sz w:val="24"/>
        </w:rPr>
        <w:t>基金管理人直销网点（不含网上交易）的首次单笔最低申购金额为人民币10,000.00元（含申购费、下同），追加申购的单笔最低认购金额为人民币1,000.00元。在其他销售机构及基金管理人网上交易的首次单笔最低申购金额为人民币10.00元，追加申购的单笔最低认购金额为人民币10.00元。各销售机构对最低申购限额及级差有其他规定的，以各销售机构的业务规定为准。</w:t>
      </w:r>
    </w:p>
    <w:p w:rsidR="00562FFD" w:rsidRDefault="003317D3">
      <w:pPr>
        <w:spacing w:line="360" w:lineRule="auto"/>
        <w:ind w:firstLine="420"/>
        <w:rPr>
          <w:rFonts w:ascii="宋体" w:hAnsi="宋体"/>
          <w:bCs/>
          <w:sz w:val="24"/>
        </w:rPr>
      </w:pPr>
      <w:r>
        <w:rPr>
          <w:rFonts w:ascii="宋体" w:hAnsi="宋体" w:hint="eastAsia"/>
          <w:bCs/>
          <w:sz w:val="24"/>
        </w:rPr>
        <w:t>2、基金份额持有人可以将其全部或部分基金份额赎回，单笔赎回份额不得少于</w:t>
      </w:r>
      <w:r>
        <w:rPr>
          <w:rFonts w:ascii="宋体" w:hAnsi="宋体"/>
          <w:bCs/>
          <w:sz w:val="24"/>
        </w:rPr>
        <w:t>10</w:t>
      </w:r>
      <w:r>
        <w:rPr>
          <w:rFonts w:ascii="宋体" w:hAnsi="宋体" w:hint="eastAsia"/>
          <w:bCs/>
          <w:sz w:val="24"/>
        </w:rPr>
        <w:t>份，某笔赎回导致基金份额持有人在某一销售机构全部交易账户的份额余额少于</w:t>
      </w:r>
      <w:r>
        <w:rPr>
          <w:rFonts w:ascii="宋体" w:hAnsi="宋体"/>
          <w:bCs/>
          <w:sz w:val="24"/>
        </w:rPr>
        <w:t>10</w:t>
      </w:r>
      <w:r>
        <w:rPr>
          <w:rFonts w:ascii="宋体" w:hAnsi="宋体" w:hint="eastAsia"/>
          <w:bCs/>
          <w:sz w:val="24"/>
        </w:rPr>
        <w:t>份的，基金管理人有权强制该基金份额持有人全部赎回其在该销售机构全部交易账户持有的基金份额。如因</w:t>
      </w:r>
      <w:proofErr w:type="gramStart"/>
      <w:r>
        <w:rPr>
          <w:rFonts w:ascii="宋体" w:hAnsi="宋体" w:hint="eastAsia"/>
          <w:bCs/>
          <w:sz w:val="24"/>
        </w:rPr>
        <w:t>分红再</w:t>
      </w:r>
      <w:proofErr w:type="gramEnd"/>
      <w:r>
        <w:rPr>
          <w:rFonts w:ascii="宋体" w:hAnsi="宋体" w:hint="eastAsia"/>
          <w:bCs/>
          <w:sz w:val="24"/>
        </w:rPr>
        <w:t>投资、</w:t>
      </w:r>
      <w:proofErr w:type="gramStart"/>
      <w:r>
        <w:rPr>
          <w:rFonts w:ascii="宋体" w:hAnsi="宋体" w:hint="eastAsia"/>
          <w:bCs/>
          <w:sz w:val="24"/>
        </w:rPr>
        <w:t>非交易</w:t>
      </w:r>
      <w:proofErr w:type="gramEnd"/>
      <w:r>
        <w:rPr>
          <w:rFonts w:ascii="宋体" w:hAnsi="宋体" w:hint="eastAsia"/>
          <w:bCs/>
          <w:sz w:val="24"/>
        </w:rPr>
        <w:t>过户、转托管、巨额赎回、基金转换等原因导致的账户余额少于</w:t>
      </w:r>
      <w:r>
        <w:rPr>
          <w:rFonts w:ascii="宋体" w:hAnsi="宋体"/>
          <w:bCs/>
          <w:sz w:val="24"/>
        </w:rPr>
        <w:t>10</w:t>
      </w:r>
      <w:r>
        <w:rPr>
          <w:rFonts w:ascii="宋体" w:hAnsi="宋体" w:hint="eastAsia"/>
          <w:bCs/>
          <w:sz w:val="24"/>
        </w:rPr>
        <w:t>份之情况，不受此限，但再次赎回时必须一次性全部赎回。</w:t>
      </w:r>
    </w:p>
    <w:p w:rsidR="00562FFD" w:rsidRDefault="003317D3">
      <w:pPr>
        <w:spacing w:line="360" w:lineRule="auto"/>
        <w:ind w:firstLineChars="200" w:firstLine="480"/>
        <w:rPr>
          <w:rFonts w:ascii="宋体" w:hAnsi="宋体"/>
          <w:bCs/>
          <w:sz w:val="24"/>
        </w:rPr>
      </w:pPr>
      <w:r>
        <w:rPr>
          <w:rFonts w:ascii="宋体" w:hAnsi="宋体" w:hint="eastAsia"/>
          <w:bCs/>
          <w:sz w:val="24"/>
        </w:rPr>
        <w:t>3、本基金目前对单个投资人累计持有份额不设上限限制，基金管理人可以规定单个投资者累计持有的基金份额上限，具体规定见更新的招募说明书或相关公告，但需符合法律法规、监管机构的规定和基金合同的约定。</w:t>
      </w:r>
    </w:p>
    <w:p w:rsidR="00562FFD" w:rsidRDefault="003317D3">
      <w:pPr>
        <w:spacing w:line="360" w:lineRule="auto"/>
        <w:ind w:firstLineChars="200" w:firstLine="480"/>
        <w:rPr>
          <w:rFonts w:ascii="宋体" w:hAnsi="宋体"/>
          <w:bCs/>
          <w:sz w:val="24"/>
        </w:rPr>
      </w:pPr>
      <w:r>
        <w:rPr>
          <w:rFonts w:ascii="宋体" w:hAnsi="宋体"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宋体" w:hAnsi="宋体" w:hint="eastAsia"/>
          <w:bCs/>
          <w:sz w:val="24"/>
        </w:rPr>
        <w:t>见基金</w:t>
      </w:r>
      <w:proofErr w:type="gramEnd"/>
      <w:r>
        <w:rPr>
          <w:rFonts w:ascii="宋体" w:hAnsi="宋体" w:hint="eastAsia"/>
          <w:bCs/>
          <w:sz w:val="24"/>
        </w:rPr>
        <w:t>管理人相关公告。</w:t>
      </w:r>
    </w:p>
    <w:p w:rsidR="00562FFD" w:rsidRDefault="003317D3">
      <w:pPr>
        <w:spacing w:line="360" w:lineRule="auto"/>
        <w:ind w:firstLineChars="200" w:firstLine="480"/>
        <w:rPr>
          <w:rFonts w:ascii="宋体" w:hAnsi="宋体"/>
          <w:bCs/>
          <w:sz w:val="24"/>
        </w:rPr>
      </w:pPr>
      <w:r>
        <w:rPr>
          <w:rFonts w:ascii="宋体" w:hAnsi="宋体" w:hint="eastAsia"/>
          <w:bCs/>
          <w:sz w:val="24"/>
        </w:rPr>
        <w:t>5、基金管理人可在法律法规允许的情况下，调整上述规定申购金额和赎回份额等数量限制。基金管理人必须在调整实施前依照《信息披露办法》的有关规</w:t>
      </w:r>
      <w:r>
        <w:rPr>
          <w:rFonts w:ascii="宋体" w:hAnsi="宋体" w:hint="eastAsia"/>
          <w:bCs/>
          <w:sz w:val="24"/>
        </w:rPr>
        <w:lastRenderedPageBreak/>
        <w:t>定在规定媒介上公告。</w:t>
      </w:r>
    </w:p>
    <w:p w:rsidR="00562FFD" w:rsidRDefault="003317D3">
      <w:pPr>
        <w:spacing w:line="360" w:lineRule="auto"/>
        <w:ind w:firstLine="465"/>
        <w:rPr>
          <w:rFonts w:ascii="宋体" w:hAnsi="宋体"/>
          <w:bCs/>
          <w:sz w:val="24"/>
        </w:rPr>
      </w:pPr>
      <w:r>
        <w:rPr>
          <w:rFonts w:ascii="宋体" w:hAnsi="宋体" w:hint="eastAsia"/>
          <w:bCs/>
          <w:sz w:val="24"/>
        </w:rPr>
        <w:t>六、</w:t>
      </w:r>
      <w:r>
        <w:rPr>
          <w:rFonts w:ascii="宋体" w:hAnsi="宋体"/>
          <w:bCs/>
          <w:sz w:val="24"/>
        </w:rPr>
        <w:t>申购和赎回的费用</w:t>
      </w:r>
    </w:p>
    <w:p w:rsidR="00562FFD" w:rsidRDefault="003317D3">
      <w:pPr>
        <w:pStyle w:val="32"/>
        <w:spacing w:after="0" w:line="360" w:lineRule="auto"/>
        <w:ind w:leftChars="0" w:left="0" w:firstLineChars="200" w:firstLine="480"/>
        <w:rPr>
          <w:rFonts w:ascii="宋体" w:hAnsi="宋体"/>
          <w:bCs/>
          <w:sz w:val="24"/>
          <w:szCs w:val="24"/>
        </w:rPr>
      </w:pPr>
      <w:r>
        <w:rPr>
          <w:rFonts w:ascii="宋体" w:hAnsi="宋体"/>
          <w:bCs/>
          <w:sz w:val="24"/>
          <w:szCs w:val="24"/>
        </w:rPr>
        <w:t>1、申购费用</w:t>
      </w:r>
    </w:p>
    <w:p w:rsidR="00562FFD" w:rsidRDefault="003317D3">
      <w:pPr>
        <w:spacing w:line="360" w:lineRule="auto"/>
        <w:ind w:firstLineChars="200" w:firstLine="480"/>
        <w:rPr>
          <w:rFonts w:ascii="宋体" w:hAnsi="宋体"/>
          <w:bCs/>
          <w:sz w:val="24"/>
        </w:rPr>
      </w:pPr>
      <w:r>
        <w:rPr>
          <w:rFonts w:ascii="宋体" w:hAnsi="宋体"/>
          <w:bCs/>
          <w:sz w:val="24"/>
        </w:rPr>
        <w:t xml:space="preserve">本基金A类基金份额在申购时收取基金申购费用；C类基金份额不收取申购费用。 </w:t>
      </w:r>
    </w:p>
    <w:p w:rsidR="00562FFD" w:rsidRDefault="003317D3">
      <w:pPr>
        <w:spacing w:line="360" w:lineRule="auto"/>
        <w:ind w:firstLineChars="200" w:firstLine="480"/>
        <w:rPr>
          <w:rFonts w:ascii="宋体" w:hAnsi="宋体"/>
          <w:bCs/>
          <w:sz w:val="24"/>
        </w:rPr>
      </w:pPr>
      <w:r>
        <w:rPr>
          <w:rFonts w:ascii="宋体" w:hAnsi="宋体" w:hint="eastAsia"/>
          <w:bCs/>
          <w:sz w:val="24"/>
        </w:rPr>
        <w:t>对于A类基金份额，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562FFD" w:rsidRDefault="003317D3">
      <w:pPr>
        <w:spacing w:line="360" w:lineRule="auto"/>
        <w:ind w:firstLineChars="200" w:firstLine="480"/>
        <w:rPr>
          <w:rFonts w:ascii="宋体" w:hAnsi="宋体"/>
          <w:bCs/>
          <w:sz w:val="24"/>
        </w:rPr>
      </w:pPr>
      <w:r>
        <w:rPr>
          <w:rFonts w:ascii="宋体" w:hAnsi="宋体" w:hint="eastAsia"/>
          <w:bCs/>
          <w:sz w:val="24"/>
        </w:rPr>
        <w:t>上述投资群体通过基金管理人的直销中心申购本基金A类基金份额的申购费率见下表：</w:t>
      </w:r>
    </w:p>
    <w:tbl>
      <w:tblPr>
        <w:tblStyle w:val="25"/>
        <w:tblW w:w="0" w:type="auto"/>
        <w:jc w:val="center"/>
        <w:tblLook w:val="04A0" w:firstRow="1" w:lastRow="0" w:firstColumn="1" w:lastColumn="0" w:noHBand="0" w:noVBand="1"/>
      </w:tblPr>
      <w:tblGrid>
        <w:gridCol w:w="2305"/>
        <w:gridCol w:w="3079"/>
      </w:tblGrid>
      <w:tr w:rsidR="00562FFD" w:rsidTr="003317D3">
        <w:trPr>
          <w:jc w:val="center"/>
        </w:trPr>
        <w:tc>
          <w:tcPr>
            <w:tcW w:w="2305" w:type="dxa"/>
            <w:vAlign w:val="center"/>
          </w:tcPr>
          <w:p w:rsidR="00562FFD" w:rsidRDefault="003317D3">
            <w:pPr>
              <w:autoSpaceDE w:val="0"/>
              <w:autoSpaceDN w:val="0"/>
              <w:adjustRightInd w:val="0"/>
              <w:jc w:val="center"/>
              <w:rPr>
                <w:rFonts w:cs="宋体"/>
                <w:b/>
                <w:sz w:val="24"/>
              </w:rPr>
            </w:pPr>
            <w:r>
              <w:rPr>
                <w:rFonts w:cs="宋体" w:hint="eastAsia"/>
                <w:b/>
                <w:sz w:val="24"/>
              </w:rPr>
              <w:t>申购金额（</w:t>
            </w:r>
            <w:r>
              <w:rPr>
                <w:b/>
                <w:sz w:val="24"/>
              </w:rPr>
              <w:t>M</w:t>
            </w:r>
            <w:r>
              <w:rPr>
                <w:rFonts w:cs="宋体" w:hint="eastAsia"/>
                <w:b/>
                <w:sz w:val="24"/>
              </w:rPr>
              <w:t>）</w:t>
            </w:r>
          </w:p>
        </w:tc>
        <w:tc>
          <w:tcPr>
            <w:tcW w:w="3079" w:type="dxa"/>
            <w:vAlign w:val="center"/>
          </w:tcPr>
          <w:p w:rsidR="00562FFD" w:rsidRDefault="003317D3">
            <w:pPr>
              <w:autoSpaceDE w:val="0"/>
              <w:autoSpaceDN w:val="0"/>
              <w:adjustRightInd w:val="0"/>
              <w:jc w:val="center"/>
              <w:rPr>
                <w:rFonts w:cs="宋体"/>
                <w:b/>
                <w:sz w:val="24"/>
              </w:rPr>
            </w:pPr>
            <w:r>
              <w:rPr>
                <w:rFonts w:cs="宋体" w:hint="eastAsia"/>
                <w:b/>
                <w:sz w:val="24"/>
              </w:rPr>
              <w:t>A类基金份额申购费率</w:t>
            </w:r>
          </w:p>
        </w:tc>
      </w:tr>
      <w:tr w:rsidR="00562FFD" w:rsidTr="003317D3">
        <w:trPr>
          <w:jc w:val="center"/>
        </w:trPr>
        <w:tc>
          <w:tcPr>
            <w:tcW w:w="2305" w:type="dxa"/>
            <w:vAlign w:val="center"/>
          </w:tcPr>
          <w:p w:rsidR="00562FFD" w:rsidRDefault="003317D3">
            <w:pPr>
              <w:autoSpaceDE w:val="0"/>
              <w:autoSpaceDN w:val="0"/>
              <w:adjustRightInd w:val="0"/>
              <w:jc w:val="center"/>
              <w:rPr>
                <w:rFonts w:cs="宋体"/>
                <w:sz w:val="24"/>
              </w:rPr>
            </w:pPr>
            <w:r>
              <w:rPr>
                <w:rFonts w:ascii="仿宋" w:eastAsia="仿宋" w:hAnsi="仿宋"/>
                <w:kern w:val="0"/>
                <w:sz w:val="24"/>
              </w:rPr>
              <w:t>M&lt;100万</w:t>
            </w:r>
          </w:p>
        </w:tc>
        <w:tc>
          <w:tcPr>
            <w:tcW w:w="3079"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0.1</w:t>
            </w:r>
            <w:r>
              <w:rPr>
                <w:rFonts w:ascii="仿宋" w:eastAsia="仿宋" w:hAnsi="仿宋"/>
                <w:kern w:val="0"/>
                <w:sz w:val="24"/>
              </w:rPr>
              <w:t>0%</w:t>
            </w:r>
          </w:p>
        </w:tc>
      </w:tr>
      <w:tr w:rsidR="00562FFD" w:rsidTr="003317D3">
        <w:trPr>
          <w:jc w:val="center"/>
        </w:trPr>
        <w:tc>
          <w:tcPr>
            <w:tcW w:w="2305" w:type="dxa"/>
            <w:vAlign w:val="center"/>
          </w:tcPr>
          <w:p w:rsidR="00562FFD" w:rsidRDefault="003317D3">
            <w:pPr>
              <w:autoSpaceDE w:val="0"/>
              <w:autoSpaceDN w:val="0"/>
              <w:adjustRightInd w:val="0"/>
              <w:jc w:val="center"/>
              <w:rPr>
                <w:rFonts w:cs="宋体"/>
                <w:sz w:val="24"/>
              </w:rPr>
            </w:pPr>
            <w:r>
              <w:rPr>
                <w:rFonts w:ascii="仿宋" w:eastAsia="仿宋" w:hAnsi="仿宋"/>
                <w:kern w:val="0"/>
                <w:sz w:val="24"/>
              </w:rPr>
              <w:t>100万≤M&lt;</w:t>
            </w:r>
            <w:r>
              <w:rPr>
                <w:rFonts w:ascii="仿宋" w:eastAsia="仿宋" w:hAnsi="仿宋" w:hint="eastAsia"/>
                <w:kern w:val="0"/>
                <w:sz w:val="24"/>
              </w:rPr>
              <w:t>5</w:t>
            </w:r>
            <w:r>
              <w:rPr>
                <w:rFonts w:ascii="仿宋" w:eastAsia="仿宋" w:hAnsi="仿宋"/>
                <w:kern w:val="0"/>
                <w:sz w:val="24"/>
              </w:rPr>
              <w:t>00万</w:t>
            </w:r>
          </w:p>
        </w:tc>
        <w:tc>
          <w:tcPr>
            <w:tcW w:w="3079"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0.06</w:t>
            </w:r>
            <w:r>
              <w:rPr>
                <w:rFonts w:ascii="仿宋" w:eastAsia="仿宋" w:hAnsi="仿宋"/>
                <w:kern w:val="0"/>
                <w:sz w:val="24"/>
              </w:rPr>
              <w:t>%</w:t>
            </w:r>
          </w:p>
        </w:tc>
      </w:tr>
      <w:tr w:rsidR="00562FFD" w:rsidTr="003317D3">
        <w:trPr>
          <w:jc w:val="center"/>
        </w:trPr>
        <w:tc>
          <w:tcPr>
            <w:tcW w:w="2305" w:type="dxa"/>
            <w:vAlign w:val="center"/>
          </w:tcPr>
          <w:p w:rsidR="00562FFD" w:rsidRDefault="003317D3">
            <w:pPr>
              <w:autoSpaceDE w:val="0"/>
              <w:autoSpaceDN w:val="0"/>
              <w:adjustRightInd w:val="0"/>
              <w:jc w:val="center"/>
              <w:rPr>
                <w:sz w:val="24"/>
              </w:rPr>
            </w:pPr>
            <w:r>
              <w:rPr>
                <w:rFonts w:ascii="仿宋" w:eastAsia="仿宋" w:hAnsi="仿宋"/>
                <w:kern w:val="0"/>
                <w:sz w:val="24"/>
              </w:rPr>
              <w:t>M≥500万</w:t>
            </w:r>
          </w:p>
        </w:tc>
        <w:tc>
          <w:tcPr>
            <w:tcW w:w="3079"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1</w:t>
            </w:r>
            <w:r>
              <w:rPr>
                <w:rFonts w:ascii="仿宋" w:eastAsia="仿宋" w:hAnsi="仿宋"/>
                <w:kern w:val="0"/>
                <w:sz w:val="24"/>
              </w:rPr>
              <w:t>,0</w:t>
            </w:r>
            <w:r>
              <w:rPr>
                <w:rFonts w:ascii="仿宋" w:eastAsia="仿宋" w:hAnsi="仿宋" w:hint="eastAsia"/>
                <w:kern w:val="0"/>
                <w:sz w:val="24"/>
              </w:rPr>
              <w:t>00元</w:t>
            </w:r>
            <w:r>
              <w:rPr>
                <w:rFonts w:ascii="仿宋" w:eastAsia="仿宋" w:hAnsi="仿宋"/>
                <w:kern w:val="0"/>
                <w:sz w:val="24"/>
              </w:rPr>
              <w:t>/笔</w:t>
            </w:r>
          </w:p>
        </w:tc>
      </w:tr>
    </w:tbl>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其他投资者申购本基金A类基金份额的申购费率见下表：</w:t>
      </w:r>
    </w:p>
    <w:tbl>
      <w:tblPr>
        <w:tblStyle w:val="25"/>
        <w:tblW w:w="0" w:type="auto"/>
        <w:jc w:val="center"/>
        <w:tblLook w:val="04A0" w:firstRow="1" w:lastRow="0" w:firstColumn="1" w:lastColumn="0" w:noHBand="0" w:noVBand="1"/>
      </w:tblPr>
      <w:tblGrid>
        <w:gridCol w:w="2305"/>
        <w:gridCol w:w="3079"/>
      </w:tblGrid>
      <w:tr w:rsidR="00562FFD">
        <w:trPr>
          <w:jc w:val="center"/>
        </w:trPr>
        <w:tc>
          <w:tcPr>
            <w:tcW w:w="2305" w:type="dxa"/>
            <w:vAlign w:val="center"/>
          </w:tcPr>
          <w:p w:rsidR="00562FFD" w:rsidRDefault="003317D3">
            <w:pPr>
              <w:autoSpaceDE w:val="0"/>
              <w:autoSpaceDN w:val="0"/>
              <w:adjustRightInd w:val="0"/>
              <w:jc w:val="center"/>
              <w:rPr>
                <w:rFonts w:cs="宋体"/>
                <w:b/>
                <w:sz w:val="24"/>
              </w:rPr>
            </w:pPr>
            <w:r>
              <w:rPr>
                <w:rFonts w:cs="宋体" w:hint="eastAsia"/>
                <w:b/>
                <w:sz w:val="24"/>
              </w:rPr>
              <w:t>申购金额（</w:t>
            </w:r>
            <w:r>
              <w:rPr>
                <w:b/>
                <w:sz w:val="24"/>
              </w:rPr>
              <w:t>M</w:t>
            </w:r>
            <w:r>
              <w:rPr>
                <w:rFonts w:cs="宋体" w:hint="eastAsia"/>
                <w:b/>
                <w:sz w:val="24"/>
              </w:rPr>
              <w:t>）</w:t>
            </w:r>
          </w:p>
        </w:tc>
        <w:tc>
          <w:tcPr>
            <w:tcW w:w="3079" w:type="dxa"/>
            <w:vAlign w:val="center"/>
          </w:tcPr>
          <w:p w:rsidR="00562FFD" w:rsidRDefault="003317D3">
            <w:pPr>
              <w:autoSpaceDE w:val="0"/>
              <w:autoSpaceDN w:val="0"/>
              <w:adjustRightInd w:val="0"/>
              <w:jc w:val="center"/>
              <w:rPr>
                <w:rFonts w:cs="宋体"/>
                <w:b/>
                <w:sz w:val="24"/>
              </w:rPr>
            </w:pPr>
            <w:r>
              <w:rPr>
                <w:rFonts w:cs="宋体" w:hint="eastAsia"/>
                <w:b/>
                <w:sz w:val="24"/>
              </w:rPr>
              <w:t>A类基金份额申购费率</w:t>
            </w:r>
          </w:p>
        </w:tc>
      </w:tr>
      <w:tr w:rsidR="00562FFD">
        <w:trPr>
          <w:jc w:val="center"/>
        </w:trPr>
        <w:tc>
          <w:tcPr>
            <w:tcW w:w="2305" w:type="dxa"/>
            <w:vAlign w:val="center"/>
          </w:tcPr>
          <w:p w:rsidR="00562FFD" w:rsidRDefault="003317D3">
            <w:pPr>
              <w:autoSpaceDE w:val="0"/>
              <w:autoSpaceDN w:val="0"/>
              <w:adjustRightInd w:val="0"/>
              <w:jc w:val="center"/>
              <w:rPr>
                <w:rFonts w:cs="宋体"/>
                <w:sz w:val="24"/>
              </w:rPr>
            </w:pPr>
            <w:r>
              <w:rPr>
                <w:rFonts w:ascii="仿宋" w:eastAsia="仿宋" w:hAnsi="仿宋"/>
                <w:kern w:val="0"/>
                <w:sz w:val="24"/>
              </w:rPr>
              <w:t>M&lt;100万</w:t>
            </w:r>
          </w:p>
        </w:tc>
        <w:tc>
          <w:tcPr>
            <w:tcW w:w="3079"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1.0</w:t>
            </w:r>
            <w:r>
              <w:rPr>
                <w:rFonts w:ascii="仿宋" w:eastAsia="仿宋" w:hAnsi="仿宋"/>
                <w:kern w:val="0"/>
                <w:sz w:val="24"/>
              </w:rPr>
              <w:t>0%</w:t>
            </w:r>
          </w:p>
        </w:tc>
      </w:tr>
      <w:tr w:rsidR="00562FFD">
        <w:trPr>
          <w:jc w:val="center"/>
        </w:trPr>
        <w:tc>
          <w:tcPr>
            <w:tcW w:w="2305" w:type="dxa"/>
            <w:vAlign w:val="center"/>
          </w:tcPr>
          <w:p w:rsidR="00562FFD" w:rsidRDefault="003317D3">
            <w:pPr>
              <w:autoSpaceDE w:val="0"/>
              <w:autoSpaceDN w:val="0"/>
              <w:adjustRightInd w:val="0"/>
              <w:jc w:val="center"/>
              <w:rPr>
                <w:rFonts w:cs="宋体"/>
                <w:sz w:val="24"/>
              </w:rPr>
            </w:pPr>
            <w:r>
              <w:rPr>
                <w:rFonts w:ascii="仿宋" w:eastAsia="仿宋" w:hAnsi="仿宋"/>
                <w:kern w:val="0"/>
                <w:sz w:val="24"/>
              </w:rPr>
              <w:t>100万≤M&lt;</w:t>
            </w:r>
            <w:r>
              <w:rPr>
                <w:rFonts w:ascii="仿宋" w:eastAsia="仿宋" w:hAnsi="仿宋" w:hint="eastAsia"/>
                <w:kern w:val="0"/>
                <w:sz w:val="24"/>
              </w:rPr>
              <w:t>5</w:t>
            </w:r>
            <w:r>
              <w:rPr>
                <w:rFonts w:ascii="仿宋" w:eastAsia="仿宋" w:hAnsi="仿宋"/>
                <w:kern w:val="0"/>
                <w:sz w:val="24"/>
              </w:rPr>
              <w:t>00万</w:t>
            </w:r>
          </w:p>
        </w:tc>
        <w:tc>
          <w:tcPr>
            <w:tcW w:w="3079"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0.60</w:t>
            </w:r>
            <w:r>
              <w:rPr>
                <w:rFonts w:ascii="仿宋" w:eastAsia="仿宋" w:hAnsi="仿宋"/>
                <w:kern w:val="0"/>
                <w:sz w:val="24"/>
              </w:rPr>
              <w:t>%</w:t>
            </w:r>
          </w:p>
        </w:tc>
      </w:tr>
      <w:tr w:rsidR="00562FFD">
        <w:trPr>
          <w:jc w:val="center"/>
        </w:trPr>
        <w:tc>
          <w:tcPr>
            <w:tcW w:w="2305" w:type="dxa"/>
            <w:vAlign w:val="center"/>
          </w:tcPr>
          <w:p w:rsidR="00562FFD" w:rsidRDefault="003317D3">
            <w:pPr>
              <w:autoSpaceDE w:val="0"/>
              <w:autoSpaceDN w:val="0"/>
              <w:adjustRightInd w:val="0"/>
              <w:jc w:val="center"/>
              <w:rPr>
                <w:sz w:val="24"/>
              </w:rPr>
            </w:pPr>
            <w:r>
              <w:rPr>
                <w:rFonts w:ascii="仿宋" w:eastAsia="仿宋" w:hAnsi="仿宋"/>
                <w:kern w:val="0"/>
                <w:sz w:val="24"/>
              </w:rPr>
              <w:t>M≥500万</w:t>
            </w:r>
          </w:p>
        </w:tc>
        <w:tc>
          <w:tcPr>
            <w:tcW w:w="3079"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1</w:t>
            </w:r>
            <w:r>
              <w:rPr>
                <w:rFonts w:ascii="仿宋" w:eastAsia="仿宋" w:hAnsi="仿宋"/>
                <w:kern w:val="0"/>
                <w:sz w:val="24"/>
              </w:rPr>
              <w:t>,</w:t>
            </w:r>
            <w:r>
              <w:rPr>
                <w:rFonts w:ascii="仿宋" w:eastAsia="仿宋" w:hAnsi="仿宋" w:hint="eastAsia"/>
                <w:kern w:val="0"/>
                <w:sz w:val="24"/>
              </w:rPr>
              <w:t>000元</w:t>
            </w:r>
            <w:r>
              <w:rPr>
                <w:rFonts w:ascii="仿宋" w:eastAsia="仿宋" w:hAnsi="仿宋"/>
                <w:kern w:val="0"/>
                <w:sz w:val="24"/>
              </w:rPr>
              <w:t>/笔</w:t>
            </w:r>
          </w:p>
        </w:tc>
      </w:tr>
    </w:tbl>
    <w:p w:rsidR="00562FFD" w:rsidRDefault="003317D3" w:rsidP="003317D3">
      <w:pPr>
        <w:pStyle w:val="32"/>
        <w:autoSpaceDE w:val="0"/>
        <w:autoSpaceDN w:val="0"/>
        <w:adjustRightInd w:val="0"/>
        <w:spacing w:after="0" w:line="360" w:lineRule="auto"/>
        <w:ind w:leftChars="0" w:left="0" w:firstLineChars="200" w:firstLine="480"/>
        <w:rPr>
          <w:rFonts w:ascii="宋体" w:hAnsi="宋体" w:cs="宋体-WinCharSetFFFF-H"/>
          <w:kern w:val="0"/>
          <w:sz w:val="24"/>
        </w:rPr>
      </w:pPr>
      <w:r>
        <w:rPr>
          <w:rFonts w:ascii="宋体" w:hAnsi="宋体" w:cs="宋体-WinCharSetFFFF-H" w:hint="eastAsia"/>
          <w:kern w:val="0"/>
          <w:sz w:val="24"/>
        </w:rPr>
        <w:t>同一</w:t>
      </w:r>
      <w:r>
        <w:rPr>
          <w:rFonts w:ascii="宋体" w:hAnsi="宋体" w:cs="宋体-WinCharSetFFFF-H"/>
          <w:kern w:val="0"/>
          <w:sz w:val="24"/>
        </w:rPr>
        <w:t>交易日</w:t>
      </w:r>
      <w:r>
        <w:rPr>
          <w:rFonts w:ascii="宋体" w:hAnsi="宋体" w:cs="宋体-WinCharSetFFFF-H" w:hint="eastAsia"/>
          <w:kern w:val="0"/>
          <w:sz w:val="24"/>
        </w:rPr>
        <w:t>投资人可以多次申购本基金，</w:t>
      </w:r>
      <w:r>
        <w:rPr>
          <w:rFonts w:ascii="宋体" w:hAnsi="宋体" w:cs="宋体-WinCharSetFFFF-H"/>
          <w:kern w:val="0"/>
          <w:sz w:val="24"/>
        </w:rPr>
        <w:t>A类基金份额</w:t>
      </w:r>
      <w:r>
        <w:rPr>
          <w:rFonts w:ascii="宋体" w:hAnsi="宋体" w:cs="宋体-WinCharSetFFFF-H" w:hint="eastAsia"/>
          <w:kern w:val="0"/>
          <w:sz w:val="24"/>
        </w:rPr>
        <w:t>的申购费率按每笔申购申请单独计算。</w:t>
      </w:r>
    </w:p>
    <w:p w:rsidR="00562FFD" w:rsidRDefault="003317D3">
      <w:pPr>
        <w:pStyle w:val="32"/>
        <w:spacing w:after="0" w:line="360" w:lineRule="auto"/>
        <w:ind w:leftChars="0" w:left="0" w:firstLineChars="200" w:firstLine="480"/>
        <w:rPr>
          <w:rFonts w:ascii="宋体" w:hAnsi="宋体"/>
          <w:bCs/>
          <w:sz w:val="24"/>
          <w:szCs w:val="24"/>
        </w:rPr>
      </w:pPr>
      <w:r>
        <w:rPr>
          <w:rFonts w:ascii="宋体" w:hAnsi="宋体"/>
          <w:bCs/>
          <w:sz w:val="24"/>
          <w:szCs w:val="24"/>
        </w:rPr>
        <w:t>2、赎回费用</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t>本基金</w:t>
      </w:r>
      <w:r>
        <w:rPr>
          <w:rFonts w:ascii="宋体" w:hAnsi="宋体" w:cs="宋体-WinCharSetFFFF-H"/>
          <w:kern w:val="0"/>
          <w:sz w:val="24"/>
        </w:rPr>
        <w:t>A类、C类基金份额均收取赎回费，适用不同的赎回费率。</w:t>
      </w:r>
      <w:r>
        <w:rPr>
          <w:rFonts w:ascii="宋体" w:hAnsi="宋体" w:cs="宋体-WinCharSetFFFF-H" w:hint="eastAsia"/>
          <w:kern w:val="0"/>
          <w:sz w:val="24"/>
        </w:rPr>
        <w:t>对于A类基金份额，本基金对持续持有期少于30天的投资人收取的赎回费，全额计入基金资产；对持续持有期不少于30天但少于90天的投资人收取的赎回费，75%计入基金资产；对持续持有期不少于90天但少于180天的投资人收取的赎回费，50%计入基金资产。对于C类基金份额，对持续持有期少于30天的投资人收取的赎回费全额计入基金财产。</w:t>
      </w:r>
    </w:p>
    <w:p w:rsidR="00562FFD" w:rsidRDefault="003317D3">
      <w:pPr>
        <w:autoSpaceDE w:val="0"/>
        <w:autoSpaceDN w:val="0"/>
        <w:adjustRightInd w:val="0"/>
        <w:spacing w:line="360" w:lineRule="auto"/>
        <w:ind w:firstLineChars="200" w:firstLine="480"/>
        <w:rPr>
          <w:rFonts w:ascii="宋体" w:hAnsi="宋体" w:cs="宋体-WinCharSetFFFF-H"/>
          <w:kern w:val="0"/>
          <w:sz w:val="24"/>
        </w:rPr>
      </w:pPr>
      <w:r>
        <w:rPr>
          <w:rFonts w:ascii="宋体" w:hAnsi="宋体" w:cs="宋体-WinCharSetFFFF-H" w:hint="eastAsia"/>
          <w:kern w:val="0"/>
          <w:sz w:val="24"/>
        </w:rPr>
        <w:lastRenderedPageBreak/>
        <w:t>本基金的赎回费率如下：</w:t>
      </w:r>
    </w:p>
    <w:tbl>
      <w:tblPr>
        <w:tblStyle w:val="25"/>
        <w:tblW w:w="0" w:type="auto"/>
        <w:jc w:val="center"/>
        <w:tblLook w:val="04A0" w:firstRow="1" w:lastRow="0" w:firstColumn="1" w:lastColumn="0" w:noHBand="0" w:noVBand="1"/>
      </w:tblPr>
      <w:tblGrid>
        <w:gridCol w:w="2385"/>
        <w:gridCol w:w="3046"/>
        <w:gridCol w:w="2865"/>
      </w:tblGrid>
      <w:tr w:rsidR="00562FFD">
        <w:trPr>
          <w:jc w:val="center"/>
        </w:trPr>
        <w:tc>
          <w:tcPr>
            <w:tcW w:w="2385" w:type="dxa"/>
            <w:vAlign w:val="center"/>
          </w:tcPr>
          <w:p w:rsidR="00562FFD" w:rsidRDefault="003317D3">
            <w:pPr>
              <w:autoSpaceDE w:val="0"/>
              <w:autoSpaceDN w:val="0"/>
              <w:adjustRightInd w:val="0"/>
              <w:jc w:val="center"/>
              <w:rPr>
                <w:rFonts w:cs="宋体"/>
                <w:b/>
                <w:sz w:val="24"/>
              </w:rPr>
            </w:pPr>
            <w:r>
              <w:rPr>
                <w:rFonts w:cs="宋体" w:hint="eastAsia"/>
                <w:b/>
                <w:sz w:val="24"/>
              </w:rPr>
              <w:t>持有时间（</w:t>
            </w:r>
            <w:r>
              <w:rPr>
                <w:b/>
                <w:sz w:val="24"/>
              </w:rPr>
              <w:t>Y</w:t>
            </w:r>
            <w:r>
              <w:rPr>
                <w:rFonts w:cs="宋体" w:hint="eastAsia"/>
                <w:b/>
                <w:sz w:val="24"/>
              </w:rPr>
              <w:t>）</w:t>
            </w:r>
          </w:p>
        </w:tc>
        <w:tc>
          <w:tcPr>
            <w:tcW w:w="3046" w:type="dxa"/>
            <w:vAlign w:val="center"/>
          </w:tcPr>
          <w:p w:rsidR="00562FFD" w:rsidRDefault="003317D3">
            <w:pPr>
              <w:autoSpaceDE w:val="0"/>
              <w:autoSpaceDN w:val="0"/>
              <w:adjustRightInd w:val="0"/>
              <w:jc w:val="center"/>
              <w:rPr>
                <w:rFonts w:cs="宋体"/>
                <w:b/>
                <w:sz w:val="24"/>
              </w:rPr>
            </w:pPr>
            <w:r>
              <w:rPr>
                <w:rFonts w:cs="宋体" w:hint="eastAsia"/>
                <w:b/>
                <w:sz w:val="24"/>
              </w:rPr>
              <w:t>A类基金份额赎回费率</w:t>
            </w:r>
          </w:p>
        </w:tc>
        <w:tc>
          <w:tcPr>
            <w:tcW w:w="2865" w:type="dxa"/>
          </w:tcPr>
          <w:p w:rsidR="00562FFD" w:rsidRDefault="003317D3">
            <w:pPr>
              <w:autoSpaceDE w:val="0"/>
              <w:autoSpaceDN w:val="0"/>
              <w:adjustRightInd w:val="0"/>
              <w:jc w:val="center"/>
              <w:rPr>
                <w:rFonts w:cs="宋体"/>
                <w:b/>
                <w:sz w:val="24"/>
              </w:rPr>
            </w:pPr>
            <w:r>
              <w:rPr>
                <w:rFonts w:cs="宋体"/>
                <w:b/>
                <w:sz w:val="24"/>
              </w:rPr>
              <w:t>C</w:t>
            </w:r>
            <w:r>
              <w:rPr>
                <w:rFonts w:cs="宋体" w:hint="eastAsia"/>
                <w:b/>
                <w:sz w:val="24"/>
              </w:rPr>
              <w:t>类基金份额赎回费率</w:t>
            </w:r>
          </w:p>
        </w:tc>
      </w:tr>
      <w:tr w:rsidR="00562FFD">
        <w:trPr>
          <w:jc w:val="center"/>
        </w:trPr>
        <w:tc>
          <w:tcPr>
            <w:tcW w:w="2385" w:type="dxa"/>
            <w:vAlign w:val="center"/>
          </w:tcPr>
          <w:p w:rsidR="00562FFD" w:rsidRDefault="003317D3">
            <w:pPr>
              <w:autoSpaceDE w:val="0"/>
              <w:autoSpaceDN w:val="0"/>
              <w:adjustRightInd w:val="0"/>
              <w:jc w:val="center"/>
              <w:rPr>
                <w:rFonts w:cs="宋体"/>
                <w:sz w:val="24"/>
              </w:rPr>
            </w:pPr>
            <w:r>
              <w:rPr>
                <w:rFonts w:ascii="仿宋" w:eastAsia="仿宋" w:hAnsi="仿宋"/>
                <w:kern w:val="0"/>
                <w:sz w:val="24"/>
              </w:rPr>
              <w:t>Y&lt;7</w:t>
            </w:r>
            <w:r>
              <w:rPr>
                <w:rFonts w:ascii="仿宋" w:eastAsia="仿宋" w:hAnsi="仿宋" w:hint="eastAsia"/>
                <w:kern w:val="0"/>
                <w:sz w:val="24"/>
              </w:rPr>
              <w:t>天</w:t>
            </w:r>
          </w:p>
        </w:tc>
        <w:tc>
          <w:tcPr>
            <w:tcW w:w="3046"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1.5</w:t>
            </w:r>
            <w:r>
              <w:rPr>
                <w:rFonts w:ascii="仿宋" w:eastAsia="仿宋" w:hAnsi="仿宋"/>
                <w:kern w:val="0"/>
                <w:sz w:val="24"/>
              </w:rPr>
              <w:t>0%</w:t>
            </w:r>
          </w:p>
        </w:tc>
        <w:tc>
          <w:tcPr>
            <w:tcW w:w="2865" w:type="dxa"/>
          </w:tcPr>
          <w:p w:rsidR="00562FFD" w:rsidRDefault="003317D3">
            <w:pPr>
              <w:autoSpaceDE w:val="0"/>
              <w:autoSpaceDN w:val="0"/>
              <w:adjustRightInd w:val="0"/>
              <w:jc w:val="center"/>
              <w:rPr>
                <w:rFonts w:ascii="仿宋" w:eastAsia="仿宋" w:hAnsi="仿宋"/>
                <w:kern w:val="0"/>
                <w:sz w:val="24"/>
              </w:rPr>
            </w:pPr>
            <w:r>
              <w:rPr>
                <w:rFonts w:ascii="仿宋" w:eastAsia="仿宋" w:hAnsi="仿宋" w:hint="eastAsia"/>
                <w:kern w:val="0"/>
                <w:sz w:val="24"/>
              </w:rPr>
              <w:t>1.5</w:t>
            </w:r>
            <w:r>
              <w:rPr>
                <w:rFonts w:ascii="仿宋" w:eastAsia="仿宋" w:hAnsi="仿宋"/>
                <w:kern w:val="0"/>
                <w:sz w:val="24"/>
              </w:rPr>
              <w:t>0%</w:t>
            </w:r>
          </w:p>
        </w:tc>
      </w:tr>
      <w:tr w:rsidR="00562FFD">
        <w:trPr>
          <w:jc w:val="center"/>
        </w:trPr>
        <w:tc>
          <w:tcPr>
            <w:tcW w:w="2385" w:type="dxa"/>
            <w:vAlign w:val="center"/>
          </w:tcPr>
          <w:p w:rsidR="00562FFD" w:rsidRDefault="003317D3">
            <w:pPr>
              <w:autoSpaceDE w:val="0"/>
              <w:autoSpaceDN w:val="0"/>
              <w:adjustRightInd w:val="0"/>
              <w:jc w:val="center"/>
              <w:rPr>
                <w:rFonts w:cs="宋体"/>
                <w:sz w:val="24"/>
              </w:rPr>
            </w:pPr>
            <w:r>
              <w:rPr>
                <w:rFonts w:ascii="仿宋" w:eastAsia="仿宋" w:hAnsi="仿宋"/>
                <w:kern w:val="0"/>
                <w:sz w:val="24"/>
              </w:rPr>
              <w:t>7</w:t>
            </w:r>
            <w:r>
              <w:rPr>
                <w:rFonts w:ascii="仿宋" w:eastAsia="仿宋" w:hAnsi="仿宋" w:hint="eastAsia"/>
                <w:kern w:val="0"/>
                <w:sz w:val="24"/>
              </w:rPr>
              <w:t>天</w:t>
            </w:r>
            <w:r>
              <w:rPr>
                <w:rFonts w:ascii="仿宋" w:eastAsia="仿宋" w:hAnsi="仿宋"/>
                <w:kern w:val="0"/>
                <w:sz w:val="24"/>
              </w:rPr>
              <w:t>≤Y&lt;</w:t>
            </w:r>
            <w:r>
              <w:rPr>
                <w:rFonts w:ascii="仿宋" w:eastAsia="仿宋" w:hAnsi="仿宋" w:hint="eastAsia"/>
                <w:kern w:val="0"/>
                <w:sz w:val="24"/>
              </w:rPr>
              <w:t>30天</w:t>
            </w:r>
          </w:p>
        </w:tc>
        <w:tc>
          <w:tcPr>
            <w:tcW w:w="3046"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1.0</w:t>
            </w:r>
            <w:r>
              <w:rPr>
                <w:rFonts w:ascii="仿宋" w:eastAsia="仿宋" w:hAnsi="仿宋"/>
                <w:kern w:val="0"/>
                <w:sz w:val="24"/>
              </w:rPr>
              <w:t>0%</w:t>
            </w:r>
          </w:p>
        </w:tc>
        <w:tc>
          <w:tcPr>
            <w:tcW w:w="2865" w:type="dxa"/>
          </w:tcPr>
          <w:p w:rsidR="00562FFD" w:rsidRDefault="003317D3">
            <w:pPr>
              <w:autoSpaceDE w:val="0"/>
              <w:autoSpaceDN w:val="0"/>
              <w:adjustRightInd w:val="0"/>
              <w:jc w:val="center"/>
              <w:rPr>
                <w:rFonts w:ascii="仿宋" w:eastAsia="仿宋" w:hAnsi="仿宋"/>
                <w:kern w:val="0"/>
                <w:sz w:val="24"/>
              </w:rPr>
            </w:pPr>
            <w:r>
              <w:rPr>
                <w:rFonts w:ascii="仿宋" w:eastAsia="仿宋" w:hAnsi="仿宋"/>
                <w:kern w:val="0"/>
                <w:sz w:val="24"/>
              </w:rPr>
              <w:t>0.50</w:t>
            </w:r>
            <w:r>
              <w:rPr>
                <w:rFonts w:ascii="仿宋" w:eastAsia="仿宋" w:hAnsi="仿宋" w:hint="eastAsia"/>
                <w:kern w:val="0"/>
                <w:sz w:val="24"/>
              </w:rPr>
              <w:t>%</w:t>
            </w:r>
          </w:p>
        </w:tc>
      </w:tr>
      <w:tr w:rsidR="00562FFD">
        <w:trPr>
          <w:jc w:val="center"/>
        </w:trPr>
        <w:tc>
          <w:tcPr>
            <w:tcW w:w="2385"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30天≤Y&lt;180天</w:t>
            </w:r>
          </w:p>
        </w:tc>
        <w:tc>
          <w:tcPr>
            <w:tcW w:w="3046" w:type="dxa"/>
            <w:vAlign w:val="center"/>
          </w:tcPr>
          <w:p w:rsidR="00562FFD" w:rsidRDefault="003317D3">
            <w:pPr>
              <w:autoSpaceDE w:val="0"/>
              <w:autoSpaceDN w:val="0"/>
              <w:adjustRightInd w:val="0"/>
              <w:jc w:val="center"/>
              <w:rPr>
                <w:sz w:val="24"/>
              </w:rPr>
            </w:pPr>
            <w:r>
              <w:rPr>
                <w:rFonts w:ascii="仿宋" w:eastAsia="仿宋" w:hAnsi="仿宋" w:hint="eastAsia"/>
                <w:kern w:val="0"/>
                <w:sz w:val="24"/>
              </w:rPr>
              <w:t>0.75%</w:t>
            </w:r>
          </w:p>
        </w:tc>
        <w:tc>
          <w:tcPr>
            <w:tcW w:w="2865" w:type="dxa"/>
          </w:tcPr>
          <w:p w:rsidR="00562FFD" w:rsidRDefault="003317D3">
            <w:pPr>
              <w:autoSpaceDE w:val="0"/>
              <w:autoSpaceDN w:val="0"/>
              <w:adjustRightInd w:val="0"/>
              <w:jc w:val="center"/>
              <w:rPr>
                <w:rFonts w:ascii="仿宋" w:eastAsia="仿宋" w:hAnsi="仿宋"/>
                <w:kern w:val="0"/>
                <w:sz w:val="24"/>
              </w:rPr>
            </w:pPr>
            <w:r>
              <w:rPr>
                <w:rFonts w:ascii="仿宋" w:eastAsia="仿宋" w:hAnsi="仿宋" w:hint="eastAsia"/>
                <w:kern w:val="0"/>
                <w:sz w:val="24"/>
              </w:rPr>
              <w:t>0</w:t>
            </w:r>
          </w:p>
        </w:tc>
      </w:tr>
      <w:tr w:rsidR="00562FFD">
        <w:trPr>
          <w:jc w:val="center"/>
        </w:trPr>
        <w:tc>
          <w:tcPr>
            <w:tcW w:w="2385" w:type="dxa"/>
            <w:vAlign w:val="center"/>
          </w:tcPr>
          <w:p w:rsidR="00562FFD" w:rsidRDefault="003317D3">
            <w:pPr>
              <w:autoSpaceDE w:val="0"/>
              <w:autoSpaceDN w:val="0"/>
              <w:adjustRightInd w:val="0"/>
              <w:jc w:val="center"/>
              <w:rPr>
                <w:rFonts w:ascii="仿宋" w:eastAsia="仿宋" w:hAnsi="仿宋"/>
                <w:kern w:val="0"/>
                <w:sz w:val="24"/>
              </w:rPr>
            </w:pPr>
            <w:r>
              <w:rPr>
                <w:rFonts w:ascii="仿宋" w:eastAsia="仿宋" w:hAnsi="仿宋"/>
                <w:kern w:val="0"/>
                <w:sz w:val="24"/>
              </w:rPr>
              <w:t>Y</w:t>
            </w:r>
            <w:r>
              <w:rPr>
                <w:rFonts w:ascii="仿宋" w:eastAsia="仿宋" w:hAnsi="仿宋" w:hint="eastAsia"/>
                <w:kern w:val="0"/>
                <w:sz w:val="24"/>
              </w:rPr>
              <w:t>≥180天</w:t>
            </w:r>
          </w:p>
        </w:tc>
        <w:tc>
          <w:tcPr>
            <w:tcW w:w="3046" w:type="dxa"/>
            <w:vAlign w:val="center"/>
          </w:tcPr>
          <w:p w:rsidR="00562FFD" w:rsidRDefault="003317D3">
            <w:pPr>
              <w:autoSpaceDE w:val="0"/>
              <w:autoSpaceDN w:val="0"/>
              <w:adjustRightInd w:val="0"/>
              <w:jc w:val="center"/>
              <w:rPr>
                <w:rFonts w:ascii="仿宋" w:eastAsia="仿宋" w:hAnsi="仿宋"/>
                <w:kern w:val="0"/>
                <w:sz w:val="24"/>
              </w:rPr>
            </w:pPr>
            <w:r>
              <w:rPr>
                <w:rFonts w:ascii="仿宋" w:eastAsia="仿宋" w:hAnsi="仿宋" w:hint="eastAsia"/>
                <w:kern w:val="0"/>
                <w:sz w:val="24"/>
              </w:rPr>
              <w:t>0</w:t>
            </w:r>
          </w:p>
        </w:tc>
        <w:tc>
          <w:tcPr>
            <w:tcW w:w="2865" w:type="dxa"/>
          </w:tcPr>
          <w:p w:rsidR="00562FFD" w:rsidRDefault="003317D3">
            <w:pPr>
              <w:autoSpaceDE w:val="0"/>
              <w:autoSpaceDN w:val="0"/>
              <w:adjustRightInd w:val="0"/>
              <w:jc w:val="center"/>
              <w:rPr>
                <w:rFonts w:ascii="仿宋" w:eastAsia="仿宋" w:hAnsi="仿宋"/>
                <w:kern w:val="0"/>
                <w:sz w:val="24"/>
              </w:rPr>
            </w:pPr>
            <w:r>
              <w:rPr>
                <w:rFonts w:ascii="仿宋" w:eastAsia="仿宋" w:hAnsi="仿宋" w:hint="eastAsia"/>
                <w:kern w:val="0"/>
                <w:sz w:val="24"/>
              </w:rPr>
              <w:t>0</w:t>
            </w:r>
          </w:p>
        </w:tc>
      </w:tr>
    </w:tbl>
    <w:p w:rsidR="00562FFD" w:rsidRDefault="003317D3">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基金管理人可以在基金合同约定的范围内调整费率或收费方式，并最迟应于新的费率或收费方式实施日前依照《信息披露办法》的有关规定在规定媒介上公告。</w:t>
      </w:r>
    </w:p>
    <w:p w:rsidR="00562FFD" w:rsidRDefault="003317D3">
      <w:pPr>
        <w:spacing w:line="360" w:lineRule="auto"/>
        <w:ind w:firstLineChars="200" w:firstLine="480"/>
        <w:rPr>
          <w:rFonts w:ascii="宋体" w:hAnsi="宋体"/>
          <w:bCs/>
          <w:sz w:val="24"/>
        </w:rPr>
      </w:pPr>
      <w:r>
        <w:rPr>
          <w:rFonts w:ascii="宋体" w:hAnsi="宋体"/>
          <w:sz w:val="24"/>
        </w:rPr>
        <w:t>4、</w:t>
      </w:r>
      <w:r>
        <w:rPr>
          <w:rFonts w:ascii="宋体" w:hAnsi="宋体" w:hint="eastAsia"/>
          <w:sz w:val="24"/>
        </w:rPr>
        <w:t>当本基金发生大额申购或赎回情形时，基金管理人可以采用摆动定价机制，以确保基金估值的公平性。具体处理原则与操作规范遵循相关法律法规以及监管部门、自律规则的规定。</w:t>
      </w:r>
    </w:p>
    <w:p w:rsidR="00562FFD" w:rsidRDefault="003317D3">
      <w:pPr>
        <w:spacing w:line="360" w:lineRule="auto"/>
        <w:ind w:firstLineChars="200" w:firstLine="480"/>
        <w:rPr>
          <w:rFonts w:ascii="宋体" w:hAnsi="宋体"/>
          <w:sz w:val="24"/>
        </w:rPr>
      </w:pPr>
      <w:r>
        <w:rPr>
          <w:rFonts w:ascii="宋体" w:hAnsi="宋体"/>
          <w:bCs/>
          <w:sz w:val="24"/>
        </w:rPr>
        <w:t>5</w:t>
      </w:r>
      <w:r>
        <w:rPr>
          <w:rFonts w:ascii="宋体" w:hAnsi="宋体" w:hint="eastAsia"/>
          <w:bCs/>
          <w:sz w:val="24"/>
        </w:rPr>
        <w:t>、</w:t>
      </w:r>
      <w:r>
        <w:rPr>
          <w:rFonts w:ascii="宋体" w:hAnsi="宋体" w:hint="eastAsia"/>
          <w:sz w:val="24"/>
        </w:rPr>
        <w:t>基金管理人可以在不违反法律法规规定及基金合同约定，</w:t>
      </w:r>
      <w:r>
        <w:rPr>
          <w:rFonts w:ascii="宋体" w:hAnsi="宋体"/>
          <w:sz w:val="24"/>
        </w:rPr>
        <w:t>并在</w:t>
      </w:r>
      <w:r>
        <w:rPr>
          <w:rFonts w:ascii="宋体" w:hAnsi="宋体" w:hint="eastAsia"/>
          <w:sz w:val="24"/>
        </w:rPr>
        <w:t>不</w:t>
      </w:r>
      <w:r>
        <w:rPr>
          <w:rFonts w:ascii="宋体" w:hAnsi="宋体"/>
          <w:sz w:val="24"/>
        </w:rPr>
        <w:t>对基金份额持有人权益产生实质性不利</w:t>
      </w:r>
      <w:r>
        <w:rPr>
          <w:rFonts w:ascii="宋体" w:hAnsi="宋体" w:hint="eastAsia"/>
          <w:sz w:val="24"/>
        </w:rPr>
        <w:t>影响的情形下根据市场情况制定基金促销计划，定期或不定期地开展基金促销活动。在基金促销活动期间，按相关监管部门要求履行必要手续后，基金管理人可以适当调低基金申购费率、赎回费率或销售服务费率。</w:t>
      </w:r>
    </w:p>
    <w:p w:rsidR="00562FFD" w:rsidRDefault="003317D3">
      <w:pPr>
        <w:spacing w:line="360" w:lineRule="auto"/>
        <w:ind w:firstLineChars="200" w:firstLine="480"/>
        <w:rPr>
          <w:rFonts w:ascii="宋体" w:hAnsi="宋体"/>
          <w:sz w:val="24"/>
        </w:rPr>
      </w:pPr>
      <w:r>
        <w:rPr>
          <w:rFonts w:ascii="宋体" w:hAnsi="宋体" w:hint="eastAsia"/>
          <w:sz w:val="24"/>
        </w:rPr>
        <w:t>七、申购份额与赎回金额的计算</w:t>
      </w:r>
    </w:p>
    <w:p w:rsidR="00562FFD" w:rsidRDefault="003317D3">
      <w:pPr>
        <w:spacing w:line="360" w:lineRule="auto"/>
        <w:ind w:firstLineChars="200" w:firstLine="480"/>
        <w:rPr>
          <w:rFonts w:ascii="宋体" w:hAnsi="宋体"/>
          <w:color w:val="0D0D0D"/>
          <w:kern w:val="0"/>
          <w:sz w:val="24"/>
        </w:rPr>
      </w:pPr>
      <w:r>
        <w:rPr>
          <w:rFonts w:ascii="宋体" w:hAnsi="宋体" w:hint="eastAsia"/>
          <w:color w:val="0D0D0D"/>
          <w:kern w:val="0"/>
          <w:sz w:val="24"/>
        </w:rPr>
        <w:t xml:space="preserve">1、申购份额的计算方式 </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w:t>
      </w:r>
      <w:r>
        <w:rPr>
          <w:rFonts w:ascii="宋体" w:hAnsi="宋体"/>
          <w:color w:val="0D0D0D"/>
          <w:kern w:val="0"/>
          <w:sz w:val="24"/>
        </w:rPr>
        <w:t>1）</w:t>
      </w:r>
      <w:r>
        <w:rPr>
          <w:rFonts w:ascii="宋体" w:hAnsi="宋体" w:hint="eastAsia"/>
          <w:color w:val="0D0D0D"/>
          <w:kern w:val="0"/>
          <w:sz w:val="24"/>
        </w:rPr>
        <w:t>申购</w:t>
      </w:r>
      <w:r>
        <w:rPr>
          <w:rFonts w:ascii="宋体" w:hAnsi="宋体"/>
          <w:color w:val="0D0D0D"/>
          <w:kern w:val="0"/>
          <w:sz w:val="24"/>
        </w:rPr>
        <w:t>A类基金份额</w:t>
      </w:r>
      <w:r>
        <w:rPr>
          <w:rFonts w:ascii="宋体" w:hAnsi="宋体" w:hint="eastAsia"/>
          <w:color w:val="0D0D0D"/>
          <w:kern w:val="0"/>
          <w:sz w:val="24"/>
        </w:rPr>
        <w:t>的计算公式为：</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1）申购费用适用比例费率时：</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净申购金额＝申购金额</w:t>
      </w:r>
      <w:r>
        <w:rPr>
          <w:rFonts w:ascii="宋体" w:hAnsi="宋体"/>
          <w:color w:val="0D0D0D"/>
          <w:kern w:val="0"/>
          <w:sz w:val="24"/>
        </w:rPr>
        <w:t>/（1＋申购费率）</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申购费用＝申购金额－净申购金额</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申购份额＝净申购金额</w:t>
      </w:r>
      <w:r>
        <w:rPr>
          <w:rFonts w:ascii="宋体" w:hAnsi="宋体"/>
          <w:color w:val="0D0D0D"/>
          <w:kern w:val="0"/>
          <w:sz w:val="24"/>
        </w:rPr>
        <w:t>/申购当日</w:t>
      </w:r>
      <w:r>
        <w:rPr>
          <w:rFonts w:ascii="宋体" w:hAnsi="宋体" w:hint="eastAsia"/>
          <w:color w:val="0D0D0D"/>
          <w:kern w:val="0"/>
          <w:sz w:val="24"/>
        </w:rPr>
        <w:t>A类</w:t>
      </w:r>
      <w:r>
        <w:rPr>
          <w:rFonts w:ascii="宋体" w:hAnsi="宋体"/>
          <w:color w:val="0D0D0D"/>
          <w:kern w:val="0"/>
          <w:sz w:val="24"/>
        </w:rPr>
        <w:t>基金份额净值</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2）申购费用适用固定金额时：</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申购费用＝固定金额</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净申购金额＝申购金额－申购费用</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申购份额＝净申购金额</w:t>
      </w:r>
      <w:r>
        <w:rPr>
          <w:rFonts w:ascii="宋体" w:hAnsi="宋体"/>
          <w:color w:val="0D0D0D"/>
          <w:kern w:val="0"/>
          <w:sz w:val="24"/>
        </w:rPr>
        <w:t>/申购当日</w:t>
      </w:r>
      <w:r>
        <w:rPr>
          <w:rFonts w:ascii="宋体" w:hAnsi="宋体" w:hint="eastAsia"/>
          <w:color w:val="0D0D0D"/>
          <w:kern w:val="0"/>
          <w:sz w:val="24"/>
        </w:rPr>
        <w:t>A类</w:t>
      </w:r>
      <w:r>
        <w:rPr>
          <w:rFonts w:ascii="宋体" w:hAnsi="宋体"/>
          <w:color w:val="0D0D0D"/>
          <w:kern w:val="0"/>
          <w:sz w:val="24"/>
        </w:rPr>
        <w:t>基金份额净值</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申购份额的计算结果均按照四舍五入方法，保留到小数点后两位，由此产生的收益或损失由基金财产承担。</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w:t>
      </w:r>
      <w:r>
        <w:rPr>
          <w:rFonts w:ascii="宋体" w:hAnsi="宋体"/>
          <w:color w:val="0D0D0D"/>
          <w:kern w:val="0"/>
          <w:sz w:val="24"/>
        </w:rPr>
        <w:t>2）</w:t>
      </w:r>
      <w:r>
        <w:rPr>
          <w:rFonts w:ascii="宋体" w:hAnsi="宋体" w:hint="eastAsia"/>
          <w:color w:val="0D0D0D"/>
          <w:kern w:val="0"/>
          <w:sz w:val="24"/>
        </w:rPr>
        <w:t xml:space="preserve">申购C类基金份额的计算公式为： </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lastRenderedPageBreak/>
        <w:t>如果投资人选择申购C类基金份额，则申购份额的计算方法如下：</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申购份额=申购金额/申购当日C类基金份额净值</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（3）</w:t>
      </w:r>
      <w:r>
        <w:rPr>
          <w:rFonts w:ascii="宋体" w:hAnsi="宋体"/>
          <w:color w:val="0D0D0D"/>
          <w:kern w:val="0"/>
          <w:sz w:val="24"/>
        </w:rPr>
        <w:t>申购的有效份额单位为份，上述计算结果均以四舍五入方式保留到小数点后两位，由此产生的收益或损失由基金财产承担。</w:t>
      </w:r>
    </w:p>
    <w:p w:rsidR="00562FFD" w:rsidRDefault="003317D3">
      <w:pPr>
        <w:spacing w:line="360" w:lineRule="auto"/>
        <w:ind w:firstLineChars="200" w:firstLine="480"/>
        <w:jc w:val="left"/>
        <w:rPr>
          <w:rFonts w:ascii="宋体" w:hAnsi="宋体"/>
          <w:color w:val="000000"/>
          <w:sz w:val="24"/>
        </w:rPr>
      </w:pPr>
      <w:r>
        <w:rPr>
          <w:rFonts w:ascii="宋体" w:hAnsi="宋体" w:hint="eastAsia"/>
          <w:color w:val="0D0D0D"/>
          <w:kern w:val="0"/>
          <w:sz w:val="24"/>
        </w:rPr>
        <w:t>例</w:t>
      </w:r>
      <w:r>
        <w:rPr>
          <w:rFonts w:ascii="宋体" w:hAnsi="宋体"/>
          <w:color w:val="0D0D0D"/>
          <w:kern w:val="0"/>
          <w:sz w:val="24"/>
        </w:rPr>
        <w:t>4</w:t>
      </w:r>
      <w:r>
        <w:rPr>
          <w:rFonts w:ascii="宋体" w:hAnsi="宋体" w:hint="eastAsia"/>
          <w:color w:val="0D0D0D"/>
          <w:kern w:val="0"/>
          <w:sz w:val="24"/>
        </w:rPr>
        <w:t>：假设某投资者（其他投资者）投资10万元申购本基金</w:t>
      </w:r>
      <w:r>
        <w:rPr>
          <w:rFonts w:ascii="宋体" w:hAnsi="宋体"/>
          <w:color w:val="0D0D0D"/>
          <w:kern w:val="0"/>
          <w:sz w:val="24"/>
        </w:rPr>
        <w:t>A</w:t>
      </w:r>
      <w:r>
        <w:rPr>
          <w:rFonts w:ascii="宋体" w:hAnsi="宋体" w:hint="eastAsia"/>
          <w:color w:val="0D0D0D"/>
          <w:kern w:val="0"/>
          <w:sz w:val="24"/>
        </w:rPr>
        <w:t>类基金份额，假设申购当日本基金</w:t>
      </w:r>
      <w:r>
        <w:rPr>
          <w:rFonts w:ascii="宋体" w:hAnsi="宋体"/>
          <w:color w:val="0D0D0D"/>
          <w:kern w:val="0"/>
          <w:sz w:val="24"/>
        </w:rPr>
        <w:t>A</w:t>
      </w:r>
      <w:r>
        <w:rPr>
          <w:rFonts w:ascii="宋体" w:hAnsi="宋体" w:hint="eastAsia"/>
          <w:color w:val="0D0D0D"/>
          <w:kern w:val="0"/>
          <w:sz w:val="24"/>
        </w:rPr>
        <w:t>类基金份额净值为1.0160元，则可得到的</w:t>
      </w:r>
      <w:r>
        <w:rPr>
          <w:rFonts w:ascii="宋体" w:hAnsi="宋体"/>
          <w:color w:val="0D0D0D"/>
          <w:kern w:val="0"/>
          <w:sz w:val="24"/>
        </w:rPr>
        <w:t>A</w:t>
      </w:r>
      <w:r>
        <w:rPr>
          <w:rFonts w:ascii="宋体" w:hAnsi="宋体" w:hint="eastAsia"/>
          <w:color w:val="0D0D0D"/>
          <w:kern w:val="0"/>
          <w:sz w:val="24"/>
        </w:rPr>
        <w:t>类基金份额为：</w:t>
      </w:r>
      <w:r>
        <w:rPr>
          <w:rFonts w:ascii="宋体" w:hAnsi="宋体" w:hint="eastAsia"/>
          <w:bCs/>
          <w:color w:val="0D0D0D"/>
          <w:sz w:val="24"/>
        </w:rPr>
        <w:t xml:space="preserve"> </w:t>
      </w:r>
      <w:r>
        <w:rPr>
          <w:rFonts w:ascii="宋体" w:hAnsi="宋体"/>
          <w:bCs/>
          <w:color w:val="0D0D0D"/>
          <w:sz w:val="24"/>
        </w:rPr>
        <w:cr/>
      </w:r>
      <w:r>
        <w:rPr>
          <w:rFonts w:ascii="宋体" w:hAnsi="宋体"/>
          <w:color w:val="000000"/>
          <w:sz w:val="24"/>
        </w:rPr>
        <w:t xml:space="preserve">    净申购金额＝100,000/(1＋</w:t>
      </w:r>
      <w:r>
        <w:rPr>
          <w:rFonts w:ascii="仿宋" w:eastAsia="仿宋" w:hAnsi="仿宋" w:hint="eastAsia"/>
          <w:color w:val="000000"/>
          <w:kern w:val="0"/>
          <w:sz w:val="24"/>
        </w:rPr>
        <w:t>1.00</w:t>
      </w:r>
      <w:r>
        <w:rPr>
          <w:rFonts w:ascii="仿宋" w:eastAsia="仿宋" w:hAnsi="仿宋"/>
          <w:color w:val="000000"/>
          <w:kern w:val="0"/>
          <w:sz w:val="24"/>
        </w:rPr>
        <w:t>%</w:t>
      </w:r>
      <w:r>
        <w:rPr>
          <w:rFonts w:ascii="宋体" w:hAnsi="宋体"/>
          <w:color w:val="000000"/>
          <w:sz w:val="24"/>
        </w:rPr>
        <w:t>)＝99,009.90元</w:t>
      </w:r>
      <w:r>
        <w:rPr>
          <w:rFonts w:ascii="宋体" w:hAnsi="宋体"/>
          <w:color w:val="000000"/>
          <w:sz w:val="24"/>
        </w:rPr>
        <w:cr/>
        <w:t xml:space="preserve">    申购费用＝100,000－99,009.90＝990.10元</w:t>
      </w:r>
      <w:r>
        <w:rPr>
          <w:rFonts w:ascii="宋体" w:hAnsi="宋体"/>
          <w:color w:val="000000"/>
          <w:sz w:val="24"/>
        </w:rPr>
        <w:cr/>
        <w:t xml:space="preserve">    申购份额＝99,009.90/1.0160＝97,450.69份</w:t>
      </w:r>
      <w:r>
        <w:rPr>
          <w:rFonts w:ascii="宋体" w:hAnsi="宋体"/>
          <w:color w:val="000000"/>
          <w:sz w:val="24"/>
        </w:rPr>
        <w:cr/>
        <w:t xml:space="preserve">    即：投资者（</w:t>
      </w:r>
      <w:r>
        <w:rPr>
          <w:rFonts w:ascii="宋体" w:hAnsi="宋体" w:hint="eastAsia"/>
          <w:color w:val="000000"/>
          <w:sz w:val="24"/>
        </w:rPr>
        <w:t>其他投资者</w:t>
      </w:r>
      <w:r>
        <w:rPr>
          <w:rFonts w:ascii="宋体" w:hAnsi="宋体"/>
          <w:color w:val="000000"/>
          <w:sz w:val="24"/>
        </w:rPr>
        <w:t>）投资10万元申购本基金</w:t>
      </w:r>
      <w:r>
        <w:rPr>
          <w:rFonts w:ascii="宋体" w:hAnsi="宋体" w:hint="eastAsia"/>
          <w:bCs/>
          <w:color w:val="0D0D0D"/>
          <w:sz w:val="24"/>
        </w:rPr>
        <w:t>A类</w:t>
      </w:r>
      <w:r>
        <w:rPr>
          <w:rFonts w:ascii="宋体" w:hAnsi="宋体"/>
          <w:color w:val="000000"/>
          <w:sz w:val="24"/>
        </w:rPr>
        <w:t>基金份额，假定申购当日基金份额净值为1.0160元，可得到97,450.69</w:t>
      </w:r>
      <w:r>
        <w:rPr>
          <w:rFonts w:ascii="MS Gothic" w:eastAsia="MS Gothic" w:hAnsi="MS Gothic" w:cs="MS Gothic" w:hint="eastAsia"/>
          <w:color w:val="000000"/>
          <w:sz w:val="24"/>
        </w:rPr>
        <w:t>‬</w:t>
      </w:r>
      <w:r>
        <w:rPr>
          <w:rFonts w:ascii="宋体" w:hAnsi="宋体"/>
          <w:color w:val="000000"/>
          <w:sz w:val="24"/>
        </w:rPr>
        <w:t>份基金份额。</w:t>
      </w:r>
    </w:p>
    <w:p w:rsidR="00562FFD" w:rsidRDefault="003317D3">
      <w:pPr>
        <w:spacing w:line="360" w:lineRule="auto"/>
        <w:ind w:firstLineChars="200" w:firstLine="480"/>
        <w:jc w:val="left"/>
        <w:rPr>
          <w:rFonts w:ascii="宋体" w:hAnsi="宋体"/>
          <w:color w:val="000000"/>
          <w:sz w:val="24"/>
        </w:rPr>
      </w:pPr>
      <w:r>
        <w:rPr>
          <w:rFonts w:ascii="宋体" w:hAnsi="宋体" w:hint="eastAsia"/>
          <w:color w:val="000000"/>
          <w:sz w:val="24"/>
        </w:rPr>
        <w:t>例5：某投资者（养老金客户）通过本管理人的直销中心投资100,000元申购本基金A类基金份额，申购费率为0.10%，假设申购当日A类基金份额的基金份额净值为1.0400元，则其可得到A类基金份额的申购份额为：</w:t>
      </w:r>
    </w:p>
    <w:p w:rsidR="00562FFD" w:rsidRPr="00994BFF" w:rsidRDefault="003317D3">
      <w:pPr>
        <w:spacing w:line="360" w:lineRule="auto"/>
        <w:ind w:firstLineChars="200" w:firstLine="480"/>
        <w:jc w:val="left"/>
        <w:rPr>
          <w:rFonts w:ascii="宋体" w:hAnsi="宋体"/>
          <w:bCs/>
          <w:color w:val="000000"/>
          <w:sz w:val="24"/>
        </w:rPr>
      </w:pPr>
      <w:r w:rsidRPr="00994BFF">
        <w:rPr>
          <w:rFonts w:ascii="宋体" w:hAnsi="宋体" w:hint="eastAsia"/>
          <w:bCs/>
          <w:color w:val="000000"/>
          <w:sz w:val="24"/>
        </w:rPr>
        <w:t>净申购金额</w:t>
      </w:r>
      <w:r w:rsidRPr="00994BFF">
        <w:rPr>
          <w:rFonts w:ascii="宋体" w:hAnsi="宋体"/>
          <w:bCs/>
          <w:color w:val="000000"/>
          <w:sz w:val="24"/>
        </w:rPr>
        <w:t>=100,000/（1+0.10%）=99,900.10</w:t>
      </w:r>
      <w:r w:rsidRPr="00994BFF">
        <w:rPr>
          <w:rFonts w:ascii="宋体" w:hAnsi="宋体" w:hint="eastAsia"/>
          <w:bCs/>
          <w:color w:val="000000"/>
          <w:sz w:val="24"/>
        </w:rPr>
        <w:t>元</w:t>
      </w:r>
    </w:p>
    <w:p w:rsidR="00562FFD" w:rsidRPr="00994BFF" w:rsidRDefault="003317D3">
      <w:pPr>
        <w:spacing w:line="360" w:lineRule="auto"/>
        <w:ind w:firstLineChars="200" w:firstLine="480"/>
        <w:jc w:val="left"/>
        <w:rPr>
          <w:rFonts w:ascii="宋体" w:hAnsi="宋体"/>
          <w:bCs/>
          <w:color w:val="000000"/>
          <w:sz w:val="24"/>
        </w:rPr>
      </w:pPr>
      <w:r w:rsidRPr="00994BFF">
        <w:rPr>
          <w:rFonts w:ascii="宋体" w:hAnsi="宋体" w:hint="eastAsia"/>
          <w:bCs/>
          <w:color w:val="000000"/>
          <w:sz w:val="24"/>
        </w:rPr>
        <w:t>申购费用</w:t>
      </w:r>
      <w:r w:rsidRPr="00994BFF">
        <w:rPr>
          <w:rFonts w:ascii="宋体" w:hAnsi="宋体"/>
          <w:bCs/>
          <w:color w:val="000000"/>
          <w:sz w:val="24"/>
        </w:rPr>
        <w:t>=100,000-99,900.10=99.90</w:t>
      </w:r>
      <w:r w:rsidRPr="00994BFF">
        <w:rPr>
          <w:rFonts w:ascii="宋体" w:hAnsi="宋体" w:hint="eastAsia"/>
          <w:bCs/>
          <w:color w:val="000000"/>
          <w:sz w:val="24"/>
        </w:rPr>
        <w:t>元</w:t>
      </w:r>
    </w:p>
    <w:p w:rsidR="00562FFD" w:rsidRPr="00994BFF" w:rsidRDefault="003317D3">
      <w:pPr>
        <w:spacing w:line="360" w:lineRule="auto"/>
        <w:ind w:firstLineChars="200" w:firstLine="480"/>
        <w:jc w:val="left"/>
        <w:rPr>
          <w:rFonts w:ascii="宋体" w:hAnsi="宋体"/>
          <w:bCs/>
          <w:color w:val="000000"/>
          <w:sz w:val="24"/>
        </w:rPr>
      </w:pPr>
      <w:r w:rsidRPr="003317D3">
        <w:rPr>
          <w:rFonts w:ascii="宋体" w:hAnsi="宋体" w:hint="eastAsia"/>
          <w:bCs/>
          <w:color w:val="0D0D0D"/>
          <w:sz w:val="24"/>
          <w:szCs w:val="18"/>
        </w:rPr>
        <w:t>申购份额</w:t>
      </w:r>
      <w:r w:rsidRPr="003317D3">
        <w:rPr>
          <w:rFonts w:ascii="宋体" w:hAnsi="宋体"/>
          <w:bCs/>
          <w:color w:val="0D0D0D"/>
          <w:sz w:val="24"/>
          <w:szCs w:val="18"/>
        </w:rPr>
        <w:t>=99,900.10/1.0400=96,057.79</w:t>
      </w:r>
      <w:r w:rsidRPr="003317D3">
        <w:rPr>
          <w:rFonts w:ascii="宋体" w:hAnsi="宋体" w:hint="eastAsia"/>
          <w:bCs/>
          <w:color w:val="0D0D0D"/>
          <w:sz w:val="24"/>
          <w:szCs w:val="18"/>
        </w:rPr>
        <w:t>份</w:t>
      </w:r>
    </w:p>
    <w:p w:rsidR="00562FFD" w:rsidRPr="00994BFF" w:rsidRDefault="003317D3">
      <w:pPr>
        <w:spacing w:line="360" w:lineRule="auto"/>
        <w:ind w:firstLineChars="200" w:firstLine="480"/>
        <w:jc w:val="left"/>
        <w:rPr>
          <w:rFonts w:ascii="宋体" w:hAnsi="宋体"/>
          <w:bCs/>
          <w:color w:val="000000"/>
          <w:sz w:val="24"/>
        </w:rPr>
      </w:pPr>
      <w:r w:rsidRPr="00994BFF">
        <w:rPr>
          <w:rFonts w:ascii="宋体" w:hAnsi="宋体" w:hint="eastAsia"/>
          <w:bCs/>
          <w:color w:val="000000"/>
          <w:sz w:val="24"/>
        </w:rPr>
        <w:t>即：投资者（</w:t>
      </w:r>
      <w:r>
        <w:rPr>
          <w:rFonts w:ascii="宋体" w:hAnsi="宋体" w:hint="eastAsia"/>
          <w:bCs/>
          <w:color w:val="0D0D0D"/>
          <w:sz w:val="24"/>
        </w:rPr>
        <w:t>养老金客户</w:t>
      </w:r>
      <w:r w:rsidRPr="00994BFF">
        <w:rPr>
          <w:rFonts w:ascii="宋体" w:hAnsi="宋体" w:hint="eastAsia"/>
          <w:bCs/>
          <w:color w:val="000000"/>
          <w:sz w:val="24"/>
        </w:rPr>
        <w:t>）投资</w:t>
      </w:r>
      <w:r w:rsidRPr="00994BFF">
        <w:rPr>
          <w:rFonts w:ascii="宋体" w:hAnsi="宋体"/>
          <w:bCs/>
          <w:color w:val="000000"/>
          <w:sz w:val="24"/>
        </w:rPr>
        <w:t>10</w:t>
      </w:r>
      <w:r w:rsidRPr="00994BFF">
        <w:rPr>
          <w:rFonts w:ascii="宋体" w:hAnsi="宋体" w:hint="eastAsia"/>
          <w:bCs/>
          <w:color w:val="000000"/>
          <w:sz w:val="24"/>
        </w:rPr>
        <w:t>万元申购本基金</w:t>
      </w:r>
      <w:r w:rsidRPr="00994BFF">
        <w:rPr>
          <w:rFonts w:ascii="宋体" w:hAnsi="宋体"/>
          <w:bCs/>
          <w:color w:val="000000"/>
          <w:sz w:val="24"/>
        </w:rPr>
        <w:t>A</w:t>
      </w:r>
      <w:r w:rsidRPr="00994BFF">
        <w:rPr>
          <w:rFonts w:ascii="宋体" w:hAnsi="宋体" w:hint="eastAsia"/>
          <w:bCs/>
          <w:color w:val="000000"/>
          <w:sz w:val="24"/>
        </w:rPr>
        <w:t>类基金份额，假定申购当日基金份额净值为</w:t>
      </w:r>
      <w:r w:rsidRPr="00994BFF">
        <w:rPr>
          <w:rFonts w:ascii="宋体" w:hAnsi="宋体"/>
          <w:bCs/>
          <w:color w:val="000000"/>
          <w:sz w:val="24"/>
        </w:rPr>
        <w:t>1.0</w:t>
      </w:r>
      <w:r>
        <w:rPr>
          <w:rFonts w:ascii="宋体" w:hAnsi="宋体"/>
          <w:bCs/>
          <w:color w:val="0D0D0D"/>
          <w:sz w:val="24"/>
        </w:rPr>
        <w:t>40</w:t>
      </w:r>
      <w:r w:rsidRPr="00994BFF">
        <w:rPr>
          <w:rFonts w:ascii="宋体" w:hAnsi="宋体"/>
          <w:bCs/>
          <w:color w:val="000000"/>
          <w:sz w:val="24"/>
        </w:rPr>
        <w:t>0</w:t>
      </w:r>
      <w:r w:rsidRPr="00994BFF">
        <w:rPr>
          <w:rFonts w:ascii="宋体" w:hAnsi="宋体" w:hint="eastAsia"/>
          <w:bCs/>
          <w:color w:val="000000"/>
          <w:sz w:val="24"/>
        </w:rPr>
        <w:t>元，可得到</w:t>
      </w:r>
      <w:r w:rsidRPr="00994BFF">
        <w:rPr>
          <w:rFonts w:ascii="宋体" w:hAnsi="宋体"/>
          <w:bCs/>
          <w:color w:val="000000"/>
          <w:sz w:val="24"/>
        </w:rPr>
        <w:t>9</w:t>
      </w:r>
      <w:r>
        <w:rPr>
          <w:rFonts w:ascii="宋体" w:hAnsi="宋体"/>
          <w:bCs/>
          <w:color w:val="0D0D0D"/>
          <w:sz w:val="24"/>
        </w:rPr>
        <w:t>6,057</w:t>
      </w:r>
      <w:r w:rsidRPr="00994BFF">
        <w:rPr>
          <w:rFonts w:ascii="宋体" w:hAnsi="宋体"/>
          <w:bCs/>
          <w:color w:val="000000"/>
          <w:sz w:val="24"/>
        </w:rPr>
        <w:t>.</w:t>
      </w:r>
      <w:r>
        <w:rPr>
          <w:rFonts w:ascii="宋体" w:hAnsi="宋体"/>
          <w:bCs/>
          <w:color w:val="0D0D0D"/>
          <w:sz w:val="24"/>
        </w:rPr>
        <w:t>7</w:t>
      </w:r>
      <w:r w:rsidRPr="00994BFF">
        <w:rPr>
          <w:rFonts w:ascii="宋体" w:hAnsi="宋体"/>
          <w:bCs/>
          <w:color w:val="000000"/>
          <w:sz w:val="24"/>
        </w:rPr>
        <w:t>9</w:t>
      </w:r>
      <w:r w:rsidRPr="003317D3">
        <w:rPr>
          <w:rFonts w:ascii="MS Gothic" w:eastAsia="MS Gothic" w:hAnsi="MS Gothic" w:cs="MS Gothic"/>
          <w:bCs/>
          <w:color w:val="000000"/>
          <w:sz w:val="24"/>
        </w:rPr>
        <w:t>‬</w:t>
      </w:r>
      <w:r w:rsidRPr="00994BFF">
        <w:rPr>
          <w:rFonts w:ascii="宋体" w:hAnsi="宋体" w:hint="eastAsia"/>
          <w:bCs/>
          <w:color w:val="000000"/>
          <w:sz w:val="24"/>
        </w:rPr>
        <w:t>份基金份额。</w:t>
      </w:r>
    </w:p>
    <w:p w:rsidR="00562FFD" w:rsidRDefault="003317D3">
      <w:pPr>
        <w:spacing w:line="360" w:lineRule="auto"/>
        <w:ind w:firstLineChars="200" w:firstLine="480"/>
        <w:jc w:val="left"/>
        <w:rPr>
          <w:rFonts w:ascii="宋体" w:hAnsi="宋体"/>
          <w:bCs/>
          <w:color w:val="0D0D0D"/>
          <w:sz w:val="24"/>
        </w:rPr>
      </w:pPr>
      <w:r>
        <w:rPr>
          <w:rFonts w:ascii="宋体" w:hAnsi="宋体" w:hint="eastAsia"/>
          <w:bCs/>
          <w:color w:val="0D0D0D"/>
          <w:sz w:val="24"/>
        </w:rPr>
        <w:t>例6：假设某投资者（</w:t>
      </w:r>
      <w:r>
        <w:rPr>
          <w:rFonts w:ascii="宋体" w:hAnsi="宋体" w:hint="eastAsia"/>
          <w:color w:val="000000"/>
          <w:sz w:val="24"/>
        </w:rPr>
        <w:t>非养老金客户</w:t>
      </w:r>
      <w:r>
        <w:rPr>
          <w:rFonts w:ascii="宋体" w:hAnsi="宋体" w:hint="eastAsia"/>
          <w:bCs/>
          <w:color w:val="0D0D0D"/>
          <w:sz w:val="24"/>
        </w:rPr>
        <w:t>）投资10万元申购本基金C类基金份额，假设申购当日本基金C类基金份额净值为1.0600元，则可得到的C类基金份额为：</w:t>
      </w:r>
    </w:p>
    <w:p w:rsidR="00562FFD" w:rsidRDefault="003317D3">
      <w:pPr>
        <w:spacing w:line="360" w:lineRule="auto"/>
        <w:ind w:firstLineChars="200" w:firstLine="480"/>
        <w:jc w:val="left"/>
        <w:rPr>
          <w:rFonts w:ascii="宋体" w:hAnsi="宋体"/>
          <w:bCs/>
          <w:color w:val="0D0D0D"/>
          <w:sz w:val="24"/>
        </w:rPr>
      </w:pPr>
      <w:r>
        <w:rPr>
          <w:rFonts w:ascii="宋体" w:hAnsi="宋体" w:hint="eastAsia"/>
          <w:bCs/>
          <w:color w:val="0D0D0D"/>
          <w:sz w:val="24"/>
        </w:rPr>
        <w:t xml:space="preserve">申购费用＝0元     </w:t>
      </w:r>
    </w:p>
    <w:p w:rsidR="00562FFD" w:rsidRDefault="003317D3">
      <w:pPr>
        <w:spacing w:line="360" w:lineRule="auto"/>
        <w:ind w:firstLineChars="200" w:firstLine="480"/>
        <w:jc w:val="left"/>
        <w:rPr>
          <w:rFonts w:ascii="宋体" w:hAnsi="宋体"/>
          <w:bCs/>
          <w:color w:val="0D0D0D"/>
          <w:sz w:val="24"/>
        </w:rPr>
      </w:pPr>
      <w:r>
        <w:rPr>
          <w:rFonts w:ascii="宋体" w:hAnsi="宋体" w:hint="eastAsia"/>
          <w:bCs/>
          <w:color w:val="0D0D0D"/>
          <w:sz w:val="24"/>
        </w:rPr>
        <w:t xml:space="preserve">申购份额＝100,000/1.0600＝94,339.62份      </w:t>
      </w:r>
    </w:p>
    <w:p w:rsidR="00562FFD" w:rsidRDefault="003317D3">
      <w:pPr>
        <w:spacing w:line="360" w:lineRule="auto"/>
        <w:ind w:firstLineChars="200" w:firstLine="480"/>
        <w:jc w:val="left"/>
        <w:rPr>
          <w:rFonts w:ascii="宋体" w:hAnsi="宋体"/>
          <w:bCs/>
          <w:color w:val="0D0D0D"/>
          <w:sz w:val="24"/>
        </w:rPr>
      </w:pPr>
      <w:r>
        <w:rPr>
          <w:rFonts w:ascii="宋体" w:hAnsi="宋体" w:hint="eastAsia"/>
          <w:bCs/>
          <w:color w:val="0D0D0D"/>
          <w:sz w:val="24"/>
        </w:rPr>
        <w:t>即：投资者（</w:t>
      </w:r>
      <w:r>
        <w:rPr>
          <w:rFonts w:ascii="宋体" w:hAnsi="宋体" w:hint="eastAsia"/>
          <w:color w:val="000000"/>
          <w:sz w:val="24"/>
        </w:rPr>
        <w:t>非养老金客户</w:t>
      </w:r>
      <w:r>
        <w:rPr>
          <w:rFonts w:ascii="宋体" w:hAnsi="宋体" w:hint="eastAsia"/>
          <w:bCs/>
          <w:color w:val="0D0D0D"/>
          <w:sz w:val="24"/>
        </w:rPr>
        <w:t>）投资10万元申购本基金C类基金份额，假设申购当日本基金C类基金份额净值为1.0600元，则其可得到94,339.62份C类基金份额。</w:t>
      </w:r>
    </w:p>
    <w:p w:rsidR="00562FFD" w:rsidRDefault="003317D3">
      <w:pPr>
        <w:spacing w:line="360" w:lineRule="auto"/>
        <w:ind w:firstLine="480"/>
        <w:rPr>
          <w:rFonts w:ascii="宋体" w:hAnsi="宋体"/>
          <w:color w:val="0D0D0D"/>
          <w:kern w:val="0"/>
          <w:sz w:val="24"/>
        </w:rPr>
      </w:pPr>
      <w:r>
        <w:rPr>
          <w:rFonts w:ascii="宋体" w:hAnsi="宋体"/>
          <w:color w:val="0D0D0D"/>
          <w:kern w:val="0"/>
          <w:sz w:val="24"/>
        </w:rPr>
        <w:t>2</w:t>
      </w:r>
      <w:r>
        <w:rPr>
          <w:rFonts w:ascii="宋体" w:hAnsi="宋体" w:hint="eastAsia"/>
          <w:color w:val="0D0D0D"/>
          <w:kern w:val="0"/>
          <w:sz w:val="24"/>
        </w:rPr>
        <w:t>、赎回金额的计算方式：</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lastRenderedPageBreak/>
        <w:t>赎回总金额</w:t>
      </w:r>
      <w:r>
        <w:rPr>
          <w:rFonts w:ascii="宋体" w:hAnsi="宋体"/>
          <w:color w:val="0D0D0D"/>
          <w:kern w:val="0"/>
          <w:sz w:val="24"/>
        </w:rPr>
        <w:t>=</w:t>
      </w:r>
      <w:r>
        <w:rPr>
          <w:rFonts w:ascii="宋体" w:hAnsi="宋体" w:hint="eastAsia"/>
          <w:color w:val="0D0D0D"/>
          <w:kern w:val="0"/>
          <w:sz w:val="24"/>
        </w:rPr>
        <w:t>赎回份额×赎回当日该类基金份额净值</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赎回费用</w:t>
      </w:r>
      <w:r>
        <w:rPr>
          <w:rFonts w:ascii="宋体" w:hAnsi="宋体"/>
          <w:color w:val="0D0D0D"/>
          <w:kern w:val="0"/>
          <w:sz w:val="24"/>
        </w:rPr>
        <w:t>=</w:t>
      </w:r>
      <w:r>
        <w:rPr>
          <w:rFonts w:ascii="宋体" w:hAnsi="宋体" w:hint="eastAsia"/>
          <w:color w:val="0D0D0D"/>
          <w:kern w:val="0"/>
          <w:sz w:val="24"/>
        </w:rPr>
        <w:t>赎回总金额×赎回费率</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净赎回金额</w:t>
      </w:r>
      <w:r>
        <w:rPr>
          <w:rFonts w:ascii="宋体" w:hAnsi="宋体"/>
          <w:color w:val="0D0D0D"/>
          <w:kern w:val="0"/>
          <w:sz w:val="24"/>
        </w:rPr>
        <w:t>=</w:t>
      </w:r>
      <w:r>
        <w:rPr>
          <w:rFonts w:ascii="宋体" w:hAnsi="宋体" w:hint="eastAsia"/>
          <w:color w:val="0D0D0D"/>
          <w:kern w:val="0"/>
          <w:sz w:val="24"/>
        </w:rPr>
        <w:t>赎回总金额—赎回费用</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上述计算结果均按四舍五入方法，保留到小数点后</w:t>
      </w:r>
      <w:r>
        <w:rPr>
          <w:rFonts w:ascii="宋体" w:hAnsi="宋体"/>
          <w:color w:val="0D0D0D"/>
          <w:kern w:val="0"/>
          <w:sz w:val="24"/>
        </w:rPr>
        <w:t>2</w:t>
      </w:r>
      <w:r>
        <w:rPr>
          <w:rFonts w:ascii="宋体" w:hAnsi="宋体" w:hint="eastAsia"/>
          <w:color w:val="0D0D0D"/>
          <w:kern w:val="0"/>
          <w:sz w:val="24"/>
        </w:rPr>
        <w:t>位，由此产生的收益或损失由基金财产承担。</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例7：某投资者赎回本基金</w:t>
      </w:r>
      <w:r>
        <w:rPr>
          <w:rFonts w:ascii="宋体" w:hAnsi="宋体"/>
          <w:color w:val="0D0D0D"/>
          <w:kern w:val="0"/>
          <w:sz w:val="24"/>
        </w:rPr>
        <w:t>1万份</w:t>
      </w:r>
      <w:r>
        <w:rPr>
          <w:rFonts w:ascii="宋体" w:hAnsi="宋体" w:hint="eastAsia"/>
          <w:bCs/>
          <w:color w:val="0D0D0D"/>
          <w:sz w:val="24"/>
        </w:rPr>
        <w:t>A类</w:t>
      </w:r>
      <w:r>
        <w:rPr>
          <w:rFonts w:ascii="宋体" w:hAnsi="宋体"/>
          <w:color w:val="0D0D0D"/>
          <w:kern w:val="0"/>
          <w:sz w:val="24"/>
        </w:rPr>
        <w:t>基金份额，持有时间为</w:t>
      </w:r>
      <w:r>
        <w:rPr>
          <w:rFonts w:ascii="宋体" w:hAnsi="宋体" w:hint="eastAsia"/>
          <w:color w:val="0D0D0D"/>
          <w:kern w:val="0"/>
          <w:sz w:val="24"/>
        </w:rPr>
        <w:t>30天，对应的赎回费率为</w:t>
      </w:r>
      <w:r>
        <w:rPr>
          <w:rFonts w:ascii="宋体" w:hAnsi="宋体"/>
          <w:color w:val="0D0D0D"/>
          <w:kern w:val="0"/>
          <w:sz w:val="24"/>
        </w:rPr>
        <w:t>0.</w:t>
      </w:r>
      <w:r>
        <w:rPr>
          <w:rFonts w:ascii="宋体" w:hAnsi="宋体" w:hint="eastAsia"/>
          <w:color w:val="0D0D0D"/>
          <w:kern w:val="0"/>
          <w:sz w:val="24"/>
        </w:rPr>
        <w:t>75</w:t>
      </w:r>
      <w:r>
        <w:rPr>
          <w:rFonts w:ascii="宋体" w:hAnsi="宋体"/>
          <w:color w:val="0D0D0D"/>
          <w:kern w:val="0"/>
          <w:sz w:val="24"/>
        </w:rPr>
        <w:t>%</w:t>
      </w:r>
      <w:r>
        <w:rPr>
          <w:rFonts w:ascii="宋体" w:hAnsi="宋体" w:hint="eastAsia"/>
          <w:color w:val="0D0D0D"/>
          <w:kern w:val="0"/>
          <w:sz w:val="24"/>
        </w:rPr>
        <w:t>，假设赎回当日</w:t>
      </w:r>
      <w:r>
        <w:rPr>
          <w:rFonts w:ascii="宋体" w:hAnsi="宋体" w:hint="eastAsia"/>
          <w:bCs/>
          <w:color w:val="0D0D0D"/>
          <w:sz w:val="24"/>
        </w:rPr>
        <w:t>A类</w:t>
      </w:r>
      <w:r>
        <w:rPr>
          <w:rFonts w:ascii="宋体" w:hAnsi="宋体"/>
          <w:color w:val="0D0D0D"/>
          <w:kern w:val="0"/>
          <w:sz w:val="24"/>
        </w:rPr>
        <w:t>基金份额净值是1.2500</w:t>
      </w:r>
      <w:r>
        <w:rPr>
          <w:rFonts w:ascii="宋体" w:hAnsi="宋体" w:hint="eastAsia"/>
          <w:color w:val="0D0D0D"/>
          <w:kern w:val="0"/>
          <w:sz w:val="24"/>
        </w:rPr>
        <w:t>元，则其可得到的赎回金额为：</w:t>
      </w:r>
    </w:p>
    <w:p w:rsidR="00562FFD" w:rsidRDefault="003317D3">
      <w:pPr>
        <w:spacing w:line="360" w:lineRule="auto"/>
        <w:ind w:firstLine="480"/>
        <w:rPr>
          <w:rFonts w:ascii="宋体" w:hAnsi="宋体"/>
          <w:color w:val="0D0D0D"/>
          <w:kern w:val="0"/>
          <w:sz w:val="24"/>
        </w:rPr>
      </w:pPr>
      <w:r>
        <w:rPr>
          <w:rFonts w:ascii="宋体" w:hAnsi="宋体"/>
          <w:color w:val="0D0D0D"/>
          <w:kern w:val="0"/>
          <w:sz w:val="24"/>
        </w:rPr>
        <w:t>赎回总金额=10,000×1.2500=12,500.00元</w:t>
      </w:r>
    </w:p>
    <w:p w:rsidR="00562FFD" w:rsidRDefault="003317D3">
      <w:pPr>
        <w:spacing w:line="360" w:lineRule="auto"/>
        <w:ind w:firstLine="480"/>
        <w:rPr>
          <w:rFonts w:ascii="宋体" w:hAnsi="宋体"/>
          <w:color w:val="0D0D0D"/>
          <w:kern w:val="0"/>
          <w:sz w:val="24"/>
        </w:rPr>
      </w:pPr>
      <w:r>
        <w:rPr>
          <w:rFonts w:ascii="宋体" w:hAnsi="宋体"/>
          <w:color w:val="0D0D0D"/>
          <w:kern w:val="0"/>
          <w:sz w:val="24"/>
        </w:rPr>
        <w:t>赎回费用=12,500</w:t>
      </w:r>
      <w:r>
        <w:rPr>
          <w:rFonts w:ascii="宋体" w:hAnsi="宋体" w:hint="eastAsia"/>
          <w:color w:val="0D0D0D"/>
          <w:kern w:val="0"/>
          <w:sz w:val="24"/>
        </w:rPr>
        <w:t>.00</w:t>
      </w:r>
      <w:r>
        <w:rPr>
          <w:rFonts w:ascii="宋体" w:hAnsi="宋体"/>
          <w:color w:val="0D0D0D"/>
          <w:kern w:val="0"/>
          <w:sz w:val="24"/>
        </w:rPr>
        <w:t>×0.</w:t>
      </w:r>
      <w:r>
        <w:rPr>
          <w:rFonts w:ascii="宋体" w:hAnsi="宋体" w:hint="eastAsia"/>
          <w:color w:val="0D0D0D"/>
          <w:kern w:val="0"/>
          <w:sz w:val="24"/>
        </w:rPr>
        <w:t>75</w:t>
      </w:r>
      <w:r>
        <w:rPr>
          <w:rFonts w:ascii="宋体" w:hAnsi="宋体"/>
          <w:color w:val="0D0D0D"/>
          <w:kern w:val="0"/>
          <w:sz w:val="24"/>
        </w:rPr>
        <w:t>%=</w:t>
      </w:r>
      <w:r>
        <w:rPr>
          <w:rFonts w:ascii="宋体" w:hAnsi="宋体" w:hint="eastAsia"/>
          <w:color w:val="0D0D0D"/>
          <w:kern w:val="0"/>
          <w:sz w:val="24"/>
        </w:rPr>
        <w:t>93.75</w:t>
      </w:r>
      <w:r>
        <w:rPr>
          <w:rFonts w:ascii="宋体" w:hAnsi="宋体"/>
          <w:color w:val="0D0D0D"/>
          <w:kern w:val="0"/>
          <w:sz w:val="24"/>
        </w:rPr>
        <w:t>元</w:t>
      </w:r>
    </w:p>
    <w:p w:rsidR="00562FFD" w:rsidRDefault="003317D3">
      <w:pPr>
        <w:spacing w:line="360" w:lineRule="auto"/>
        <w:ind w:firstLine="480"/>
        <w:rPr>
          <w:rFonts w:ascii="宋体" w:hAnsi="宋体"/>
          <w:color w:val="0D0D0D"/>
          <w:kern w:val="0"/>
          <w:sz w:val="24"/>
        </w:rPr>
      </w:pPr>
      <w:r>
        <w:rPr>
          <w:rFonts w:ascii="宋体" w:hAnsi="宋体"/>
          <w:color w:val="0D0D0D"/>
          <w:kern w:val="0"/>
          <w:sz w:val="24"/>
        </w:rPr>
        <w:t>净赎回金额=12,500</w:t>
      </w:r>
      <w:r>
        <w:rPr>
          <w:rFonts w:ascii="宋体" w:hAnsi="宋体" w:hint="eastAsia"/>
          <w:color w:val="0D0D0D"/>
          <w:kern w:val="0"/>
          <w:sz w:val="24"/>
        </w:rPr>
        <w:t>.00</w:t>
      </w:r>
      <w:r>
        <w:rPr>
          <w:rFonts w:ascii="宋体" w:hAnsi="宋体"/>
          <w:color w:val="0D0D0D"/>
          <w:kern w:val="0"/>
          <w:sz w:val="24"/>
        </w:rPr>
        <w:t>-</w:t>
      </w:r>
      <w:r>
        <w:rPr>
          <w:rFonts w:ascii="宋体" w:hAnsi="宋体" w:hint="eastAsia"/>
          <w:color w:val="0D0D0D"/>
          <w:kern w:val="0"/>
          <w:sz w:val="24"/>
        </w:rPr>
        <w:t>93.75</w:t>
      </w:r>
      <w:r>
        <w:rPr>
          <w:rFonts w:ascii="宋体" w:hAnsi="宋体"/>
          <w:color w:val="0D0D0D"/>
          <w:kern w:val="0"/>
          <w:sz w:val="24"/>
        </w:rPr>
        <w:t>=12,406.25元</w:t>
      </w:r>
    </w:p>
    <w:p w:rsidR="00562FFD" w:rsidRDefault="003317D3">
      <w:pPr>
        <w:spacing w:line="360" w:lineRule="auto"/>
        <w:ind w:firstLine="480"/>
        <w:rPr>
          <w:rFonts w:ascii="宋体" w:hAnsi="宋体"/>
          <w:color w:val="0D0D0D"/>
          <w:kern w:val="0"/>
          <w:sz w:val="24"/>
        </w:rPr>
      </w:pPr>
      <w:r>
        <w:rPr>
          <w:rFonts w:ascii="宋体" w:hAnsi="宋体"/>
          <w:color w:val="0D0D0D"/>
          <w:kern w:val="0"/>
          <w:sz w:val="24"/>
        </w:rPr>
        <w:t>即：投资者赎回本基金1万份</w:t>
      </w:r>
      <w:r>
        <w:rPr>
          <w:rFonts w:ascii="宋体" w:hAnsi="宋体" w:hint="eastAsia"/>
          <w:bCs/>
          <w:color w:val="0D0D0D"/>
          <w:sz w:val="24"/>
        </w:rPr>
        <w:t>A类</w:t>
      </w:r>
      <w:r>
        <w:rPr>
          <w:rFonts w:ascii="宋体" w:hAnsi="宋体"/>
          <w:color w:val="0D0D0D"/>
          <w:kern w:val="0"/>
          <w:sz w:val="24"/>
        </w:rPr>
        <w:t>基金份额，持有时间为</w:t>
      </w:r>
      <w:r>
        <w:rPr>
          <w:rFonts w:ascii="宋体" w:hAnsi="宋体" w:hint="eastAsia"/>
          <w:color w:val="0D0D0D"/>
          <w:kern w:val="0"/>
          <w:sz w:val="24"/>
        </w:rPr>
        <w:t>30天</w:t>
      </w:r>
      <w:r>
        <w:rPr>
          <w:rFonts w:ascii="宋体" w:hAnsi="宋体"/>
          <w:color w:val="0D0D0D"/>
          <w:kern w:val="0"/>
          <w:sz w:val="24"/>
        </w:rPr>
        <w:t>，假设赎回当日</w:t>
      </w:r>
      <w:r>
        <w:rPr>
          <w:rFonts w:ascii="宋体" w:hAnsi="宋体" w:hint="eastAsia"/>
          <w:bCs/>
          <w:color w:val="0D0D0D"/>
          <w:sz w:val="24"/>
        </w:rPr>
        <w:t>A类</w:t>
      </w:r>
      <w:r>
        <w:rPr>
          <w:rFonts w:ascii="宋体" w:hAnsi="宋体"/>
          <w:color w:val="0D0D0D"/>
          <w:kern w:val="0"/>
          <w:sz w:val="24"/>
        </w:rPr>
        <w:t>基金份额净值是1.2500元，则其可得到的赎回金额为12,406.25元。</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例8：某投资者赎回本基金</w:t>
      </w:r>
      <w:r>
        <w:rPr>
          <w:rFonts w:ascii="宋体" w:hAnsi="宋体"/>
          <w:color w:val="0D0D0D"/>
          <w:kern w:val="0"/>
          <w:sz w:val="24"/>
        </w:rPr>
        <w:t>2</w:t>
      </w:r>
      <w:r>
        <w:rPr>
          <w:rFonts w:ascii="宋体" w:hAnsi="宋体" w:hint="eastAsia"/>
          <w:color w:val="0D0D0D"/>
          <w:kern w:val="0"/>
          <w:sz w:val="24"/>
        </w:rPr>
        <w:t>万份</w:t>
      </w:r>
      <w:r>
        <w:rPr>
          <w:rFonts w:ascii="宋体" w:hAnsi="宋体"/>
          <w:color w:val="0D0D0D"/>
          <w:kern w:val="0"/>
          <w:sz w:val="24"/>
        </w:rPr>
        <w:t>C</w:t>
      </w:r>
      <w:r>
        <w:rPr>
          <w:rFonts w:ascii="宋体" w:hAnsi="宋体" w:hint="eastAsia"/>
          <w:color w:val="0D0D0D"/>
          <w:kern w:val="0"/>
          <w:sz w:val="24"/>
        </w:rPr>
        <w:t>类基金份额，持有时间为一年，对应的赎回费率为</w:t>
      </w:r>
      <w:r>
        <w:rPr>
          <w:rFonts w:ascii="宋体" w:hAnsi="宋体"/>
          <w:color w:val="0D0D0D"/>
          <w:kern w:val="0"/>
          <w:sz w:val="24"/>
        </w:rPr>
        <w:t>0%</w:t>
      </w:r>
      <w:r>
        <w:rPr>
          <w:rFonts w:ascii="宋体" w:hAnsi="宋体" w:hint="eastAsia"/>
          <w:color w:val="0D0D0D"/>
          <w:kern w:val="0"/>
          <w:sz w:val="24"/>
        </w:rPr>
        <w:t>，假设赎回当日</w:t>
      </w:r>
      <w:r>
        <w:rPr>
          <w:rFonts w:ascii="宋体" w:hAnsi="宋体"/>
          <w:color w:val="0D0D0D"/>
          <w:kern w:val="0"/>
          <w:sz w:val="24"/>
        </w:rPr>
        <w:t>C</w:t>
      </w:r>
      <w:r>
        <w:rPr>
          <w:rFonts w:ascii="宋体" w:hAnsi="宋体" w:hint="eastAsia"/>
          <w:color w:val="0D0D0D"/>
          <w:kern w:val="0"/>
          <w:sz w:val="24"/>
        </w:rPr>
        <w:t>类基金份额净值是</w:t>
      </w:r>
      <w:r>
        <w:rPr>
          <w:rFonts w:ascii="宋体" w:hAnsi="宋体"/>
          <w:color w:val="0D0D0D"/>
          <w:kern w:val="0"/>
          <w:sz w:val="24"/>
        </w:rPr>
        <w:t>1.1500</w:t>
      </w:r>
      <w:r>
        <w:rPr>
          <w:rFonts w:ascii="宋体" w:hAnsi="宋体" w:hint="eastAsia"/>
          <w:color w:val="0D0D0D"/>
          <w:kern w:val="0"/>
          <w:sz w:val="24"/>
        </w:rPr>
        <w:t>元，则其可得到的赎回金额为：</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赎回总金额</w:t>
      </w:r>
      <w:r>
        <w:rPr>
          <w:rFonts w:ascii="宋体" w:hAnsi="宋体"/>
          <w:color w:val="0D0D0D"/>
          <w:kern w:val="0"/>
          <w:sz w:val="24"/>
        </w:rPr>
        <w:t>=20,000</w:t>
      </w:r>
      <w:r>
        <w:rPr>
          <w:rFonts w:ascii="宋体" w:hAnsi="宋体" w:hint="eastAsia"/>
          <w:color w:val="0D0D0D"/>
          <w:kern w:val="0"/>
          <w:sz w:val="24"/>
        </w:rPr>
        <w:t>×</w:t>
      </w:r>
      <w:r>
        <w:rPr>
          <w:rFonts w:ascii="宋体" w:hAnsi="宋体"/>
          <w:color w:val="0D0D0D"/>
          <w:kern w:val="0"/>
          <w:sz w:val="24"/>
        </w:rPr>
        <w:t>1.1500=23,000.00</w:t>
      </w:r>
      <w:r>
        <w:rPr>
          <w:rFonts w:ascii="宋体" w:hAnsi="宋体" w:hint="eastAsia"/>
          <w:color w:val="0D0D0D"/>
          <w:kern w:val="0"/>
          <w:sz w:val="24"/>
        </w:rPr>
        <w:t>元</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赎回费用</w:t>
      </w:r>
      <w:r>
        <w:rPr>
          <w:rFonts w:ascii="宋体" w:hAnsi="宋体"/>
          <w:color w:val="0D0D0D"/>
          <w:kern w:val="0"/>
          <w:sz w:val="24"/>
        </w:rPr>
        <w:t>=23,000</w:t>
      </w:r>
      <w:r>
        <w:rPr>
          <w:rFonts w:ascii="宋体" w:hAnsi="宋体" w:hint="eastAsia"/>
          <w:color w:val="0D0D0D"/>
          <w:kern w:val="0"/>
          <w:sz w:val="24"/>
        </w:rPr>
        <w:t>.00×</w:t>
      </w:r>
      <w:r>
        <w:rPr>
          <w:rFonts w:ascii="宋体" w:hAnsi="宋体"/>
          <w:color w:val="0D0D0D"/>
          <w:kern w:val="0"/>
          <w:sz w:val="24"/>
        </w:rPr>
        <w:t>0%=0.00</w:t>
      </w:r>
      <w:r>
        <w:rPr>
          <w:rFonts w:ascii="宋体" w:hAnsi="宋体" w:hint="eastAsia"/>
          <w:color w:val="0D0D0D"/>
          <w:kern w:val="0"/>
          <w:sz w:val="24"/>
        </w:rPr>
        <w:t>元</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净赎回金额</w:t>
      </w:r>
      <w:r>
        <w:rPr>
          <w:rFonts w:ascii="宋体" w:hAnsi="宋体"/>
          <w:color w:val="0D0D0D"/>
          <w:kern w:val="0"/>
          <w:sz w:val="24"/>
        </w:rPr>
        <w:t>=23,000</w:t>
      </w:r>
      <w:r>
        <w:rPr>
          <w:rFonts w:ascii="宋体" w:hAnsi="宋体" w:hint="eastAsia"/>
          <w:color w:val="0D0D0D"/>
          <w:kern w:val="0"/>
          <w:sz w:val="24"/>
        </w:rPr>
        <w:t>.00</w:t>
      </w:r>
      <w:r>
        <w:rPr>
          <w:rFonts w:ascii="宋体" w:hAnsi="宋体"/>
          <w:color w:val="0D0D0D"/>
          <w:kern w:val="0"/>
          <w:sz w:val="24"/>
        </w:rPr>
        <w:t>-0=23,000.00</w:t>
      </w:r>
      <w:r>
        <w:rPr>
          <w:rFonts w:ascii="宋体" w:hAnsi="宋体" w:hint="eastAsia"/>
          <w:color w:val="0D0D0D"/>
          <w:kern w:val="0"/>
          <w:sz w:val="24"/>
        </w:rPr>
        <w:t>元</w:t>
      </w:r>
    </w:p>
    <w:p w:rsidR="00562FFD" w:rsidRDefault="003317D3">
      <w:pPr>
        <w:spacing w:line="360" w:lineRule="auto"/>
        <w:ind w:firstLine="480"/>
        <w:rPr>
          <w:rFonts w:ascii="宋体" w:hAnsi="宋体"/>
          <w:color w:val="0D0D0D"/>
          <w:kern w:val="0"/>
          <w:sz w:val="24"/>
        </w:rPr>
      </w:pPr>
      <w:r>
        <w:rPr>
          <w:rFonts w:ascii="宋体" w:hAnsi="宋体" w:hint="eastAsia"/>
          <w:color w:val="0D0D0D"/>
          <w:kern w:val="0"/>
          <w:sz w:val="24"/>
        </w:rPr>
        <w:t>即：投资者赎回本基金</w:t>
      </w:r>
      <w:r>
        <w:rPr>
          <w:rFonts w:ascii="宋体" w:hAnsi="宋体"/>
          <w:color w:val="0D0D0D"/>
          <w:kern w:val="0"/>
          <w:sz w:val="24"/>
        </w:rPr>
        <w:t>2</w:t>
      </w:r>
      <w:r>
        <w:rPr>
          <w:rFonts w:ascii="宋体" w:hAnsi="宋体" w:hint="eastAsia"/>
          <w:color w:val="0D0D0D"/>
          <w:kern w:val="0"/>
          <w:sz w:val="24"/>
        </w:rPr>
        <w:t>万份</w:t>
      </w:r>
      <w:r>
        <w:rPr>
          <w:rFonts w:ascii="宋体" w:hAnsi="宋体"/>
          <w:color w:val="0D0D0D"/>
          <w:kern w:val="0"/>
          <w:sz w:val="24"/>
        </w:rPr>
        <w:t>C</w:t>
      </w:r>
      <w:r>
        <w:rPr>
          <w:rFonts w:ascii="宋体" w:hAnsi="宋体" w:hint="eastAsia"/>
          <w:color w:val="0D0D0D"/>
          <w:kern w:val="0"/>
          <w:sz w:val="24"/>
        </w:rPr>
        <w:t>类基金份额，持有时间为一年，假设赎回当日</w:t>
      </w:r>
      <w:r>
        <w:rPr>
          <w:rFonts w:ascii="宋体" w:hAnsi="宋体"/>
          <w:color w:val="0D0D0D"/>
          <w:kern w:val="0"/>
          <w:sz w:val="24"/>
        </w:rPr>
        <w:t>C</w:t>
      </w:r>
      <w:r>
        <w:rPr>
          <w:rFonts w:ascii="宋体" w:hAnsi="宋体" w:hint="eastAsia"/>
          <w:color w:val="0D0D0D"/>
          <w:kern w:val="0"/>
          <w:sz w:val="24"/>
        </w:rPr>
        <w:t>类基金份额净值是</w:t>
      </w:r>
      <w:r>
        <w:rPr>
          <w:rFonts w:ascii="宋体" w:hAnsi="宋体"/>
          <w:color w:val="0D0D0D"/>
          <w:kern w:val="0"/>
          <w:sz w:val="24"/>
        </w:rPr>
        <w:t>1.1500</w:t>
      </w:r>
      <w:r>
        <w:rPr>
          <w:rFonts w:ascii="宋体" w:hAnsi="宋体" w:hint="eastAsia"/>
          <w:color w:val="0D0D0D"/>
          <w:kern w:val="0"/>
          <w:sz w:val="24"/>
        </w:rPr>
        <w:t>元，则其可得到的赎回金额为</w:t>
      </w:r>
      <w:r>
        <w:rPr>
          <w:rFonts w:ascii="宋体" w:hAnsi="宋体"/>
          <w:color w:val="0D0D0D"/>
          <w:kern w:val="0"/>
          <w:sz w:val="24"/>
        </w:rPr>
        <w:t>23,000.00</w:t>
      </w:r>
      <w:r>
        <w:rPr>
          <w:rFonts w:ascii="宋体" w:hAnsi="宋体" w:hint="eastAsia"/>
          <w:color w:val="0D0D0D"/>
          <w:kern w:val="0"/>
          <w:sz w:val="24"/>
        </w:rPr>
        <w:t>元。</w:t>
      </w:r>
    </w:p>
    <w:p w:rsidR="00562FFD" w:rsidRDefault="003317D3">
      <w:pPr>
        <w:spacing w:line="360" w:lineRule="auto"/>
        <w:ind w:left="480"/>
        <w:rPr>
          <w:rFonts w:ascii="宋体" w:hAnsi="宋体"/>
          <w:sz w:val="24"/>
        </w:rPr>
      </w:pPr>
      <w:bookmarkStart w:id="37" w:name="_Toc313303363"/>
      <w:bookmarkStart w:id="38" w:name="_Toc313304414"/>
      <w:bookmarkEnd w:id="37"/>
      <w:bookmarkEnd w:id="38"/>
      <w:r>
        <w:rPr>
          <w:rFonts w:ascii="宋体" w:hAnsi="宋体" w:hint="eastAsia"/>
          <w:sz w:val="24"/>
        </w:rPr>
        <w:t>3、本</w:t>
      </w:r>
      <w:proofErr w:type="gramStart"/>
      <w:r>
        <w:rPr>
          <w:rFonts w:ascii="宋体" w:hAnsi="宋体" w:hint="eastAsia"/>
          <w:sz w:val="24"/>
        </w:rPr>
        <w:t>基金基金</w:t>
      </w:r>
      <w:proofErr w:type="gramEnd"/>
      <w:r>
        <w:rPr>
          <w:rFonts w:ascii="宋体" w:hAnsi="宋体" w:hint="eastAsia"/>
          <w:sz w:val="24"/>
        </w:rPr>
        <w:t>份额净值的计算</w:t>
      </w:r>
    </w:p>
    <w:p w:rsidR="00562FFD" w:rsidRDefault="003317D3">
      <w:pPr>
        <w:spacing w:line="360" w:lineRule="auto"/>
        <w:ind w:firstLine="465"/>
        <w:rPr>
          <w:rFonts w:ascii="宋体" w:hAnsi="宋体"/>
          <w:bCs/>
          <w:sz w:val="24"/>
        </w:rPr>
      </w:pPr>
      <w:r>
        <w:rPr>
          <w:rFonts w:ascii="宋体" w:hAnsi="宋体" w:hint="eastAsia"/>
          <w:bCs/>
          <w:sz w:val="24"/>
        </w:rPr>
        <w:t xml:space="preserve">本基金A类基金份额和C类基金份额分别设置代码，分别计算和公告各类基金份额净值和各类基金份额累计净值。本基金各类基金份额净值的计算，均保留到小数点后4位，小数点后第5位四舍五入，由此产生的收益或损失由基金财产承担。T日的各类基金份额净值和各类基金份额累计净值在当天收市后计算，并按照基金合同约定公告。遇特殊情况，经履行适当程序，可以适当延迟计算或公告。 </w:t>
      </w:r>
    </w:p>
    <w:p w:rsidR="00562FFD" w:rsidRDefault="003317D3">
      <w:pPr>
        <w:spacing w:line="360" w:lineRule="auto"/>
        <w:ind w:firstLine="465"/>
        <w:rPr>
          <w:rFonts w:ascii="宋体" w:hAnsi="宋体"/>
          <w:bCs/>
          <w:sz w:val="24"/>
        </w:rPr>
      </w:pPr>
      <w:r>
        <w:rPr>
          <w:rFonts w:ascii="宋体" w:hAnsi="宋体" w:hint="eastAsia"/>
          <w:bCs/>
          <w:sz w:val="24"/>
        </w:rPr>
        <w:t>八、拒绝或暂停申购的情形</w:t>
      </w:r>
    </w:p>
    <w:p w:rsidR="00562FFD" w:rsidRDefault="003317D3">
      <w:pPr>
        <w:spacing w:line="360" w:lineRule="auto"/>
        <w:ind w:firstLine="465"/>
        <w:rPr>
          <w:rFonts w:ascii="宋体" w:hAnsi="宋体"/>
          <w:bCs/>
          <w:sz w:val="24"/>
        </w:rPr>
      </w:pPr>
      <w:r>
        <w:rPr>
          <w:rFonts w:ascii="宋体" w:hAnsi="宋体" w:hint="eastAsia"/>
          <w:bCs/>
          <w:sz w:val="24"/>
        </w:rPr>
        <w:lastRenderedPageBreak/>
        <w:t>发生下列情况时，基金管理人可拒绝或暂停接受投资人的申购申请：</w:t>
      </w:r>
    </w:p>
    <w:p w:rsidR="00562FFD" w:rsidRDefault="003317D3">
      <w:pPr>
        <w:spacing w:line="360" w:lineRule="auto"/>
        <w:ind w:firstLine="465"/>
        <w:rPr>
          <w:rFonts w:ascii="宋体" w:hAnsi="宋体"/>
          <w:bCs/>
          <w:sz w:val="24"/>
        </w:rPr>
      </w:pPr>
      <w:r>
        <w:rPr>
          <w:rFonts w:ascii="宋体" w:hAnsi="宋体"/>
          <w:bCs/>
          <w:sz w:val="24"/>
        </w:rPr>
        <w:t>1</w:t>
      </w:r>
      <w:r>
        <w:rPr>
          <w:rFonts w:ascii="宋体" w:hAnsi="宋体" w:hint="eastAsia"/>
          <w:bCs/>
          <w:sz w:val="24"/>
        </w:rPr>
        <w:t>、因不可抗力导致基金无法正常运作。</w:t>
      </w:r>
    </w:p>
    <w:p w:rsidR="00562FFD" w:rsidRDefault="003317D3">
      <w:pPr>
        <w:spacing w:line="360" w:lineRule="auto"/>
        <w:ind w:firstLine="465"/>
        <w:rPr>
          <w:rFonts w:ascii="宋体" w:hAnsi="宋体"/>
          <w:bCs/>
          <w:sz w:val="24"/>
        </w:rPr>
      </w:pPr>
      <w:r>
        <w:rPr>
          <w:rFonts w:ascii="宋体" w:hAnsi="宋体"/>
          <w:bCs/>
          <w:sz w:val="24"/>
        </w:rPr>
        <w:t>2</w:t>
      </w:r>
      <w:r>
        <w:rPr>
          <w:rFonts w:ascii="宋体" w:hAnsi="宋体" w:hint="eastAsia"/>
          <w:bCs/>
          <w:sz w:val="24"/>
        </w:rPr>
        <w:t>、发生基金合同规定的暂停基金资产估值情况时。</w:t>
      </w:r>
    </w:p>
    <w:p w:rsidR="00562FFD" w:rsidRDefault="003317D3">
      <w:pPr>
        <w:spacing w:line="360" w:lineRule="auto"/>
        <w:ind w:firstLine="465"/>
        <w:rPr>
          <w:rFonts w:ascii="宋体" w:hAnsi="宋体"/>
          <w:bCs/>
          <w:sz w:val="24"/>
        </w:rPr>
      </w:pPr>
      <w:r>
        <w:rPr>
          <w:rFonts w:ascii="宋体" w:hAnsi="宋体"/>
          <w:bCs/>
          <w:sz w:val="24"/>
        </w:rPr>
        <w:t>3</w:t>
      </w:r>
      <w:r>
        <w:rPr>
          <w:rFonts w:ascii="宋体" w:hAnsi="宋体" w:hint="eastAsia"/>
          <w:bCs/>
          <w:sz w:val="24"/>
        </w:rPr>
        <w:t>、证券、期货交易所或外汇市场交易时间非正常停市，导致基金管理人无法计算当日基金资产净值。</w:t>
      </w:r>
    </w:p>
    <w:p w:rsidR="00562FFD" w:rsidRDefault="003317D3">
      <w:pPr>
        <w:spacing w:line="360" w:lineRule="auto"/>
        <w:ind w:firstLine="465"/>
        <w:rPr>
          <w:rFonts w:ascii="宋体" w:hAnsi="宋体"/>
          <w:bCs/>
          <w:sz w:val="24"/>
        </w:rPr>
      </w:pPr>
      <w:r>
        <w:rPr>
          <w:rFonts w:ascii="宋体" w:hAnsi="宋体"/>
          <w:bCs/>
          <w:sz w:val="24"/>
        </w:rPr>
        <w:t>4</w:t>
      </w:r>
      <w:r>
        <w:rPr>
          <w:rFonts w:ascii="宋体" w:hAnsi="宋体" w:hint="eastAsia"/>
          <w:bCs/>
          <w:sz w:val="24"/>
        </w:rPr>
        <w:t>、接受某笔或某些申购申请可能会影响或损害现有基金份额持有人利益时。</w:t>
      </w:r>
    </w:p>
    <w:p w:rsidR="00562FFD" w:rsidRDefault="003317D3">
      <w:pPr>
        <w:spacing w:line="360" w:lineRule="auto"/>
        <w:ind w:firstLine="465"/>
        <w:rPr>
          <w:rFonts w:ascii="宋体" w:hAnsi="宋体"/>
          <w:bCs/>
          <w:sz w:val="24"/>
        </w:rPr>
      </w:pPr>
      <w:r>
        <w:rPr>
          <w:rFonts w:ascii="宋体" w:hAnsi="宋体"/>
          <w:bCs/>
          <w:sz w:val="24"/>
        </w:rPr>
        <w:t>5</w:t>
      </w:r>
      <w:r>
        <w:rPr>
          <w:rFonts w:ascii="宋体" w:hAnsi="宋体" w:hint="eastAsia"/>
          <w:bCs/>
          <w:sz w:val="24"/>
        </w:rPr>
        <w:t>、基金资产规模过大，使基金管理人无法找到合适的投资品种，或其他可能对基金业绩产生负面影响，或发生其他损害现有基金份额持有人利益的情形。</w:t>
      </w:r>
    </w:p>
    <w:p w:rsidR="00562FFD" w:rsidRDefault="003317D3">
      <w:pPr>
        <w:spacing w:line="360" w:lineRule="auto"/>
        <w:ind w:firstLine="465"/>
        <w:rPr>
          <w:rFonts w:ascii="宋体" w:hAnsi="宋体"/>
          <w:bCs/>
          <w:sz w:val="24"/>
        </w:rPr>
      </w:pPr>
      <w:r>
        <w:rPr>
          <w:rFonts w:ascii="宋体" w:hAnsi="宋体"/>
          <w:bCs/>
          <w:sz w:val="24"/>
        </w:rPr>
        <w:t>6、当</w:t>
      </w:r>
      <w:r>
        <w:rPr>
          <w:rFonts w:ascii="宋体" w:hAnsi="宋体" w:hint="eastAsia"/>
          <w:bCs/>
          <w:sz w:val="24"/>
        </w:rPr>
        <w:t>特定资产占</w:t>
      </w:r>
      <w:r>
        <w:rPr>
          <w:rFonts w:ascii="宋体" w:hAnsi="宋体"/>
          <w:bCs/>
          <w:sz w:val="24"/>
        </w:rPr>
        <w:t>前一估值日基金资产净值50%以上的，经与基金托管人协商确认后，基金管理人应当暂停接受基金申购申请。</w:t>
      </w:r>
    </w:p>
    <w:p w:rsidR="00562FFD" w:rsidRDefault="003317D3">
      <w:pPr>
        <w:spacing w:line="360" w:lineRule="auto"/>
        <w:ind w:firstLine="465"/>
        <w:rPr>
          <w:rFonts w:ascii="宋体" w:hAnsi="宋体"/>
          <w:bCs/>
          <w:sz w:val="24"/>
        </w:rPr>
      </w:pPr>
      <w:r>
        <w:rPr>
          <w:rFonts w:ascii="宋体" w:hAnsi="宋体"/>
          <w:bCs/>
          <w:sz w:val="24"/>
        </w:rPr>
        <w:t>7</w:t>
      </w:r>
      <w:r>
        <w:rPr>
          <w:rFonts w:ascii="宋体" w:hAnsi="宋体" w:hint="eastAsia"/>
          <w:bCs/>
          <w:sz w:val="24"/>
        </w:rPr>
        <w:t>、基金管理人接受某笔或者某些申购申请有可能导致单一投资者持有基金份额的比例达到或者超过</w:t>
      </w:r>
      <w:r>
        <w:rPr>
          <w:rFonts w:ascii="宋体" w:hAnsi="宋体"/>
          <w:bCs/>
          <w:sz w:val="24"/>
        </w:rPr>
        <w:t>50%</w:t>
      </w:r>
      <w:r>
        <w:rPr>
          <w:rFonts w:ascii="宋体" w:hAnsi="宋体" w:hint="eastAsia"/>
          <w:bCs/>
          <w:sz w:val="24"/>
        </w:rPr>
        <w:t>，或者变相规避</w:t>
      </w:r>
      <w:r>
        <w:rPr>
          <w:rFonts w:ascii="宋体" w:hAnsi="宋体"/>
          <w:bCs/>
          <w:sz w:val="24"/>
        </w:rPr>
        <w:t>50%</w:t>
      </w:r>
      <w:r>
        <w:rPr>
          <w:rFonts w:ascii="宋体" w:hAnsi="宋体" w:hint="eastAsia"/>
          <w:bCs/>
          <w:sz w:val="24"/>
        </w:rPr>
        <w:t>集中度的情形。</w:t>
      </w:r>
    </w:p>
    <w:p w:rsidR="00562FFD" w:rsidRDefault="003317D3">
      <w:pPr>
        <w:spacing w:line="360" w:lineRule="auto"/>
        <w:ind w:firstLine="465"/>
        <w:rPr>
          <w:rFonts w:ascii="宋体" w:hAnsi="宋体"/>
          <w:bCs/>
          <w:sz w:val="24"/>
        </w:rPr>
      </w:pPr>
      <w:r>
        <w:rPr>
          <w:rFonts w:ascii="宋体" w:hAnsi="宋体"/>
          <w:bCs/>
          <w:sz w:val="24"/>
        </w:rPr>
        <w:t>8、基金管理人、基金托管人、销售机构或登记机构的技术故障等异常情况导致基金销售系统、基金登记系统或基金会计系统无法正常运行。</w:t>
      </w:r>
    </w:p>
    <w:p w:rsidR="00562FFD" w:rsidRDefault="003317D3">
      <w:pPr>
        <w:spacing w:line="360" w:lineRule="auto"/>
        <w:ind w:firstLine="465"/>
        <w:rPr>
          <w:rFonts w:ascii="宋体" w:hAnsi="宋体"/>
          <w:bCs/>
          <w:sz w:val="24"/>
        </w:rPr>
      </w:pPr>
      <w:r>
        <w:rPr>
          <w:rFonts w:ascii="宋体" w:hAnsi="宋体"/>
          <w:bCs/>
          <w:sz w:val="24"/>
        </w:rPr>
        <w:t>9、申请超过基金管理人设定的基金总规模、单日净申购比例上限、单个投资人单日或单笔申购金额上限的。</w:t>
      </w:r>
    </w:p>
    <w:p w:rsidR="00562FFD" w:rsidRDefault="003317D3">
      <w:pPr>
        <w:spacing w:line="360" w:lineRule="auto"/>
        <w:ind w:firstLine="465"/>
        <w:rPr>
          <w:rFonts w:ascii="宋体" w:hAnsi="宋体"/>
          <w:bCs/>
          <w:sz w:val="24"/>
        </w:rPr>
      </w:pPr>
      <w:r>
        <w:rPr>
          <w:rFonts w:ascii="宋体" w:hAnsi="宋体"/>
          <w:bCs/>
          <w:sz w:val="24"/>
        </w:rPr>
        <w:t>10</w:t>
      </w:r>
      <w:r>
        <w:rPr>
          <w:rFonts w:ascii="宋体" w:hAnsi="宋体" w:hint="eastAsia"/>
          <w:bCs/>
          <w:sz w:val="24"/>
        </w:rPr>
        <w:t>、法律法规规定或中国证监会认定或基金合同约定的其他情形。</w:t>
      </w:r>
    </w:p>
    <w:p w:rsidR="00562FFD" w:rsidRDefault="003317D3">
      <w:pPr>
        <w:spacing w:line="360" w:lineRule="auto"/>
        <w:ind w:firstLine="465"/>
        <w:rPr>
          <w:rFonts w:ascii="宋体" w:hAnsi="宋体"/>
          <w:bCs/>
          <w:sz w:val="24"/>
        </w:rPr>
      </w:pPr>
      <w:r>
        <w:rPr>
          <w:rFonts w:ascii="宋体" w:hAnsi="宋体" w:hint="eastAsia"/>
          <w:bCs/>
          <w:sz w:val="24"/>
        </w:rPr>
        <w:t>发生上述第</w:t>
      </w:r>
      <w:r>
        <w:rPr>
          <w:rFonts w:ascii="宋体" w:hAnsi="宋体"/>
          <w:bCs/>
          <w:sz w:val="24"/>
        </w:rPr>
        <w:t>1</w:t>
      </w:r>
      <w:r>
        <w:rPr>
          <w:rFonts w:ascii="宋体" w:hAnsi="宋体" w:hint="eastAsia"/>
          <w:bCs/>
          <w:sz w:val="24"/>
        </w:rPr>
        <w:t>、</w:t>
      </w:r>
      <w:r>
        <w:rPr>
          <w:rFonts w:ascii="宋体" w:hAnsi="宋体"/>
          <w:bCs/>
          <w:sz w:val="24"/>
        </w:rPr>
        <w:t>2、3、5、6</w:t>
      </w:r>
      <w:r>
        <w:rPr>
          <w:rFonts w:ascii="宋体" w:hAnsi="宋体" w:hint="eastAsia"/>
          <w:bCs/>
          <w:sz w:val="24"/>
        </w:rPr>
        <w:t>、</w:t>
      </w:r>
      <w:r>
        <w:rPr>
          <w:rFonts w:ascii="宋体" w:hAnsi="宋体"/>
          <w:bCs/>
          <w:sz w:val="24"/>
        </w:rPr>
        <w:t>8、10</w:t>
      </w:r>
      <w:r>
        <w:rPr>
          <w:rFonts w:ascii="宋体" w:hAnsi="宋体" w:hint="eastAsia"/>
          <w:bCs/>
          <w:sz w:val="24"/>
        </w:rPr>
        <w:t>项暂停申购情形之一</w:t>
      </w:r>
      <w:proofErr w:type="gramStart"/>
      <w:r>
        <w:rPr>
          <w:rFonts w:ascii="宋体" w:hAnsi="宋体" w:hint="eastAsia"/>
          <w:bCs/>
          <w:sz w:val="24"/>
        </w:rPr>
        <w:t>且基金</w:t>
      </w:r>
      <w:proofErr w:type="gramEnd"/>
      <w:r>
        <w:rPr>
          <w:rFonts w:ascii="宋体" w:hAnsi="宋体" w:hint="eastAsia"/>
          <w:bCs/>
          <w:sz w:val="24"/>
        </w:rPr>
        <w:t>管理人决定暂停接受投资人申购申请时，基金管理人应当根据有关规定在规定媒介上刊登暂停申购公告。如果投资人的申购申请被全部或部分拒绝的，被拒绝的申购款项本金将退还给投资人。在暂停申购的情况消除时，基金管理人应及时恢复申购业务的办理。</w:t>
      </w:r>
    </w:p>
    <w:p w:rsidR="00562FFD" w:rsidRDefault="003317D3">
      <w:pPr>
        <w:spacing w:line="360" w:lineRule="auto"/>
        <w:ind w:firstLine="465"/>
        <w:rPr>
          <w:rFonts w:ascii="宋体" w:hAnsi="宋体"/>
          <w:bCs/>
          <w:sz w:val="24"/>
        </w:rPr>
      </w:pPr>
      <w:r>
        <w:rPr>
          <w:rFonts w:ascii="宋体" w:hAnsi="宋体" w:hint="eastAsia"/>
          <w:bCs/>
          <w:sz w:val="24"/>
        </w:rPr>
        <w:t>九、暂停赎回或延缓支付赎回款项的情形</w:t>
      </w:r>
    </w:p>
    <w:p w:rsidR="00562FFD" w:rsidRDefault="003317D3">
      <w:pPr>
        <w:spacing w:line="360" w:lineRule="auto"/>
        <w:ind w:firstLine="465"/>
        <w:rPr>
          <w:rFonts w:ascii="宋体" w:hAnsi="宋体"/>
          <w:bCs/>
          <w:sz w:val="24"/>
        </w:rPr>
      </w:pPr>
      <w:r>
        <w:rPr>
          <w:rFonts w:ascii="宋体" w:hAnsi="宋体" w:hint="eastAsia"/>
          <w:bCs/>
          <w:sz w:val="24"/>
        </w:rPr>
        <w:t>发生下列情形时，基金管理人可暂停接受投资人的赎回申请或延缓支付赎回款项：</w:t>
      </w:r>
    </w:p>
    <w:p w:rsidR="00562FFD" w:rsidRDefault="003317D3">
      <w:pPr>
        <w:spacing w:line="360" w:lineRule="auto"/>
        <w:ind w:firstLine="465"/>
        <w:rPr>
          <w:rFonts w:ascii="宋体" w:hAnsi="宋体"/>
          <w:bCs/>
          <w:sz w:val="24"/>
        </w:rPr>
      </w:pPr>
      <w:r>
        <w:rPr>
          <w:rFonts w:ascii="宋体" w:hAnsi="宋体"/>
          <w:bCs/>
          <w:sz w:val="24"/>
        </w:rPr>
        <w:t>1</w:t>
      </w:r>
      <w:r>
        <w:rPr>
          <w:rFonts w:ascii="宋体" w:hAnsi="宋体" w:hint="eastAsia"/>
          <w:bCs/>
          <w:sz w:val="24"/>
        </w:rPr>
        <w:t>、因不可抗力导致基金管理人不能支付赎回款项。</w:t>
      </w:r>
    </w:p>
    <w:p w:rsidR="00562FFD" w:rsidRDefault="003317D3">
      <w:pPr>
        <w:spacing w:line="360" w:lineRule="auto"/>
        <w:ind w:firstLine="465"/>
        <w:rPr>
          <w:rFonts w:ascii="宋体" w:hAnsi="宋体"/>
          <w:bCs/>
          <w:sz w:val="24"/>
        </w:rPr>
      </w:pPr>
      <w:r>
        <w:rPr>
          <w:rFonts w:ascii="宋体" w:hAnsi="宋体"/>
          <w:bCs/>
          <w:sz w:val="24"/>
        </w:rPr>
        <w:t>2</w:t>
      </w:r>
      <w:r>
        <w:rPr>
          <w:rFonts w:ascii="宋体" w:hAnsi="宋体" w:hint="eastAsia"/>
          <w:bCs/>
          <w:sz w:val="24"/>
        </w:rPr>
        <w:t>、发生基金合同规定的暂停基金资产估值情况时。</w:t>
      </w:r>
    </w:p>
    <w:p w:rsidR="00562FFD" w:rsidRDefault="003317D3">
      <w:pPr>
        <w:spacing w:line="360" w:lineRule="auto"/>
        <w:ind w:firstLine="465"/>
        <w:rPr>
          <w:rFonts w:ascii="宋体" w:hAnsi="宋体"/>
          <w:bCs/>
          <w:sz w:val="24"/>
        </w:rPr>
      </w:pPr>
      <w:r>
        <w:rPr>
          <w:rFonts w:ascii="宋体" w:hAnsi="宋体"/>
          <w:bCs/>
          <w:sz w:val="24"/>
        </w:rPr>
        <w:t>3</w:t>
      </w:r>
      <w:r>
        <w:rPr>
          <w:rFonts w:ascii="宋体" w:hAnsi="宋体" w:hint="eastAsia"/>
          <w:bCs/>
          <w:sz w:val="24"/>
        </w:rPr>
        <w:t>、证券、期货交易所或外汇市场交易时间非正常停市，导致基金管理人无法计算当日基金资产</w:t>
      </w:r>
      <w:bookmarkStart w:id="39" w:name="_Hlt152500890"/>
      <w:r>
        <w:rPr>
          <w:rFonts w:ascii="宋体" w:hAnsi="宋体" w:hint="eastAsia"/>
          <w:bCs/>
          <w:sz w:val="24"/>
        </w:rPr>
        <w:t>净值。</w:t>
      </w:r>
    </w:p>
    <w:p w:rsidR="00562FFD" w:rsidRDefault="003317D3">
      <w:pPr>
        <w:spacing w:line="360" w:lineRule="auto"/>
        <w:ind w:firstLine="465"/>
        <w:rPr>
          <w:rFonts w:ascii="宋体" w:hAnsi="宋体"/>
          <w:bCs/>
          <w:sz w:val="24"/>
        </w:rPr>
      </w:pPr>
      <w:r>
        <w:rPr>
          <w:rFonts w:ascii="宋体" w:hAnsi="宋体"/>
          <w:bCs/>
          <w:sz w:val="24"/>
        </w:rPr>
        <w:lastRenderedPageBreak/>
        <w:t>4</w:t>
      </w:r>
      <w:r>
        <w:rPr>
          <w:rFonts w:ascii="宋体" w:hAnsi="宋体" w:hint="eastAsia"/>
          <w:bCs/>
          <w:sz w:val="24"/>
        </w:rPr>
        <w:t>、连续两个或两个以上开放日发生巨额赎回。</w:t>
      </w:r>
    </w:p>
    <w:p w:rsidR="00562FFD" w:rsidRDefault="003317D3">
      <w:pPr>
        <w:spacing w:line="360" w:lineRule="auto"/>
        <w:ind w:firstLine="465"/>
        <w:rPr>
          <w:rFonts w:ascii="宋体" w:hAnsi="宋体"/>
          <w:bCs/>
          <w:sz w:val="24"/>
        </w:rPr>
      </w:pPr>
      <w:r>
        <w:rPr>
          <w:rFonts w:ascii="宋体" w:hAnsi="宋体"/>
          <w:bCs/>
          <w:sz w:val="24"/>
        </w:rPr>
        <w:t>5</w:t>
      </w:r>
      <w:r>
        <w:rPr>
          <w:rFonts w:ascii="宋体" w:hAnsi="宋体" w:hint="eastAsia"/>
          <w:bCs/>
          <w:sz w:val="24"/>
        </w:rPr>
        <w:t>、发生继续接受赎回申请将损害现有基金份额持有人利益的情形时。</w:t>
      </w:r>
    </w:p>
    <w:p w:rsidR="00562FFD" w:rsidRDefault="003317D3">
      <w:pPr>
        <w:spacing w:line="360" w:lineRule="auto"/>
        <w:ind w:firstLine="465"/>
        <w:rPr>
          <w:rFonts w:ascii="宋体" w:hAnsi="宋体"/>
          <w:bCs/>
          <w:sz w:val="24"/>
        </w:rPr>
      </w:pPr>
      <w:r>
        <w:rPr>
          <w:rFonts w:ascii="宋体" w:hAnsi="宋体"/>
          <w:bCs/>
          <w:sz w:val="24"/>
        </w:rPr>
        <w:t>6</w:t>
      </w:r>
      <w:r>
        <w:rPr>
          <w:rFonts w:ascii="宋体" w:hAnsi="宋体" w:hint="eastAsia"/>
          <w:bCs/>
          <w:sz w:val="24"/>
        </w:rPr>
        <w:t>、当特定资产占前一估值日基金资产净值</w:t>
      </w:r>
      <w:r>
        <w:rPr>
          <w:rFonts w:ascii="宋体" w:hAnsi="宋体"/>
          <w:bCs/>
          <w:sz w:val="24"/>
        </w:rPr>
        <w:t>50%以上的</w:t>
      </w:r>
      <w:r>
        <w:rPr>
          <w:rFonts w:ascii="宋体" w:hAnsi="宋体" w:hint="eastAsia"/>
          <w:bCs/>
          <w:sz w:val="24"/>
        </w:rPr>
        <w:t>，经与基金托管人协商确认后，基金管理人应当延缓支付赎回款项或暂停接受基金赎回申请。</w:t>
      </w:r>
    </w:p>
    <w:bookmarkEnd w:id="39"/>
    <w:p w:rsidR="00562FFD" w:rsidRDefault="003317D3">
      <w:pPr>
        <w:spacing w:line="360" w:lineRule="auto"/>
        <w:ind w:firstLine="465"/>
        <w:rPr>
          <w:rFonts w:ascii="宋体" w:hAnsi="宋体"/>
          <w:bCs/>
          <w:sz w:val="24"/>
        </w:rPr>
      </w:pPr>
      <w:r>
        <w:rPr>
          <w:rFonts w:ascii="宋体" w:hAnsi="宋体" w:hint="eastAsia"/>
          <w:bCs/>
          <w:sz w:val="24"/>
        </w:rPr>
        <w:t>7、法律法规规定或中国证监会认定或</w:t>
      </w:r>
      <w:r>
        <w:rPr>
          <w:rFonts w:ascii="宋体" w:hAnsi="宋体"/>
          <w:bCs/>
          <w:sz w:val="24"/>
        </w:rPr>
        <w:t>基金合同约定</w:t>
      </w:r>
      <w:r>
        <w:rPr>
          <w:rFonts w:ascii="宋体" w:hAnsi="宋体" w:hint="eastAsia"/>
          <w:bCs/>
          <w:sz w:val="24"/>
        </w:rPr>
        <w:t>的其他情形。</w:t>
      </w:r>
    </w:p>
    <w:p w:rsidR="00562FFD" w:rsidRDefault="003317D3">
      <w:pPr>
        <w:spacing w:line="360" w:lineRule="auto"/>
        <w:ind w:firstLine="465"/>
        <w:rPr>
          <w:rFonts w:ascii="宋体" w:hAnsi="宋体"/>
          <w:bCs/>
          <w:sz w:val="24"/>
        </w:rPr>
      </w:pPr>
      <w:r>
        <w:rPr>
          <w:rFonts w:ascii="宋体" w:hAnsi="宋体" w:hint="eastAsia"/>
          <w:bCs/>
          <w:sz w:val="24"/>
        </w:rPr>
        <w:t>发生上述情形之一</w:t>
      </w:r>
      <w:proofErr w:type="gramStart"/>
      <w:r>
        <w:rPr>
          <w:rFonts w:ascii="宋体" w:hAnsi="宋体" w:hint="eastAsia"/>
          <w:bCs/>
          <w:sz w:val="24"/>
        </w:rPr>
        <w:t>且基金</w:t>
      </w:r>
      <w:proofErr w:type="gramEnd"/>
      <w:r>
        <w:rPr>
          <w:rFonts w:ascii="宋体" w:hAnsi="宋体"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bCs/>
          <w:sz w:val="24"/>
        </w:rPr>
        <w:t>4</w:t>
      </w:r>
      <w:r>
        <w:rPr>
          <w:rFonts w:ascii="宋体" w:hAnsi="宋体"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62FFD" w:rsidRDefault="003317D3">
      <w:pPr>
        <w:spacing w:line="360" w:lineRule="auto"/>
        <w:ind w:firstLine="465"/>
        <w:rPr>
          <w:rFonts w:ascii="宋体" w:hAnsi="宋体"/>
          <w:bCs/>
          <w:sz w:val="24"/>
        </w:rPr>
      </w:pPr>
      <w:r>
        <w:rPr>
          <w:rFonts w:ascii="宋体" w:hAnsi="宋体" w:hint="eastAsia"/>
          <w:bCs/>
          <w:sz w:val="24"/>
        </w:rPr>
        <w:t>十、巨额赎回的情形及处理方式</w:t>
      </w:r>
    </w:p>
    <w:p w:rsidR="00562FFD" w:rsidRDefault="003317D3">
      <w:pPr>
        <w:spacing w:line="360" w:lineRule="auto"/>
        <w:ind w:firstLine="465"/>
        <w:rPr>
          <w:rFonts w:ascii="宋体" w:hAnsi="宋体"/>
          <w:bCs/>
          <w:sz w:val="24"/>
        </w:rPr>
      </w:pPr>
      <w:r>
        <w:rPr>
          <w:rFonts w:ascii="宋体" w:hAnsi="宋体"/>
          <w:bCs/>
          <w:sz w:val="24"/>
        </w:rPr>
        <w:t>1</w:t>
      </w:r>
      <w:r>
        <w:rPr>
          <w:rFonts w:ascii="宋体" w:hAnsi="宋体" w:hint="eastAsia"/>
          <w:bCs/>
          <w:sz w:val="24"/>
        </w:rPr>
        <w:t>、巨额赎回的认定</w:t>
      </w:r>
    </w:p>
    <w:p w:rsidR="00562FFD" w:rsidRDefault="003317D3">
      <w:pPr>
        <w:spacing w:line="360" w:lineRule="auto"/>
        <w:ind w:firstLine="465"/>
        <w:rPr>
          <w:rFonts w:ascii="宋体" w:hAnsi="宋体"/>
          <w:bCs/>
          <w:sz w:val="24"/>
        </w:rPr>
      </w:pPr>
      <w:r>
        <w:rPr>
          <w:rFonts w:ascii="宋体" w:hAnsi="宋体" w:hint="eastAsia"/>
          <w:bCs/>
          <w:sz w:val="24"/>
        </w:rPr>
        <w:t>若本基金单个开放日内的基金份额净赎回申请</w:t>
      </w:r>
      <w:r>
        <w:rPr>
          <w:rFonts w:ascii="宋体" w:hAnsi="宋体"/>
          <w:bCs/>
          <w:sz w:val="24"/>
        </w:rPr>
        <w:t>(</w:t>
      </w:r>
      <w:r>
        <w:rPr>
          <w:rFonts w:ascii="宋体" w:hAnsi="宋体" w:hint="eastAsia"/>
          <w:bCs/>
          <w:sz w:val="24"/>
        </w:rPr>
        <w:t>赎回申请份额总数加上基金转换中转出申请份额总数后扣除申购申请份额总数及基金转换中转入申请份额总数后的余额</w:t>
      </w:r>
      <w:r>
        <w:rPr>
          <w:rFonts w:ascii="宋体" w:hAnsi="宋体"/>
          <w:bCs/>
          <w:sz w:val="24"/>
        </w:rPr>
        <w:t>)</w:t>
      </w:r>
      <w:r>
        <w:rPr>
          <w:rFonts w:ascii="宋体" w:hAnsi="宋体" w:hint="eastAsia"/>
          <w:bCs/>
          <w:sz w:val="24"/>
        </w:rPr>
        <w:t>超过前一工作日的基金总份额的</w:t>
      </w:r>
      <w:r>
        <w:rPr>
          <w:rFonts w:ascii="宋体" w:hAnsi="宋体"/>
          <w:bCs/>
          <w:sz w:val="24"/>
        </w:rPr>
        <w:t>10%</w:t>
      </w:r>
      <w:r>
        <w:rPr>
          <w:rFonts w:ascii="宋体" w:hAnsi="宋体" w:hint="eastAsia"/>
          <w:bCs/>
          <w:sz w:val="24"/>
        </w:rPr>
        <w:t>，即认为是发生了巨额赎回。</w:t>
      </w:r>
    </w:p>
    <w:p w:rsidR="00562FFD" w:rsidRDefault="003317D3">
      <w:pPr>
        <w:spacing w:line="360" w:lineRule="auto"/>
        <w:ind w:firstLine="465"/>
        <w:rPr>
          <w:rFonts w:ascii="宋体" w:hAnsi="宋体"/>
          <w:bCs/>
          <w:sz w:val="24"/>
        </w:rPr>
      </w:pPr>
      <w:r>
        <w:rPr>
          <w:rFonts w:ascii="宋体" w:hAnsi="宋体"/>
          <w:bCs/>
          <w:sz w:val="24"/>
        </w:rPr>
        <w:t>2</w:t>
      </w:r>
      <w:r>
        <w:rPr>
          <w:rFonts w:ascii="宋体" w:hAnsi="宋体" w:hint="eastAsia"/>
          <w:bCs/>
          <w:sz w:val="24"/>
        </w:rPr>
        <w:t>、巨额赎回的处理方式</w:t>
      </w:r>
    </w:p>
    <w:p w:rsidR="00562FFD" w:rsidRDefault="003317D3">
      <w:pPr>
        <w:spacing w:line="360" w:lineRule="auto"/>
        <w:ind w:firstLine="465"/>
        <w:rPr>
          <w:rFonts w:ascii="宋体" w:hAnsi="宋体"/>
          <w:bCs/>
          <w:sz w:val="24"/>
        </w:rPr>
      </w:pPr>
      <w:r>
        <w:rPr>
          <w:rFonts w:ascii="宋体" w:hAnsi="宋体" w:hint="eastAsia"/>
          <w:bCs/>
          <w:sz w:val="24"/>
        </w:rPr>
        <w:t>当基金出现巨额赎回时，基金管理人可以根据基金当时的资产组合状况决定全额赎回、部分延期赎回或暂停赎回。</w:t>
      </w:r>
    </w:p>
    <w:p w:rsidR="00562FFD" w:rsidRDefault="003317D3">
      <w:pPr>
        <w:spacing w:line="360" w:lineRule="auto"/>
        <w:ind w:firstLine="465"/>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）全额赎回：当基金管理人认为有能力支付投资人的全部赎回申请时，按正常赎回程序执行。</w:t>
      </w:r>
    </w:p>
    <w:p w:rsidR="00562FFD" w:rsidRDefault="003317D3">
      <w:pPr>
        <w:spacing w:line="360" w:lineRule="auto"/>
        <w:ind w:firstLine="465"/>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宋体" w:hAnsi="宋体"/>
          <w:bCs/>
          <w:sz w:val="24"/>
        </w:rPr>
        <w:t>10%</w:t>
      </w:r>
      <w:r>
        <w:rPr>
          <w:rFonts w:ascii="宋体" w:hAnsi="宋体"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w:t>
      </w:r>
      <w:r>
        <w:rPr>
          <w:rFonts w:ascii="宋体" w:hAnsi="宋体" w:hint="eastAsia"/>
          <w:bCs/>
          <w:sz w:val="24"/>
        </w:rPr>
        <w:lastRenderedPageBreak/>
        <w:t>受理的部分赎回申请将被撤销。延期的赎回申请与下一开放日赎回申请一并处理，无优先权</w:t>
      </w:r>
      <w:proofErr w:type="gramStart"/>
      <w:r>
        <w:rPr>
          <w:rFonts w:ascii="宋体" w:hAnsi="宋体" w:hint="eastAsia"/>
          <w:bCs/>
          <w:sz w:val="24"/>
        </w:rPr>
        <w:t>并以下</w:t>
      </w:r>
      <w:proofErr w:type="gramEnd"/>
      <w:r>
        <w:rPr>
          <w:rFonts w:ascii="宋体" w:hAnsi="宋体"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rsidR="00562FFD" w:rsidRDefault="003317D3">
      <w:pPr>
        <w:spacing w:line="360" w:lineRule="auto"/>
        <w:ind w:firstLine="465"/>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）当本基金发生巨额赎回，且单个基金份额持有人赎回申请超过前一个工作日总份额1</w:t>
      </w:r>
      <w:r>
        <w:rPr>
          <w:rFonts w:ascii="宋体" w:hAnsi="宋体"/>
          <w:bCs/>
          <w:sz w:val="24"/>
        </w:rPr>
        <w:t>0%</w:t>
      </w:r>
      <w:r>
        <w:rPr>
          <w:rFonts w:ascii="宋体" w:hAnsi="宋体" w:hint="eastAsia"/>
          <w:bCs/>
          <w:sz w:val="24"/>
        </w:rPr>
        <w:t>以上时，如基金管理人认为支付投资人的赎回申请有困难或认为因支付投资人的赎回申请而进行的财产变现可能会对基金资产净值造成较大波动的，基金管理人可对其实施延期办理赎回申请，对于该基金份额持有人当日超过上一工作日基金总份额1</w:t>
      </w:r>
      <w:r>
        <w:rPr>
          <w:rFonts w:ascii="宋体" w:hAnsi="宋体"/>
          <w:bCs/>
          <w:sz w:val="24"/>
        </w:rPr>
        <w:t>0%</w:t>
      </w:r>
      <w:r>
        <w:rPr>
          <w:rFonts w:ascii="宋体" w:hAnsi="宋体" w:hint="eastAsia"/>
          <w:bCs/>
          <w:sz w:val="24"/>
        </w:rPr>
        <w:t>以上的那部分赎回申请，将进行延期办理；对于未能赎回部分，如该持有人在提交赎回申请时选择取消赎回，则其当日未获受理的部分赎回申请将被撤销；选择延期赎回的，将自动转入下一个开放日继续赎回，无优先权</w:t>
      </w:r>
      <w:proofErr w:type="gramStart"/>
      <w:r>
        <w:rPr>
          <w:rFonts w:ascii="宋体" w:hAnsi="宋体" w:hint="eastAsia"/>
          <w:bCs/>
          <w:sz w:val="24"/>
        </w:rPr>
        <w:t>并以下</w:t>
      </w:r>
      <w:proofErr w:type="gramEnd"/>
      <w:r>
        <w:rPr>
          <w:rFonts w:ascii="宋体" w:hAnsi="宋体" w:hint="eastAsia"/>
          <w:bCs/>
          <w:sz w:val="24"/>
        </w:rPr>
        <w:t>一开放日的该类基金份额净值为基础计算赎回金额，以此类推，直到全部赎回为止。对于该基金份额持有人1</w:t>
      </w:r>
      <w:r>
        <w:rPr>
          <w:rFonts w:ascii="宋体" w:hAnsi="宋体"/>
          <w:bCs/>
          <w:sz w:val="24"/>
        </w:rPr>
        <w:t>0%</w:t>
      </w:r>
      <w:r>
        <w:rPr>
          <w:rFonts w:ascii="宋体" w:hAnsi="宋体" w:hint="eastAsia"/>
          <w:bCs/>
          <w:sz w:val="24"/>
        </w:rPr>
        <w:t>以内的部分，基金管理人可以根据前段“（</w:t>
      </w:r>
      <w:r>
        <w:rPr>
          <w:rFonts w:ascii="宋体" w:hAnsi="宋体"/>
          <w:bCs/>
          <w:sz w:val="24"/>
        </w:rPr>
        <w:t>1</w:t>
      </w:r>
      <w:r>
        <w:rPr>
          <w:rFonts w:ascii="宋体" w:hAnsi="宋体" w:hint="eastAsia"/>
          <w:bCs/>
          <w:sz w:val="24"/>
        </w:rPr>
        <w:t>）全额赎回”或“（</w:t>
      </w:r>
      <w:r>
        <w:rPr>
          <w:rFonts w:ascii="宋体" w:hAnsi="宋体"/>
          <w:bCs/>
          <w:sz w:val="24"/>
        </w:rPr>
        <w:t>2</w:t>
      </w:r>
      <w:r>
        <w:rPr>
          <w:rFonts w:ascii="宋体" w:hAnsi="宋体" w:hint="eastAsia"/>
          <w:bCs/>
          <w:sz w:val="24"/>
        </w:rPr>
        <w:t>）部分延期赎回”的约定方式与其他基金份额持有人的赎回申请一并办理。</w:t>
      </w:r>
    </w:p>
    <w:p w:rsidR="00562FFD" w:rsidRDefault="003317D3">
      <w:pPr>
        <w:spacing w:line="360" w:lineRule="auto"/>
        <w:ind w:firstLine="465"/>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）暂停赎回：连续</w:t>
      </w:r>
      <w:r>
        <w:rPr>
          <w:rFonts w:ascii="宋体" w:hAnsi="宋体"/>
          <w:bCs/>
          <w:sz w:val="24"/>
        </w:rPr>
        <w:t>2</w:t>
      </w:r>
      <w:r>
        <w:rPr>
          <w:rFonts w:ascii="宋体" w:hAnsi="宋体" w:hint="eastAsia"/>
          <w:bCs/>
          <w:sz w:val="24"/>
        </w:rPr>
        <w:t>个开放日以上</w:t>
      </w:r>
      <w:r>
        <w:rPr>
          <w:rFonts w:ascii="宋体" w:hAnsi="宋体"/>
          <w:bCs/>
          <w:sz w:val="24"/>
        </w:rPr>
        <w:t>(</w:t>
      </w:r>
      <w:r>
        <w:rPr>
          <w:rFonts w:ascii="宋体" w:hAnsi="宋体" w:hint="eastAsia"/>
          <w:bCs/>
          <w:sz w:val="24"/>
        </w:rPr>
        <w:t>含本数</w:t>
      </w:r>
      <w:r>
        <w:rPr>
          <w:rFonts w:ascii="宋体" w:hAnsi="宋体"/>
          <w:bCs/>
          <w:sz w:val="24"/>
        </w:rPr>
        <w:t>)</w:t>
      </w:r>
      <w:r>
        <w:rPr>
          <w:rFonts w:ascii="宋体" w:hAnsi="宋体" w:hint="eastAsia"/>
          <w:bCs/>
          <w:sz w:val="24"/>
        </w:rPr>
        <w:t>发生巨额赎回，如基金管理人认为有必要，可暂停接受基金的赎回申请；已经接受的赎回申请可以延缓支付赎回款项，但不得超过</w:t>
      </w:r>
      <w:r>
        <w:rPr>
          <w:rFonts w:ascii="宋体" w:hAnsi="宋体"/>
          <w:bCs/>
          <w:sz w:val="24"/>
        </w:rPr>
        <w:t>20</w:t>
      </w:r>
      <w:r>
        <w:rPr>
          <w:rFonts w:ascii="宋体" w:hAnsi="宋体" w:hint="eastAsia"/>
          <w:bCs/>
          <w:sz w:val="24"/>
        </w:rPr>
        <w:t>个工作日，并应当在规定媒介上进行公告。</w:t>
      </w:r>
    </w:p>
    <w:p w:rsidR="00562FFD" w:rsidRDefault="003317D3">
      <w:pPr>
        <w:spacing w:line="360" w:lineRule="auto"/>
        <w:ind w:firstLine="465"/>
        <w:rPr>
          <w:rFonts w:ascii="宋体" w:hAnsi="宋体"/>
          <w:bCs/>
          <w:sz w:val="24"/>
        </w:rPr>
      </w:pPr>
      <w:r>
        <w:rPr>
          <w:rFonts w:ascii="宋体" w:hAnsi="宋体"/>
          <w:bCs/>
          <w:sz w:val="24"/>
        </w:rPr>
        <w:t>3</w:t>
      </w:r>
      <w:r>
        <w:rPr>
          <w:rFonts w:ascii="宋体" w:hAnsi="宋体" w:hint="eastAsia"/>
          <w:bCs/>
          <w:sz w:val="24"/>
        </w:rPr>
        <w:t>、巨额赎回的公告</w:t>
      </w:r>
    </w:p>
    <w:p w:rsidR="00562FFD" w:rsidRDefault="003317D3">
      <w:pPr>
        <w:spacing w:line="360" w:lineRule="auto"/>
        <w:ind w:firstLine="465"/>
        <w:rPr>
          <w:rFonts w:ascii="宋体" w:hAnsi="宋体"/>
          <w:bCs/>
          <w:sz w:val="24"/>
        </w:rPr>
      </w:pPr>
      <w:r>
        <w:rPr>
          <w:rFonts w:ascii="宋体" w:hAnsi="宋体" w:hint="eastAsia"/>
          <w:bCs/>
          <w:sz w:val="24"/>
        </w:rPr>
        <w:t>当发生上述巨额赎回并采取相应措施时，基金管理人应当通过邮寄、传真或者招募说明书规定的其他方式在</w:t>
      </w:r>
      <w:r>
        <w:rPr>
          <w:rFonts w:ascii="宋体" w:hAnsi="宋体"/>
          <w:bCs/>
          <w:sz w:val="24"/>
        </w:rPr>
        <w:t>3</w:t>
      </w:r>
      <w:r>
        <w:rPr>
          <w:rFonts w:ascii="宋体" w:hAnsi="宋体" w:hint="eastAsia"/>
          <w:bCs/>
          <w:sz w:val="24"/>
        </w:rPr>
        <w:t>个交易日内通知基金份额持有人，说明有关处理方法，并在两日内在规定媒介上刊登公告。</w:t>
      </w:r>
    </w:p>
    <w:p w:rsidR="00562FFD" w:rsidRDefault="003317D3">
      <w:pPr>
        <w:spacing w:line="360" w:lineRule="auto"/>
        <w:ind w:firstLineChars="200" w:firstLine="480"/>
        <w:rPr>
          <w:rFonts w:ascii="宋体" w:hAnsi="宋体"/>
          <w:sz w:val="24"/>
        </w:rPr>
      </w:pPr>
      <w:bookmarkStart w:id="40" w:name="_Hlt70481650"/>
      <w:bookmarkEnd w:id="40"/>
      <w:r>
        <w:rPr>
          <w:rFonts w:ascii="宋体" w:hAnsi="宋体" w:hint="eastAsia"/>
          <w:sz w:val="24"/>
        </w:rPr>
        <w:t>十一、暂停申购或赎回的公告和重新开放申购或赎回的公告</w:t>
      </w:r>
    </w:p>
    <w:p w:rsidR="00562FFD" w:rsidRDefault="003317D3">
      <w:pPr>
        <w:spacing w:line="360" w:lineRule="auto"/>
        <w:ind w:firstLineChars="200" w:firstLine="480"/>
        <w:rPr>
          <w:rFonts w:ascii="宋体" w:hAnsi="宋体"/>
          <w:sz w:val="24"/>
        </w:rPr>
      </w:pPr>
      <w:r>
        <w:rPr>
          <w:rFonts w:ascii="宋体" w:hAnsi="宋体"/>
          <w:sz w:val="24"/>
        </w:rPr>
        <w:t>1</w:t>
      </w:r>
      <w:r>
        <w:rPr>
          <w:rFonts w:ascii="宋体" w:hAnsi="宋体" w:hint="eastAsia"/>
          <w:sz w:val="24"/>
        </w:rPr>
        <w:t>、发生上述暂停申购或赎回情况的，基金管理人</w:t>
      </w:r>
      <w:r>
        <w:rPr>
          <w:rFonts w:ascii="宋体" w:hAnsi="宋体" w:hint="eastAsia"/>
          <w:bCs/>
          <w:sz w:val="24"/>
        </w:rPr>
        <w:t>应在</w:t>
      </w:r>
      <w:r>
        <w:rPr>
          <w:rFonts w:ascii="宋体" w:hAnsi="宋体" w:hint="eastAsia"/>
          <w:sz w:val="24"/>
        </w:rPr>
        <w:t>规定期限内在规定媒介上刊登暂停公告。</w:t>
      </w:r>
    </w:p>
    <w:p w:rsidR="00562FFD" w:rsidRDefault="003317D3">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w:t>
      </w:r>
      <w:r>
        <w:rPr>
          <w:rFonts w:ascii="宋体" w:hAnsi="宋体" w:hint="eastAsia"/>
          <w:sz w:val="24"/>
        </w:rPr>
        <w:t>可以根据暂停申购或赎回的时间，最迟于</w:t>
      </w:r>
      <w:r>
        <w:rPr>
          <w:rFonts w:ascii="宋体" w:hAnsi="宋体"/>
          <w:sz w:val="24"/>
        </w:rPr>
        <w:t>重新开放日</w:t>
      </w:r>
      <w:r>
        <w:rPr>
          <w:rFonts w:ascii="宋体" w:hAnsi="宋体" w:hint="eastAsia"/>
          <w:sz w:val="24"/>
        </w:rPr>
        <w:t>在规定媒介上刊登重新开放申购或赎回的公告；也可以根据实际情况在暂停公告中明确重新开放申购或赎回的时间，届时可不再另行发布重新开放的公告。</w:t>
      </w:r>
    </w:p>
    <w:p w:rsidR="00562FFD" w:rsidRDefault="003317D3">
      <w:pPr>
        <w:spacing w:line="360" w:lineRule="auto"/>
        <w:ind w:firstLineChars="200" w:firstLine="480"/>
        <w:rPr>
          <w:rFonts w:ascii="宋体" w:hAnsi="宋体"/>
          <w:sz w:val="24"/>
        </w:rPr>
      </w:pPr>
      <w:r>
        <w:rPr>
          <w:rFonts w:ascii="宋体" w:hAnsi="宋体" w:hint="eastAsia"/>
          <w:sz w:val="24"/>
        </w:rPr>
        <w:t>十二、基金转换</w:t>
      </w:r>
    </w:p>
    <w:p w:rsidR="00562FFD" w:rsidRDefault="003317D3">
      <w:pPr>
        <w:spacing w:line="360" w:lineRule="auto"/>
        <w:ind w:firstLineChars="200" w:firstLine="480"/>
        <w:rPr>
          <w:rFonts w:ascii="宋体" w:hAnsi="宋体"/>
          <w:sz w:val="24"/>
        </w:rPr>
      </w:pPr>
      <w:r>
        <w:rPr>
          <w:rFonts w:ascii="宋体" w:hAnsi="宋体" w:hint="eastAsia"/>
          <w:sz w:val="24"/>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w:t>
      </w:r>
      <w:r>
        <w:rPr>
          <w:rFonts w:hint="eastAsia"/>
          <w:sz w:val="24"/>
        </w:rPr>
        <w:t>在合理时间内</w:t>
      </w:r>
      <w:r>
        <w:rPr>
          <w:rFonts w:ascii="宋体" w:hAnsi="宋体" w:hint="eastAsia"/>
          <w:sz w:val="24"/>
        </w:rPr>
        <w:t>提前告知基金托管人与相关机构。</w:t>
      </w:r>
    </w:p>
    <w:p w:rsidR="00562FFD" w:rsidRDefault="003317D3">
      <w:pPr>
        <w:spacing w:line="360" w:lineRule="auto"/>
        <w:ind w:firstLineChars="200" w:firstLine="480"/>
        <w:rPr>
          <w:rFonts w:ascii="宋体" w:hAnsi="宋体"/>
          <w:sz w:val="24"/>
        </w:rPr>
      </w:pPr>
      <w:r>
        <w:rPr>
          <w:rFonts w:ascii="宋体" w:hAnsi="宋体" w:hint="eastAsia"/>
          <w:sz w:val="24"/>
        </w:rPr>
        <w:t>十三、基金的</w:t>
      </w:r>
      <w:proofErr w:type="gramStart"/>
      <w:r>
        <w:rPr>
          <w:rFonts w:ascii="宋体" w:hAnsi="宋体" w:hint="eastAsia"/>
          <w:sz w:val="24"/>
        </w:rPr>
        <w:t>非交易</w:t>
      </w:r>
      <w:proofErr w:type="gramEnd"/>
      <w:r>
        <w:rPr>
          <w:rFonts w:ascii="宋体" w:hAnsi="宋体" w:hint="eastAsia"/>
          <w:sz w:val="24"/>
        </w:rPr>
        <w:t>过户</w:t>
      </w:r>
    </w:p>
    <w:p w:rsidR="00562FFD" w:rsidRDefault="003317D3">
      <w:pPr>
        <w:spacing w:line="360" w:lineRule="auto"/>
        <w:ind w:firstLineChars="200" w:firstLine="480"/>
        <w:rPr>
          <w:rFonts w:ascii="宋体" w:hAnsi="宋体"/>
          <w:sz w:val="24"/>
        </w:rPr>
      </w:pPr>
      <w:r>
        <w:rPr>
          <w:rFonts w:ascii="宋体" w:hAnsi="宋体" w:hint="eastAsia"/>
          <w:sz w:val="24"/>
        </w:rPr>
        <w:t>基金的</w:t>
      </w:r>
      <w:proofErr w:type="gramStart"/>
      <w:r>
        <w:rPr>
          <w:rFonts w:ascii="宋体" w:hAnsi="宋体" w:hint="eastAsia"/>
          <w:sz w:val="24"/>
        </w:rPr>
        <w:t>非交易</w:t>
      </w:r>
      <w:proofErr w:type="gramEnd"/>
      <w:r>
        <w:rPr>
          <w:rFonts w:ascii="宋体" w:hAnsi="宋体" w:hint="eastAsia"/>
          <w:sz w:val="24"/>
        </w:rPr>
        <w:t>过户是指基金登记机构受理继承、捐赠和司法强制执行等情形而产生的</w:t>
      </w:r>
      <w:proofErr w:type="gramStart"/>
      <w:r>
        <w:rPr>
          <w:rFonts w:ascii="宋体" w:hAnsi="宋体" w:hint="eastAsia"/>
          <w:sz w:val="24"/>
        </w:rPr>
        <w:t>非交易</w:t>
      </w:r>
      <w:proofErr w:type="gramEnd"/>
      <w:r>
        <w:rPr>
          <w:rFonts w:ascii="宋体" w:hAnsi="宋体" w:hint="eastAsia"/>
          <w:sz w:val="24"/>
        </w:rPr>
        <w:t>过户以及登记机构认可、符合法律法规的其它</w:t>
      </w:r>
      <w:proofErr w:type="gramStart"/>
      <w:r>
        <w:rPr>
          <w:rFonts w:ascii="宋体" w:hAnsi="宋体" w:hint="eastAsia"/>
          <w:sz w:val="24"/>
        </w:rPr>
        <w:t>非交易</w:t>
      </w:r>
      <w:proofErr w:type="gramEnd"/>
      <w:r>
        <w:rPr>
          <w:rFonts w:ascii="宋体" w:hAnsi="宋体" w:hint="eastAsia"/>
          <w:sz w:val="24"/>
        </w:rPr>
        <w:t>过户，或者按照相关法律法规或国家有权机关要求的方式进行处理的行为。无论在上述何种情况下，接受划转的主体必须是依法可以持有本</w:t>
      </w:r>
      <w:proofErr w:type="gramStart"/>
      <w:r>
        <w:rPr>
          <w:rFonts w:ascii="宋体" w:hAnsi="宋体" w:hint="eastAsia"/>
          <w:sz w:val="24"/>
        </w:rPr>
        <w:t>基金基金</w:t>
      </w:r>
      <w:proofErr w:type="gramEnd"/>
      <w:r>
        <w:rPr>
          <w:rFonts w:ascii="宋体" w:hAnsi="宋体" w:hint="eastAsia"/>
          <w:sz w:val="24"/>
        </w:rPr>
        <w:t>份额的投资人，或者按照相关法律法规或国家有权机关要求的方式进行处理。</w:t>
      </w:r>
    </w:p>
    <w:p w:rsidR="00562FFD" w:rsidRDefault="003317D3">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562FFD" w:rsidRDefault="003317D3">
      <w:pPr>
        <w:spacing w:line="360" w:lineRule="auto"/>
        <w:ind w:firstLineChars="200" w:firstLine="480"/>
        <w:rPr>
          <w:rFonts w:ascii="宋体" w:hAnsi="宋体"/>
          <w:sz w:val="24"/>
        </w:rPr>
      </w:pPr>
      <w:r>
        <w:rPr>
          <w:rFonts w:ascii="宋体" w:hAnsi="宋体" w:hint="eastAsia"/>
          <w:sz w:val="24"/>
        </w:rPr>
        <w:t>十四、基金的转托管</w:t>
      </w:r>
    </w:p>
    <w:p w:rsidR="00562FFD" w:rsidRDefault="003317D3">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rsidR="00562FFD" w:rsidRDefault="003317D3">
      <w:pPr>
        <w:spacing w:line="360" w:lineRule="auto"/>
        <w:ind w:firstLineChars="200" w:firstLine="480"/>
        <w:rPr>
          <w:rFonts w:ascii="宋体" w:hAnsi="宋体"/>
          <w:sz w:val="24"/>
        </w:rPr>
      </w:pPr>
      <w:r>
        <w:rPr>
          <w:rFonts w:ascii="宋体" w:hAnsi="宋体" w:hint="eastAsia"/>
          <w:sz w:val="24"/>
        </w:rPr>
        <w:t>十五、定期定额投资计划</w:t>
      </w:r>
    </w:p>
    <w:p w:rsidR="00562FFD" w:rsidRDefault="003317D3">
      <w:pPr>
        <w:spacing w:line="360" w:lineRule="auto"/>
        <w:ind w:firstLineChars="200" w:firstLine="480"/>
        <w:rPr>
          <w:rFonts w:ascii="宋体" w:hAnsi="宋体"/>
          <w:sz w:val="24"/>
        </w:rPr>
      </w:pPr>
      <w:r>
        <w:rPr>
          <w:rFonts w:ascii="宋体" w:hAnsi="宋体"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62FFD" w:rsidRDefault="003317D3">
      <w:pPr>
        <w:spacing w:line="360" w:lineRule="auto"/>
        <w:ind w:firstLineChars="200" w:firstLine="480"/>
        <w:rPr>
          <w:rFonts w:ascii="宋体" w:hAnsi="宋体"/>
          <w:bCs/>
          <w:sz w:val="24"/>
        </w:rPr>
      </w:pPr>
      <w:r>
        <w:rPr>
          <w:rFonts w:ascii="宋体" w:hAnsi="宋体" w:hint="eastAsia"/>
          <w:bCs/>
          <w:sz w:val="24"/>
        </w:rPr>
        <w:t>十六、基金的冻结</w:t>
      </w:r>
      <w:r>
        <w:rPr>
          <w:rFonts w:ascii="宋体" w:hAnsi="宋体" w:hint="eastAsia"/>
          <w:b/>
          <w:bCs/>
          <w:sz w:val="24"/>
        </w:rPr>
        <w:t>、</w:t>
      </w:r>
      <w:r>
        <w:rPr>
          <w:rFonts w:ascii="宋体" w:hAnsi="宋体" w:hint="eastAsia"/>
          <w:bCs/>
          <w:sz w:val="24"/>
        </w:rPr>
        <w:t>解冻和质押</w:t>
      </w:r>
    </w:p>
    <w:p w:rsidR="00562FFD" w:rsidRDefault="003317D3">
      <w:pPr>
        <w:spacing w:line="360" w:lineRule="auto"/>
        <w:ind w:firstLineChars="200" w:firstLine="480"/>
        <w:rPr>
          <w:rFonts w:ascii="宋体" w:hAnsi="宋体"/>
          <w:bCs/>
          <w:sz w:val="24"/>
        </w:rPr>
      </w:pPr>
      <w:r>
        <w:rPr>
          <w:rFonts w:ascii="宋体" w:hAnsi="宋体" w:hint="eastAsia"/>
          <w:bCs/>
          <w:sz w:val="24"/>
        </w:rPr>
        <w:t>基金登记机构只受理国家有权机关依法要求的基金份额的冻结与解冻，以及登记机构认可、符合法律法规的其他情况下的冻结与解冻。</w:t>
      </w:r>
    </w:p>
    <w:p w:rsidR="00562FFD" w:rsidRDefault="003317D3">
      <w:pPr>
        <w:spacing w:line="360" w:lineRule="auto"/>
        <w:ind w:firstLineChars="200" w:firstLine="480"/>
        <w:rPr>
          <w:rFonts w:ascii="宋体" w:hAnsi="宋体"/>
          <w:bCs/>
          <w:sz w:val="24"/>
        </w:rPr>
      </w:pPr>
      <w:r>
        <w:rPr>
          <w:rFonts w:ascii="宋体" w:hAnsi="宋体" w:hint="eastAsia"/>
          <w:bCs/>
          <w:sz w:val="24"/>
        </w:rPr>
        <w:t>基金份额被冻结的，被冻结部分产生的权益一并冻结，被冻结部分份额仍然参与收益分配与支付。法律法规另有规定的除外。</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如相关法律法规允许基金管理人办理基金份额的质押业务或其他基金业务，基金管理人将制定和实施相应的业务规则。</w:t>
      </w:r>
    </w:p>
    <w:p w:rsidR="00562FFD" w:rsidRDefault="003317D3">
      <w:pPr>
        <w:spacing w:line="360" w:lineRule="auto"/>
        <w:ind w:firstLineChars="200" w:firstLine="480"/>
        <w:rPr>
          <w:rFonts w:ascii="宋体" w:hAnsi="宋体"/>
          <w:bCs/>
          <w:sz w:val="24"/>
        </w:rPr>
      </w:pPr>
      <w:bookmarkStart w:id="41" w:name="_Toc164766378"/>
      <w:bookmarkStart w:id="42" w:name="_Toc230166631"/>
      <w:r>
        <w:rPr>
          <w:rFonts w:ascii="宋体" w:hAnsi="宋体" w:hint="eastAsia"/>
          <w:bCs/>
          <w:sz w:val="24"/>
        </w:rPr>
        <w:t>十七、基金份额的转让</w:t>
      </w:r>
    </w:p>
    <w:p w:rsidR="00562FFD" w:rsidRDefault="003317D3">
      <w:pPr>
        <w:spacing w:line="360" w:lineRule="auto"/>
        <w:ind w:firstLineChars="200" w:firstLine="480"/>
        <w:rPr>
          <w:rFonts w:ascii="宋体" w:hAnsi="宋体"/>
          <w:bCs/>
          <w:sz w:val="24"/>
        </w:rPr>
      </w:pPr>
      <w:r>
        <w:rPr>
          <w:rFonts w:ascii="宋体" w:hAnsi="宋体"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562FFD" w:rsidRDefault="003317D3">
      <w:pPr>
        <w:spacing w:line="360" w:lineRule="auto"/>
        <w:ind w:firstLineChars="200" w:firstLine="480"/>
        <w:rPr>
          <w:rFonts w:ascii="宋体" w:hAnsi="宋体"/>
          <w:bCs/>
          <w:sz w:val="24"/>
        </w:rPr>
      </w:pPr>
      <w:r>
        <w:rPr>
          <w:rFonts w:ascii="宋体" w:hAnsi="宋体" w:hint="eastAsia"/>
          <w:bCs/>
          <w:sz w:val="24"/>
        </w:rPr>
        <w:t>十八、实施</w:t>
      </w:r>
      <w:proofErr w:type="gramStart"/>
      <w:r>
        <w:rPr>
          <w:rFonts w:ascii="宋体" w:hAnsi="宋体" w:hint="eastAsia"/>
          <w:bCs/>
          <w:sz w:val="24"/>
        </w:rPr>
        <w:t>侧袋机制</w:t>
      </w:r>
      <w:proofErr w:type="gramEnd"/>
      <w:r>
        <w:rPr>
          <w:rFonts w:ascii="宋体" w:hAnsi="宋体" w:hint="eastAsia"/>
          <w:bCs/>
          <w:sz w:val="24"/>
        </w:rPr>
        <w:t>期间本基金的申购与赎回</w:t>
      </w:r>
    </w:p>
    <w:p w:rsidR="00562FFD" w:rsidRDefault="003317D3">
      <w:pPr>
        <w:spacing w:line="360" w:lineRule="auto"/>
        <w:ind w:firstLineChars="200" w:firstLine="48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的，本基金的申购和赎回安排详见本招募说明书“侧袋机制”章节或届时发布的相关公告。</w:t>
      </w:r>
    </w:p>
    <w:p w:rsidR="00562FFD" w:rsidRDefault="003317D3">
      <w:pPr>
        <w:spacing w:line="360" w:lineRule="auto"/>
        <w:ind w:firstLineChars="200" w:firstLine="480"/>
        <w:rPr>
          <w:rFonts w:ascii="宋体" w:hAnsi="宋体"/>
          <w:bCs/>
          <w:sz w:val="24"/>
        </w:rPr>
      </w:pPr>
      <w:bookmarkStart w:id="43" w:name="_Toc34222299"/>
      <w:r>
        <w:rPr>
          <w:rFonts w:ascii="宋体" w:hAnsi="宋体" w:hint="eastAsia"/>
          <w:bCs/>
          <w:sz w:val="24"/>
        </w:rPr>
        <w:t>十九、在不违反相关法律法规且对基金份额持有人利益无实质性不利影响的前提下，基金管理人可根据具体情况在履行一定程序后对上述申购和赎回以及相关业务的安排进行补充和调整并提前公告。</w:t>
      </w:r>
    </w:p>
    <w:bookmarkEnd w:id="43"/>
    <w:p w:rsidR="00562FFD" w:rsidRDefault="003317D3">
      <w:pPr>
        <w:pStyle w:val="af0"/>
        <w:rPr>
          <w:rFonts w:hAnsi="宋体"/>
          <w:bCs/>
          <w:szCs w:val="28"/>
        </w:rPr>
      </w:pPr>
      <w:r>
        <w:rPr>
          <w:rFonts w:hAnsi="宋体"/>
          <w:bCs/>
          <w:szCs w:val="28"/>
        </w:rPr>
        <w:br w:type="page"/>
      </w:r>
      <w:bookmarkStart w:id="44" w:name="_Toc34222300"/>
      <w:bookmarkStart w:id="45" w:name="_Toc56692692"/>
      <w:bookmarkEnd w:id="41"/>
      <w:bookmarkEnd w:id="42"/>
      <w:r>
        <w:rPr>
          <w:rFonts w:hint="eastAsia"/>
          <w:szCs w:val="28"/>
        </w:rPr>
        <w:lastRenderedPageBreak/>
        <w:t>第九部分 基金的投资</w:t>
      </w:r>
      <w:bookmarkEnd w:id="44"/>
      <w:bookmarkEnd w:id="45"/>
    </w:p>
    <w:p w:rsidR="00562FFD" w:rsidRDefault="003317D3">
      <w:pPr>
        <w:spacing w:line="360" w:lineRule="auto"/>
        <w:ind w:firstLine="480"/>
        <w:rPr>
          <w:bCs/>
          <w:sz w:val="24"/>
        </w:rPr>
      </w:pPr>
      <w:bookmarkStart w:id="46" w:name="_Toc157234215"/>
      <w:bookmarkStart w:id="47" w:name="_Toc163732049"/>
      <w:bookmarkStart w:id="48" w:name="_Toc173916900"/>
      <w:r>
        <w:rPr>
          <w:rFonts w:hint="eastAsia"/>
          <w:bCs/>
          <w:sz w:val="24"/>
        </w:rPr>
        <w:t>一、投资目标</w:t>
      </w:r>
    </w:p>
    <w:p w:rsidR="00562FFD" w:rsidRDefault="003317D3">
      <w:pPr>
        <w:spacing w:line="360" w:lineRule="auto"/>
        <w:ind w:firstLine="480"/>
        <w:rPr>
          <w:bCs/>
          <w:sz w:val="24"/>
        </w:rPr>
      </w:pPr>
      <w:r>
        <w:rPr>
          <w:rFonts w:hint="eastAsia"/>
          <w:bCs/>
          <w:sz w:val="24"/>
        </w:rPr>
        <w:t>在充分控制风险和保持资产良好流动性的前提下，力争为基金份额持有人获取较高的投资回报。</w:t>
      </w:r>
    </w:p>
    <w:p w:rsidR="00562FFD" w:rsidRDefault="003317D3">
      <w:pPr>
        <w:spacing w:line="360" w:lineRule="auto"/>
        <w:ind w:firstLine="480"/>
        <w:rPr>
          <w:bCs/>
          <w:sz w:val="24"/>
        </w:rPr>
      </w:pPr>
      <w:r>
        <w:rPr>
          <w:rFonts w:hint="eastAsia"/>
          <w:bCs/>
          <w:sz w:val="24"/>
        </w:rPr>
        <w:t>二、投资范围</w:t>
      </w:r>
    </w:p>
    <w:p w:rsidR="00562FFD" w:rsidRDefault="003317D3">
      <w:pPr>
        <w:spacing w:line="360" w:lineRule="auto"/>
        <w:ind w:firstLine="480"/>
        <w:rPr>
          <w:bCs/>
          <w:sz w:val="24"/>
        </w:rPr>
      </w:pPr>
      <w:r>
        <w:rPr>
          <w:rFonts w:hint="eastAsia"/>
          <w:bCs/>
          <w:sz w:val="24"/>
        </w:rPr>
        <w:t>本基金的投资范围为具有良好流动性的金融工具，包括国内依法发行或上市的股票（含主板、创业板及其他经中国证监会允许上市的股票）、存托凭证、港股通标的股票、债券（包括国债、央行票据、地方政府债、金融债、企业债、公司债、证券公司短期公司债、次级债、中期票据、短期融资</w:t>
      </w:r>
      <w:proofErr w:type="gramStart"/>
      <w:r>
        <w:rPr>
          <w:rFonts w:hint="eastAsia"/>
          <w:bCs/>
          <w:sz w:val="24"/>
        </w:rPr>
        <w:t>券</w:t>
      </w:r>
      <w:proofErr w:type="gramEnd"/>
      <w:r>
        <w:rPr>
          <w:rFonts w:hint="eastAsia"/>
          <w:bCs/>
          <w:sz w:val="24"/>
        </w:rPr>
        <w:t>、超短期融资债券、可转换债券、可交换债券）、资产支持证券、债券回购、银行存款、同业存单、货币市场工具、股指期货、股票期权、国债期货、信用衍生品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562FFD" w:rsidRDefault="003317D3">
      <w:pPr>
        <w:spacing w:line="360" w:lineRule="auto"/>
        <w:ind w:firstLine="480"/>
        <w:rPr>
          <w:bCs/>
          <w:sz w:val="24"/>
        </w:rPr>
      </w:pPr>
      <w:r>
        <w:rPr>
          <w:rFonts w:hint="eastAsia"/>
          <w:bCs/>
          <w:sz w:val="24"/>
        </w:rPr>
        <w:t>如法律法规或监管机构以后允许基金投资其他品种，本基金可以将其纳入投资范围。</w:t>
      </w:r>
    </w:p>
    <w:p w:rsidR="00562FFD" w:rsidRDefault="003317D3">
      <w:pPr>
        <w:spacing w:line="360" w:lineRule="auto"/>
        <w:ind w:firstLine="480"/>
        <w:rPr>
          <w:bCs/>
          <w:sz w:val="24"/>
        </w:rPr>
      </w:pPr>
      <w:r>
        <w:rPr>
          <w:rFonts w:hint="eastAsia"/>
          <w:bCs/>
          <w:sz w:val="24"/>
        </w:rPr>
        <w:t>基金的投资组合比例为：本基金股票资产占基金资产的比例为</w:t>
      </w:r>
      <w:r>
        <w:rPr>
          <w:rFonts w:hint="eastAsia"/>
          <w:bCs/>
          <w:sz w:val="24"/>
        </w:rPr>
        <w:t>0%</w:t>
      </w:r>
      <w:r>
        <w:rPr>
          <w:rFonts w:hint="eastAsia"/>
          <w:bCs/>
          <w:sz w:val="24"/>
        </w:rPr>
        <w:t>－</w:t>
      </w:r>
      <w:r>
        <w:rPr>
          <w:rFonts w:hint="eastAsia"/>
          <w:bCs/>
          <w:sz w:val="24"/>
        </w:rPr>
        <w:t>30%</w:t>
      </w:r>
      <w:r>
        <w:rPr>
          <w:rFonts w:hint="eastAsia"/>
          <w:bCs/>
          <w:sz w:val="24"/>
        </w:rPr>
        <w:t>（其中投资于港股通标的股票的比例占股票资产的</w:t>
      </w:r>
      <w:r>
        <w:rPr>
          <w:rFonts w:hint="eastAsia"/>
          <w:bCs/>
          <w:sz w:val="24"/>
        </w:rPr>
        <w:t>0-50%</w:t>
      </w:r>
      <w:r>
        <w:rPr>
          <w:rFonts w:hint="eastAsia"/>
          <w:bCs/>
          <w:sz w:val="24"/>
        </w:rPr>
        <w:t>）；本基金投资同业存单的比例不超过基金资产的</w:t>
      </w:r>
      <w:r>
        <w:rPr>
          <w:rFonts w:hint="eastAsia"/>
          <w:bCs/>
          <w:sz w:val="24"/>
        </w:rPr>
        <w:t>20%</w:t>
      </w:r>
      <w:r>
        <w:rPr>
          <w:rFonts w:hint="eastAsia"/>
          <w:bCs/>
          <w:sz w:val="24"/>
        </w:rPr>
        <w:t>；本基金每个交易日日终扣除股指期货、股票期权、国债期货合约需缴纳的交易保证金后，应当保持不低于基金资产净值</w:t>
      </w:r>
      <w:r>
        <w:rPr>
          <w:rFonts w:hint="eastAsia"/>
          <w:bCs/>
          <w:sz w:val="24"/>
        </w:rPr>
        <w:t>5%</w:t>
      </w:r>
      <w:r>
        <w:rPr>
          <w:rFonts w:hint="eastAsia"/>
          <w:bCs/>
          <w:sz w:val="24"/>
        </w:rPr>
        <w:t>的现金或者到期日在一年以内的政府债券，现金不包括结算备付金、存出保证金、应收申购款等。股指期货、股票期权、国债期货及其他金融工具的投资比例符合法律法规和监管机构的规定。</w:t>
      </w:r>
    </w:p>
    <w:p w:rsidR="00562FFD" w:rsidRDefault="003317D3">
      <w:pPr>
        <w:spacing w:line="360" w:lineRule="auto"/>
        <w:ind w:firstLine="480"/>
        <w:rPr>
          <w:bCs/>
          <w:sz w:val="24"/>
        </w:rPr>
      </w:pPr>
      <w:r>
        <w:rPr>
          <w:rFonts w:hint="eastAsia"/>
          <w:bCs/>
          <w:sz w:val="24"/>
        </w:rPr>
        <w:t>如果法律法规或监管机构对该比例要求有变更的，以变更后的比例为准，本基金的投资范围会做相应调整。</w:t>
      </w:r>
    </w:p>
    <w:p w:rsidR="00562FFD" w:rsidRDefault="003317D3">
      <w:pPr>
        <w:spacing w:line="360" w:lineRule="auto"/>
        <w:ind w:firstLine="480"/>
        <w:rPr>
          <w:bCs/>
          <w:sz w:val="24"/>
        </w:rPr>
      </w:pPr>
      <w:r>
        <w:rPr>
          <w:rFonts w:hint="eastAsia"/>
          <w:bCs/>
          <w:sz w:val="24"/>
        </w:rPr>
        <w:t>三、投资策略</w:t>
      </w:r>
    </w:p>
    <w:p w:rsidR="00562FFD" w:rsidRDefault="003317D3">
      <w:pPr>
        <w:spacing w:line="360" w:lineRule="auto"/>
        <w:ind w:firstLine="480"/>
        <w:rPr>
          <w:bCs/>
          <w:sz w:val="24"/>
        </w:rPr>
      </w:pPr>
      <w:r>
        <w:rPr>
          <w:rFonts w:hint="eastAsia"/>
          <w:bCs/>
          <w:sz w:val="24"/>
        </w:rPr>
        <w:t>1</w:t>
      </w:r>
      <w:r>
        <w:rPr>
          <w:rFonts w:hint="eastAsia"/>
          <w:bCs/>
          <w:sz w:val="24"/>
        </w:rPr>
        <w:t>、资产配置策略</w:t>
      </w:r>
    </w:p>
    <w:p w:rsidR="00562FFD" w:rsidRDefault="003317D3">
      <w:pPr>
        <w:spacing w:line="360" w:lineRule="auto"/>
        <w:ind w:firstLine="480"/>
        <w:rPr>
          <w:bCs/>
          <w:sz w:val="24"/>
        </w:rPr>
      </w:pPr>
      <w:r>
        <w:rPr>
          <w:rFonts w:hint="eastAsia"/>
          <w:bCs/>
          <w:sz w:val="24"/>
        </w:rPr>
        <w:t>本基金通过对宏观经济自上而下的分析以及对微观面自下而上的分析，对宏观经济发展环境、宏观经济运行状况、货币政策和财政政策的变化、市场利率走势、经济周期、企业盈利状况等</w:t>
      </w:r>
      <w:proofErr w:type="gramStart"/>
      <w:r>
        <w:rPr>
          <w:rFonts w:hint="eastAsia"/>
          <w:bCs/>
          <w:sz w:val="24"/>
        </w:rPr>
        <w:t>作出研</w:t>
      </w:r>
      <w:proofErr w:type="gramEnd"/>
      <w:r>
        <w:rPr>
          <w:rFonts w:hint="eastAsia"/>
          <w:bCs/>
          <w:sz w:val="24"/>
        </w:rPr>
        <w:t>判，从而确定整体资产配置，即债券、股票、现金及回购等的配置比例。本基金将在充分重视本金安全的前提下，为基金</w:t>
      </w:r>
      <w:r>
        <w:rPr>
          <w:rFonts w:hint="eastAsia"/>
          <w:bCs/>
          <w:sz w:val="24"/>
        </w:rPr>
        <w:lastRenderedPageBreak/>
        <w:t>份额持有人获取长期稳定的投资回报。</w:t>
      </w:r>
    </w:p>
    <w:p w:rsidR="00562FFD" w:rsidRDefault="003317D3">
      <w:pPr>
        <w:spacing w:line="360" w:lineRule="auto"/>
        <w:ind w:firstLine="480"/>
        <w:rPr>
          <w:bCs/>
          <w:sz w:val="24"/>
        </w:rPr>
      </w:pPr>
      <w:r>
        <w:rPr>
          <w:bCs/>
          <w:sz w:val="24"/>
        </w:rPr>
        <w:t>2</w:t>
      </w:r>
      <w:r>
        <w:rPr>
          <w:rFonts w:hint="eastAsia"/>
          <w:bCs/>
          <w:sz w:val="24"/>
        </w:rPr>
        <w:t>、债券投资策略</w:t>
      </w:r>
    </w:p>
    <w:p w:rsidR="00562FFD" w:rsidRDefault="003317D3">
      <w:pPr>
        <w:spacing w:line="360" w:lineRule="auto"/>
        <w:ind w:firstLine="480"/>
        <w:rPr>
          <w:bCs/>
          <w:sz w:val="24"/>
        </w:rPr>
      </w:pPr>
      <w:r>
        <w:rPr>
          <w:rFonts w:hint="eastAsia"/>
          <w:bCs/>
          <w:sz w:val="24"/>
        </w:rPr>
        <w:t>在债券组合的构建和调整上，本基金综合债券类金融工具类属配置策略、</w:t>
      </w:r>
      <w:proofErr w:type="gramStart"/>
      <w:r>
        <w:rPr>
          <w:rFonts w:hint="eastAsia"/>
          <w:bCs/>
          <w:sz w:val="24"/>
        </w:rPr>
        <w:t>久期调整</w:t>
      </w:r>
      <w:proofErr w:type="gramEnd"/>
      <w:r>
        <w:rPr>
          <w:rFonts w:hint="eastAsia"/>
          <w:bCs/>
          <w:sz w:val="24"/>
        </w:rPr>
        <w:t>策略、收益率曲线配置策略、基于信用变化策略、息差策略、信用债券精选策略、可转换债券及可交换债券投资策略、证券公司短期公司债券投资策略等组合管理手段进行日常管理，力求获取长期稳健的收益。</w:t>
      </w:r>
    </w:p>
    <w:p w:rsidR="00562FFD" w:rsidRDefault="003317D3">
      <w:pPr>
        <w:spacing w:line="360" w:lineRule="auto"/>
        <w:ind w:firstLine="480"/>
        <w:rPr>
          <w:bCs/>
          <w:sz w:val="24"/>
        </w:rPr>
      </w:pPr>
      <w:r>
        <w:rPr>
          <w:rFonts w:hint="eastAsia"/>
          <w:bCs/>
          <w:sz w:val="24"/>
        </w:rPr>
        <w:t>（</w:t>
      </w:r>
      <w:r>
        <w:rPr>
          <w:rFonts w:hint="eastAsia"/>
          <w:bCs/>
          <w:sz w:val="24"/>
        </w:rPr>
        <w:t>1</w:t>
      </w:r>
      <w:r>
        <w:rPr>
          <w:rFonts w:hint="eastAsia"/>
          <w:bCs/>
          <w:sz w:val="24"/>
        </w:rPr>
        <w:t>）债券类金融工具类属配置策略</w:t>
      </w:r>
    </w:p>
    <w:p w:rsidR="00562FFD" w:rsidRDefault="003317D3">
      <w:pPr>
        <w:spacing w:line="360" w:lineRule="auto"/>
        <w:ind w:firstLine="480"/>
        <w:rPr>
          <w:bCs/>
          <w:sz w:val="24"/>
        </w:rPr>
      </w:pPr>
      <w:r>
        <w:rPr>
          <w:rFonts w:hint="eastAsia"/>
          <w:bCs/>
          <w:sz w:val="24"/>
        </w:rPr>
        <w:t>类属配置是指对各市场及各种类的债券类金融工具之间的比例进行适时、动态的分配和调整，确定最能符合本基金风险收益特征的资产组合。具体包括市场配置和品种选择两个层面。</w:t>
      </w:r>
    </w:p>
    <w:p w:rsidR="00562FFD" w:rsidRDefault="003317D3">
      <w:pPr>
        <w:spacing w:line="360" w:lineRule="auto"/>
        <w:ind w:firstLine="480"/>
        <w:rPr>
          <w:bCs/>
          <w:sz w:val="24"/>
        </w:rPr>
      </w:pPr>
      <w:r>
        <w:rPr>
          <w:rFonts w:hint="eastAsia"/>
          <w:bCs/>
          <w:sz w:val="24"/>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562FFD" w:rsidRDefault="003317D3">
      <w:pPr>
        <w:spacing w:line="360" w:lineRule="auto"/>
        <w:ind w:firstLine="480"/>
        <w:rPr>
          <w:bCs/>
          <w:sz w:val="24"/>
        </w:rPr>
      </w:pPr>
      <w:r>
        <w:rPr>
          <w:rFonts w:hint="eastAsia"/>
          <w:bCs/>
          <w:sz w:val="24"/>
        </w:rPr>
        <w:t>在品种选择层面，本基金将基于各品种债券类金融工具收益率水平的变化特征、宏观经济预测分析以及税收因素的影响，综合考虑流动性、收益性等因素，采取定量分析和定性分析结合的方法，在各种债券类金融工具之间进行优化配置。</w:t>
      </w:r>
    </w:p>
    <w:p w:rsidR="00562FFD" w:rsidRDefault="003317D3">
      <w:pPr>
        <w:spacing w:line="360" w:lineRule="auto"/>
        <w:ind w:firstLine="480"/>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久期调整</w:t>
      </w:r>
      <w:proofErr w:type="gramEnd"/>
      <w:r>
        <w:rPr>
          <w:rFonts w:hint="eastAsia"/>
          <w:bCs/>
          <w:sz w:val="24"/>
        </w:rPr>
        <w:t>策略</w:t>
      </w:r>
    </w:p>
    <w:p w:rsidR="00562FFD" w:rsidRDefault="003317D3">
      <w:pPr>
        <w:spacing w:line="360" w:lineRule="auto"/>
        <w:ind w:firstLine="480"/>
        <w:rPr>
          <w:bCs/>
          <w:sz w:val="24"/>
        </w:rPr>
      </w:pPr>
      <w:r>
        <w:rPr>
          <w:rFonts w:hint="eastAsia"/>
          <w:bCs/>
          <w:sz w:val="24"/>
        </w:rPr>
        <w:t>债券投资受利率风险的影响。本基金将根据对影响债券投资的宏观经济状况和货币政策等因素的分析判断，形成对未来市场利率变动方向的预期，进而主动调整所持有的债券资产组合的</w:t>
      </w:r>
      <w:proofErr w:type="gramStart"/>
      <w:r>
        <w:rPr>
          <w:rFonts w:hint="eastAsia"/>
          <w:bCs/>
          <w:sz w:val="24"/>
        </w:rPr>
        <w:t>久期值</w:t>
      </w:r>
      <w:proofErr w:type="gramEnd"/>
      <w:r>
        <w:rPr>
          <w:rFonts w:hint="eastAsia"/>
          <w:bCs/>
          <w:sz w:val="24"/>
        </w:rPr>
        <w:t>，达到增加收益或减少损失的目的。</w:t>
      </w:r>
    </w:p>
    <w:p w:rsidR="00562FFD" w:rsidRDefault="003317D3">
      <w:pPr>
        <w:spacing w:line="360" w:lineRule="auto"/>
        <w:ind w:firstLine="480"/>
        <w:rPr>
          <w:bCs/>
          <w:sz w:val="24"/>
        </w:rPr>
      </w:pPr>
      <w:r>
        <w:rPr>
          <w:rFonts w:hint="eastAsia"/>
          <w:bCs/>
          <w:sz w:val="24"/>
        </w:rPr>
        <w:t>当预期市场总体利率水平降低时，本基金将延长所持有的债券组合的</w:t>
      </w:r>
      <w:proofErr w:type="gramStart"/>
      <w:r>
        <w:rPr>
          <w:rFonts w:hint="eastAsia"/>
          <w:bCs/>
          <w:sz w:val="24"/>
        </w:rPr>
        <w:t>久期值</w:t>
      </w:r>
      <w:proofErr w:type="gramEnd"/>
      <w:r>
        <w:rPr>
          <w:rFonts w:hint="eastAsia"/>
          <w:bCs/>
          <w:sz w:val="24"/>
        </w:rPr>
        <w:t>，从而可以在市场利率实际下降时获得债券价格上升收益；反之，当预期市场总体利率水平上升时，则缩短组合久期，以规避债券价格下降的风险带来的资本损失，获得较高的再投资收益。</w:t>
      </w:r>
    </w:p>
    <w:p w:rsidR="00562FFD" w:rsidRDefault="003317D3">
      <w:pPr>
        <w:spacing w:line="360" w:lineRule="auto"/>
        <w:ind w:firstLine="480"/>
        <w:rPr>
          <w:bCs/>
          <w:sz w:val="24"/>
        </w:rPr>
      </w:pPr>
      <w:r>
        <w:rPr>
          <w:rFonts w:hint="eastAsia"/>
          <w:bCs/>
          <w:sz w:val="24"/>
        </w:rPr>
        <w:t>（</w:t>
      </w:r>
      <w:r>
        <w:rPr>
          <w:rFonts w:hint="eastAsia"/>
          <w:bCs/>
          <w:sz w:val="24"/>
        </w:rPr>
        <w:t>3</w:t>
      </w:r>
      <w:r>
        <w:rPr>
          <w:rFonts w:hint="eastAsia"/>
          <w:bCs/>
          <w:sz w:val="24"/>
        </w:rPr>
        <w:t>）收益率曲线配置策略</w:t>
      </w:r>
    </w:p>
    <w:p w:rsidR="00562FFD" w:rsidRDefault="003317D3">
      <w:pPr>
        <w:spacing w:line="360" w:lineRule="auto"/>
        <w:ind w:firstLine="480"/>
        <w:rPr>
          <w:bCs/>
          <w:sz w:val="24"/>
        </w:rPr>
      </w:pPr>
      <w:r>
        <w:rPr>
          <w:rFonts w:hint="eastAsia"/>
          <w:bCs/>
          <w:sz w:val="24"/>
        </w:rPr>
        <w:t>本基金将综合考察收益率曲线和信用利差曲线，通过预期收益率曲线形态变化和信用利差曲线走势来调整投资组合的头寸。</w:t>
      </w:r>
    </w:p>
    <w:p w:rsidR="00562FFD" w:rsidRDefault="003317D3">
      <w:pPr>
        <w:spacing w:line="360" w:lineRule="auto"/>
        <w:ind w:firstLine="480"/>
        <w:rPr>
          <w:bCs/>
          <w:sz w:val="24"/>
        </w:rPr>
      </w:pPr>
      <w:r>
        <w:rPr>
          <w:rFonts w:hint="eastAsia"/>
          <w:bCs/>
          <w:sz w:val="24"/>
        </w:rPr>
        <w:t>在考察收益率曲线的基础上，本基金将确定采用集中策略、哑铃策略或梯形策略等，以从收益率曲线的形变和不同期限信用债券的相对价格变化中获利。一</w:t>
      </w:r>
      <w:r>
        <w:rPr>
          <w:rFonts w:hint="eastAsia"/>
          <w:bCs/>
          <w:sz w:val="24"/>
        </w:rPr>
        <w:lastRenderedPageBreak/>
        <w:t>般而言，当预期收益率曲线</w:t>
      </w:r>
      <w:proofErr w:type="gramStart"/>
      <w:r>
        <w:rPr>
          <w:rFonts w:hint="eastAsia"/>
          <w:bCs/>
          <w:sz w:val="24"/>
        </w:rPr>
        <w:t>变陡时</w:t>
      </w:r>
      <w:proofErr w:type="gramEnd"/>
      <w:r>
        <w:rPr>
          <w:rFonts w:hint="eastAsia"/>
          <w:bCs/>
          <w:sz w:val="24"/>
        </w:rPr>
        <w:t>，本基金将采用集中策略；当预期收益率曲线变平时，将采用哑铃策略；在预期收益率曲线不变或平行移动时，则采用梯形策略。</w:t>
      </w:r>
    </w:p>
    <w:p w:rsidR="00562FFD" w:rsidRDefault="003317D3">
      <w:pPr>
        <w:spacing w:line="360" w:lineRule="auto"/>
        <w:ind w:firstLine="480"/>
        <w:rPr>
          <w:bCs/>
          <w:sz w:val="24"/>
        </w:rPr>
      </w:pPr>
      <w:r>
        <w:rPr>
          <w:rFonts w:hint="eastAsia"/>
          <w:bCs/>
          <w:sz w:val="24"/>
        </w:rPr>
        <w:t>本基金还将通过研究影响信用利差曲线的经济周期、市场供求关系和流动性变化等因素，确定信用债券的行业配置和各信用级别信用债券所占投资比例。</w:t>
      </w:r>
    </w:p>
    <w:p w:rsidR="00562FFD" w:rsidRDefault="003317D3">
      <w:pPr>
        <w:spacing w:line="360" w:lineRule="auto"/>
        <w:ind w:firstLine="480"/>
        <w:rPr>
          <w:bCs/>
          <w:sz w:val="24"/>
        </w:rPr>
      </w:pPr>
      <w:r>
        <w:rPr>
          <w:rFonts w:hint="eastAsia"/>
          <w:bCs/>
          <w:sz w:val="24"/>
        </w:rPr>
        <w:t>（</w:t>
      </w:r>
      <w:r>
        <w:rPr>
          <w:rFonts w:hint="eastAsia"/>
          <w:bCs/>
          <w:sz w:val="24"/>
        </w:rPr>
        <w:t>4</w:t>
      </w:r>
      <w:r>
        <w:rPr>
          <w:rFonts w:hint="eastAsia"/>
          <w:bCs/>
          <w:sz w:val="24"/>
        </w:rPr>
        <w:t>）基于信用变化策略</w:t>
      </w:r>
    </w:p>
    <w:p w:rsidR="00562FFD" w:rsidRDefault="003317D3">
      <w:pPr>
        <w:spacing w:line="360" w:lineRule="auto"/>
        <w:ind w:firstLine="480"/>
        <w:rPr>
          <w:bCs/>
          <w:sz w:val="24"/>
        </w:rPr>
      </w:pPr>
      <w:r>
        <w:rPr>
          <w:rFonts w:hint="eastAsia"/>
          <w:bCs/>
          <w:sz w:val="24"/>
        </w:rPr>
        <w:t>信用债券的信用利差与债券发行人所在行业特征和自身情况密切相关。本基金将通过行业分析、公司资产负债分析、公司现金流分析、公司运营管理分析和公司发展前景分析等细致的调查研究，依靠本基金内部信用评级系统建立信用债券的内部评级，分析违约风险及合理的信用利差水平，对信用债券进行独立、客观的价值评估。</w:t>
      </w:r>
    </w:p>
    <w:p w:rsidR="00562FFD" w:rsidRDefault="003317D3">
      <w:pPr>
        <w:spacing w:line="360" w:lineRule="auto"/>
        <w:ind w:firstLine="480"/>
        <w:rPr>
          <w:bCs/>
          <w:sz w:val="24"/>
        </w:rPr>
      </w:pPr>
      <w:r>
        <w:rPr>
          <w:rFonts w:hint="eastAsia"/>
          <w:bCs/>
          <w:sz w:val="24"/>
        </w:rPr>
        <w:t>（</w:t>
      </w:r>
      <w:r>
        <w:rPr>
          <w:rFonts w:hint="eastAsia"/>
          <w:bCs/>
          <w:sz w:val="24"/>
        </w:rPr>
        <w:t>5</w:t>
      </w:r>
      <w:r>
        <w:rPr>
          <w:rFonts w:hint="eastAsia"/>
          <w:bCs/>
          <w:sz w:val="24"/>
        </w:rPr>
        <w:t>）息差策略</w:t>
      </w:r>
    </w:p>
    <w:p w:rsidR="00562FFD" w:rsidRDefault="003317D3">
      <w:pPr>
        <w:spacing w:line="360" w:lineRule="auto"/>
        <w:ind w:firstLine="480"/>
        <w:rPr>
          <w:bCs/>
          <w:sz w:val="24"/>
        </w:rPr>
      </w:pPr>
      <w:r>
        <w:rPr>
          <w:rFonts w:hint="eastAsia"/>
          <w:bCs/>
          <w:sz w:val="24"/>
        </w:rPr>
        <w:t>当回购利率低于债券收益率时，本基金将实施正回购并将所融入的资金投资于债券，从而获取债券收益率超出回购资金成本（即回购利率）的套利价值。</w:t>
      </w:r>
    </w:p>
    <w:p w:rsidR="00562FFD" w:rsidRDefault="003317D3">
      <w:pPr>
        <w:spacing w:line="360" w:lineRule="auto"/>
        <w:ind w:firstLine="480"/>
        <w:rPr>
          <w:bCs/>
          <w:sz w:val="24"/>
        </w:rPr>
      </w:pPr>
      <w:r>
        <w:rPr>
          <w:rFonts w:hint="eastAsia"/>
          <w:bCs/>
          <w:sz w:val="24"/>
        </w:rPr>
        <w:t>（</w:t>
      </w:r>
      <w:r>
        <w:rPr>
          <w:rFonts w:hint="eastAsia"/>
          <w:bCs/>
          <w:sz w:val="24"/>
        </w:rPr>
        <w:t>6</w:t>
      </w:r>
      <w:r>
        <w:rPr>
          <w:rFonts w:hint="eastAsia"/>
          <w:bCs/>
          <w:sz w:val="24"/>
        </w:rPr>
        <w:t>）信用债券精选策略</w:t>
      </w:r>
    </w:p>
    <w:p w:rsidR="00562FFD" w:rsidRDefault="003317D3">
      <w:pPr>
        <w:spacing w:line="360" w:lineRule="auto"/>
        <w:ind w:firstLine="480"/>
        <w:rPr>
          <w:bCs/>
          <w:sz w:val="24"/>
        </w:rPr>
      </w:pPr>
      <w:r>
        <w:rPr>
          <w:rFonts w:hint="eastAsia"/>
          <w:bCs/>
          <w:sz w:val="24"/>
        </w:rPr>
        <w:t>本基金将根据信用债券市场的收益率水平，在综合考虑信用等级、期限、流动性、市场分割、息票率、税赋特点、提前偿还和赎回等因素的基础上，建立不同品种的收益率曲线预测模型和信用利差曲线预测模型，并通过这些模型进行估值，重点选择具备以下特征的信用债券：较高到期收益率、较高当期收入、价值被低估、预期信用质量将改善、期权和债权突出、属于创新品种而价值尚未被市场充分发现。</w:t>
      </w:r>
    </w:p>
    <w:p w:rsidR="00562FFD" w:rsidRDefault="003317D3">
      <w:pPr>
        <w:spacing w:line="360" w:lineRule="auto"/>
        <w:ind w:firstLine="480"/>
        <w:rPr>
          <w:bCs/>
          <w:sz w:val="24"/>
        </w:rPr>
      </w:pPr>
      <w:r>
        <w:rPr>
          <w:rFonts w:hint="eastAsia"/>
          <w:bCs/>
          <w:sz w:val="24"/>
        </w:rPr>
        <w:t>对于信用类债券，本基金将根据发行人的公司背景、行业特性、盈利能力、偿债能力、流动性等因素，对信用</w:t>
      </w:r>
      <w:proofErr w:type="gramStart"/>
      <w:r>
        <w:rPr>
          <w:rFonts w:hint="eastAsia"/>
          <w:bCs/>
          <w:sz w:val="24"/>
        </w:rPr>
        <w:t>债进行</w:t>
      </w:r>
      <w:proofErr w:type="gramEnd"/>
      <w:r>
        <w:rPr>
          <w:rFonts w:hint="eastAsia"/>
          <w:bCs/>
          <w:sz w:val="24"/>
        </w:rPr>
        <w:t>综合信用风险评估，在尽可能规避违约风险的前提下，挖掘有价值的投资机会，我们的投资不完全依赖于外部评级，</w:t>
      </w:r>
      <w:r w:rsidR="00B920E8" w:rsidRPr="00B920E8">
        <w:rPr>
          <w:rFonts w:hint="eastAsia"/>
          <w:bCs/>
          <w:sz w:val="24"/>
        </w:rPr>
        <w:t>本基金仅投资于</w:t>
      </w:r>
      <w:r w:rsidR="00B920E8" w:rsidRPr="00B920E8">
        <w:rPr>
          <w:rFonts w:hint="eastAsia"/>
          <w:bCs/>
          <w:sz w:val="24"/>
        </w:rPr>
        <w:t>AA</w:t>
      </w:r>
      <w:r w:rsidR="00B920E8">
        <w:rPr>
          <w:rFonts w:hint="eastAsia"/>
          <w:bCs/>
          <w:sz w:val="24"/>
        </w:rPr>
        <w:t>级以上的信用债，其中</w:t>
      </w:r>
      <w:r>
        <w:rPr>
          <w:rFonts w:hint="eastAsia"/>
          <w:bCs/>
          <w:sz w:val="24"/>
        </w:rPr>
        <w:t>AA+</w:t>
      </w:r>
      <w:r>
        <w:rPr>
          <w:rFonts w:hint="eastAsia"/>
          <w:bCs/>
          <w:sz w:val="24"/>
        </w:rPr>
        <w:t>级</w:t>
      </w:r>
      <w:proofErr w:type="gramStart"/>
      <w:r>
        <w:rPr>
          <w:rFonts w:hint="eastAsia"/>
          <w:bCs/>
          <w:sz w:val="24"/>
        </w:rPr>
        <w:t>信用债占本</w:t>
      </w:r>
      <w:proofErr w:type="gramEnd"/>
      <w:r>
        <w:rPr>
          <w:rFonts w:hint="eastAsia"/>
          <w:bCs/>
          <w:sz w:val="24"/>
        </w:rPr>
        <w:t>基金所投资的信用</w:t>
      </w:r>
      <w:proofErr w:type="gramStart"/>
      <w:r>
        <w:rPr>
          <w:rFonts w:hint="eastAsia"/>
          <w:bCs/>
          <w:sz w:val="24"/>
        </w:rPr>
        <w:t>债比例</w:t>
      </w:r>
      <w:proofErr w:type="gramEnd"/>
      <w:r>
        <w:rPr>
          <w:rFonts w:hint="eastAsia"/>
          <w:bCs/>
          <w:sz w:val="24"/>
        </w:rPr>
        <w:t>为</w:t>
      </w:r>
      <w:r>
        <w:rPr>
          <w:rFonts w:hint="eastAsia"/>
          <w:bCs/>
          <w:sz w:val="24"/>
        </w:rPr>
        <w:t>0-</w:t>
      </w:r>
      <w:r>
        <w:rPr>
          <w:bCs/>
          <w:sz w:val="24"/>
        </w:rPr>
        <w:t>5</w:t>
      </w:r>
      <w:r>
        <w:rPr>
          <w:rFonts w:hint="eastAsia"/>
          <w:bCs/>
          <w:sz w:val="24"/>
        </w:rPr>
        <w:t>0%</w:t>
      </w:r>
      <w:r>
        <w:rPr>
          <w:rFonts w:hint="eastAsia"/>
          <w:bCs/>
          <w:sz w:val="24"/>
        </w:rPr>
        <w:t>；</w:t>
      </w:r>
      <w:r>
        <w:rPr>
          <w:rFonts w:hint="eastAsia"/>
          <w:bCs/>
          <w:sz w:val="24"/>
        </w:rPr>
        <w:t>AAA</w:t>
      </w:r>
      <w:r>
        <w:rPr>
          <w:rFonts w:hint="eastAsia"/>
          <w:bCs/>
          <w:sz w:val="24"/>
        </w:rPr>
        <w:t>级</w:t>
      </w:r>
      <w:proofErr w:type="gramStart"/>
      <w:r>
        <w:rPr>
          <w:rFonts w:hint="eastAsia"/>
          <w:bCs/>
          <w:sz w:val="24"/>
        </w:rPr>
        <w:t>信用债占本</w:t>
      </w:r>
      <w:proofErr w:type="gramEnd"/>
      <w:r>
        <w:rPr>
          <w:rFonts w:hint="eastAsia"/>
          <w:bCs/>
          <w:sz w:val="24"/>
        </w:rPr>
        <w:t>基金所投资的信用</w:t>
      </w:r>
      <w:proofErr w:type="gramStart"/>
      <w:r>
        <w:rPr>
          <w:rFonts w:hint="eastAsia"/>
          <w:bCs/>
          <w:sz w:val="24"/>
        </w:rPr>
        <w:t>债比例</w:t>
      </w:r>
      <w:proofErr w:type="gramEnd"/>
      <w:r>
        <w:rPr>
          <w:rFonts w:hint="eastAsia"/>
          <w:bCs/>
          <w:sz w:val="24"/>
        </w:rPr>
        <w:t>为</w:t>
      </w:r>
      <w:r>
        <w:rPr>
          <w:bCs/>
          <w:sz w:val="24"/>
        </w:rPr>
        <w:t>5</w:t>
      </w:r>
      <w:r>
        <w:rPr>
          <w:rFonts w:hint="eastAsia"/>
          <w:bCs/>
          <w:sz w:val="24"/>
        </w:rPr>
        <w:t>0%-100%</w:t>
      </w:r>
      <w:r>
        <w:rPr>
          <w:rFonts w:hint="eastAsia"/>
          <w:bCs/>
          <w:sz w:val="24"/>
        </w:rPr>
        <w:t>，以上评级参考主体评级，如无主体评级，参考债项评级，评级公司不包含中债资信。</w:t>
      </w:r>
    </w:p>
    <w:p w:rsidR="00562FFD" w:rsidRDefault="003317D3">
      <w:pPr>
        <w:spacing w:line="360" w:lineRule="auto"/>
        <w:ind w:firstLine="480"/>
        <w:rPr>
          <w:bCs/>
          <w:sz w:val="24"/>
        </w:rPr>
      </w:pPr>
      <w:r>
        <w:rPr>
          <w:rFonts w:hint="eastAsia"/>
          <w:bCs/>
          <w:sz w:val="24"/>
        </w:rPr>
        <w:t>如本基金遭遇巨额赎回、资产变现过程中因流动性等原因部分资产无法变现致使基金投资不符合上述投资策略的，基金管理人可以根据市场情况进行调整。</w:t>
      </w:r>
    </w:p>
    <w:p w:rsidR="00562FFD" w:rsidRDefault="003317D3">
      <w:pPr>
        <w:spacing w:line="360" w:lineRule="auto"/>
        <w:ind w:firstLine="480"/>
        <w:rPr>
          <w:bCs/>
          <w:sz w:val="24"/>
        </w:rPr>
      </w:pPr>
      <w:r>
        <w:rPr>
          <w:rFonts w:hint="eastAsia"/>
          <w:bCs/>
          <w:sz w:val="24"/>
        </w:rPr>
        <w:lastRenderedPageBreak/>
        <w:t>（</w:t>
      </w:r>
      <w:r>
        <w:rPr>
          <w:rFonts w:hint="eastAsia"/>
          <w:bCs/>
          <w:sz w:val="24"/>
        </w:rPr>
        <w:t>7</w:t>
      </w:r>
      <w:r>
        <w:rPr>
          <w:rFonts w:hint="eastAsia"/>
          <w:bCs/>
          <w:sz w:val="24"/>
        </w:rPr>
        <w:t>）可转换债券及可交换债券投资策略</w:t>
      </w:r>
    </w:p>
    <w:p w:rsidR="00562FFD" w:rsidRDefault="003317D3">
      <w:pPr>
        <w:spacing w:line="360" w:lineRule="auto"/>
        <w:ind w:firstLine="480"/>
        <w:rPr>
          <w:bCs/>
          <w:sz w:val="24"/>
        </w:rPr>
      </w:pPr>
      <w:r>
        <w:rPr>
          <w:rFonts w:hint="eastAsia"/>
          <w:bCs/>
          <w:sz w:val="24"/>
        </w:rPr>
        <w:t>本基金着重对可转换债券对应的基础股票的分析与研究，同时兼顾其债券价值和转换期权价值，对那些有着较强的盈利能力或成长潜力的上市公司的可转换债券进行重点投资。本基金管理人将对可转换债券对应的基础股票的基本面进行分析，包括所处行业的景气度、成长性、核心竞争力等，并参考同类公司的估值水平，</w:t>
      </w:r>
      <w:proofErr w:type="gramStart"/>
      <w:r>
        <w:rPr>
          <w:rFonts w:hint="eastAsia"/>
          <w:bCs/>
          <w:sz w:val="24"/>
        </w:rPr>
        <w:t>研</w:t>
      </w:r>
      <w:proofErr w:type="gramEnd"/>
      <w:r>
        <w:rPr>
          <w:rFonts w:hint="eastAsia"/>
          <w:bCs/>
          <w:sz w:val="24"/>
        </w:rPr>
        <w:t>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rsidR="00562FFD" w:rsidRDefault="003317D3">
      <w:pPr>
        <w:spacing w:line="360" w:lineRule="auto"/>
        <w:ind w:firstLine="480"/>
        <w:rPr>
          <w:bCs/>
          <w:sz w:val="24"/>
        </w:rPr>
      </w:pPr>
      <w:r>
        <w:rPr>
          <w:rFonts w:hint="eastAsia"/>
          <w:bCs/>
          <w:sz w:val="24"/>
        </w:rPr>
        <w:t>可交换债券同样具有债券属性和权益属性，其中债券属性与可转换债券相同，即选择持有可交换债券至到期以获取票面价值和票面利息；而对于权益属性的分析则需关注目标公司的股票价值以及发行人作为股东的换股意愿等。本基金将通过对目标公司股票的投资价值、可交换债券的债券价值、以及条款带来的期权价值等综合分析，进行投资决策。</w:t>
      </w:r>
    </w:p>
    <w:p w:rsidR="00562FFD" w:rsidRDefault="003317D3">
      <w:pPr>
        <w:spacing w:line="360" w:lineRule="auto"/>
        <w:ind w:firstLine="480"/>
        <w:rPr>
          <w:bCs/>
          <w:sz w:val="24"/>
        </w:rPr>
      </w:pPr>
      <w:r>
        <w:rPr>
          <w:rFonts w:hint="eastAsia"/>
          <w:bCs/>
          <w:sz w:val="24"/>
        </w:rPr>
        <w:t>此外，本基金还将根据新发可转债和可交换债券的预计中签率、模型定价结果，积极参与可转债和可交换债券新券的申购。本基金投资于可转债和可交换债的比例合计不超过基金资产净值的</w:t>
      </w:r>
      <w:r>
        <w:rPr>
          <w:rFonts w:hint="eastAsia"/>
          <w:bCs/>
          <w:sz w:val="24"/>
        </w:rPr>
        <w:t>20%</w:t>
      </w:r>
      <w:r>
        <w:rPr>
          <w:rFonts w:hint="eastAsia"/>
          <w:bCs/>
          <w:sz w:val="24"/>
        </w:rPr>
        <w:t>。</w:t>
      </w:r>
    </w:p>
    <w:p w:rsidR="00562FFD" w:rsidRDefault="003317D3">
      <w:pPr>
        <w:spacing w:line="360" w:lineRule="auto"/>
        <w:ind w:firstLine="480"/>
        <w:rPr>
          <w:bCs/>
          <w:sz w:val="24"/>
        </w:rPr>
      </w:pPr>
      <w:r>
        <w:rPr>
          <w:rFonts w:hint="eastAsia"/>
          <w:bCs/>
          <w:sz w:val="24"/>
        </w:rPr>
        <w:t>如本基金遭遇巨额赎回、资产变现过程中因流动性等原因部分资产无法变现致使基金投资不符合上述投资策略的，基金管理人可以根据市场情况进行调整。</w:t>
      </w:r>
    </w:p>
    <w:p w:rsidR="00562FFD" w:rsidRDefault="003317D3">
      <w:pPr>
        <w:spacing w:line="360" w:lineRule="auto"/>
        <w:ind w:firstLine="480"/>
        <w:rPr>
          <w:bCs/>
          <w:sz w:val="24"/>
        </w:rPr>
      </w:pPr>
      <w:r>
        <w:rPr>
          <w:rFonts w:hint="eastAsia"/>
          <w:bCs/>
          <w:sz w:val="24"/>
        </w:rPr>
        <w:t>（</w:t>
      </w:r>
      <w:r>
        <w:rPr>
          <w:rFonts w:hint="eastAsia"/>
          <w:bCs/>
          <w:sz w:val="24"/>
        </w:rPr>
        <w:t>8</w:t>
      </w:r>
      <w:r>
        <w:rPr>
          <w:rFonts w:hint="eastAsia"/>
          <w:bCs/>
          <w:sz w:val="24"/>
        </w:rPr>
        <w:t>）证券公司短期公司债券投资策略</w:t>
      </w:r>
    </w:p>
    <w:p w:rsidR="00562FFD" w:rsidRDefault="003317D3">
      <w:pPr>
        <w:spacing w:line="360" w:lineRule="auto"/>
        <w:ind w:firstLine="480"/>
        <w:rPr>
          <w:bCs/>
          <w:sz w:val="24"/>
        </w:rPr>
      </w:pPr>
      <w:r>
        <w:rPr>
          <w:rFonts w:hint="eastAsia"/>
          <w:bCs/>
          <w:sz w:val="24"/>
        </w:rPr>
        <w:t>本基金投资证券公司短期公司债券，将通过对证券行业分析、证券公司资产负债分析、公司现金流分析等调查研究，分析证券公司短期公司债券的违约风险及合理的利差水平，对证券公司短期公司债券进行独立、客观的价值评估。基金管理人将根据审慎原则，制定严格的投资决策流程、风险控制制度，并经董事会批准，以防范信用风险、流动性风险等各种风险。</w:t>
      </w:r>
    </w:p>
    <w:p w:rsidR="00562FFD" w:rsidRDefault="003317D3">
      <w:pPr>
        <w:spacing w:line="360" w:lineRule="auto"/>
        <w:ind w:firstLine="480"/>
        <w:rPr>
          <w:bCs/>
          <w:sz w:val="24"/>
        </w:rPr>
      </w:pPr>
      <w:r>
        <w:rPr>
          <w:bCs/>
          <w:sz w:val="24"/>
        </w:rPr>
        <w:t>3</w:t>
      </w:r>
      <w:r>
        <w:rPr>
          <w:rFonts w:hint="eastAsia"/>
          <w:bCs/>
          <w:sz w:val="24"/>
        </w:rPr>
        <w:t>、股票投资策略</w:t>
      </w:r>
    </w:p>
    <w:p w:rsidR="00562FFD" w:rsidRDefault="003317D3">
      <w:pPr>
        <w:spacing w:line="360" w:lineRule="auto"/>
        <w:ind w:firstLine="480"/>
        <w:rPr>
          <w:bCs/>
          <w:sz w:val="24"/>
        </w:rPr>
      </w:pPr>
      <w:r>
        <w:rPr>
          <w:rFonts w:hint="eastAsia"/>
          <w:bCs/>
          <w:sz w:val="24"/>
        </w:rPr>
        <w:t>（</w:t>
      </w:r>
      <w:r>
        <w:rPr>
          <w:bCs/>
          <w:sz w:val="24"/>
        </w:rPr>
        <w:t>1</w:t>
      </w:r>
      <w:r>
        <w:rPr>
          <w:rFonts w:hint="eastAsia"/>
          <w:bCs/>
          <w:sz w:val="24"/>
        </w:rPr>
        <w:t>）个股精选策略</w:t>
      </w:r>
    </w:p>
    <w:p w:rsidR="00562FFD" w:rsidRDefault="003317D3">
      <w:pPr>
        <w:spacing w:line="360" w:lineRule="auto"/>
        <w:ind w:firstLine="480"/>
        <w:rPr>
          <w:bCs/>
          <w:sz w:val="24"/>
        </w:rPr>
      </w:pPr>
      <w:r>
        <w:rPr>
          <w:rFonts w:hint="eastAsia"/>
          <w:bCs/>
          <w:sz w:val="24"/>
        </w:rPr>
        <w:t>在行业配置的基础上，本基金管理人将采用自下而上的研究方法，采取定性和定量分析相结合的方法对上市公司基本面进行深入分析，运用不同的估值方法</w:t>
      </w:r>
      <w:r>
        <w:rPr>
          <w:rFonts w:hint="eastAsia"/>
          <w:bCs/>
          <w:sz w:val="24"/>
        </w:rPr>
        <w:lastRenderedPageBreak/>
        <w:t>对上市公司的估值水平进行分析，精选优质股票构建投资组合。</w:t>
      </w:r>
    </w:p>
    <w:p w:rsidR="00562FFD" w:rsidRDefault="003317D3">
      <w:pPr>
        <w:spacing w:line="360" w:lineRule="auto"/>
        <w:ind w:firstLine="480"/>
        <w:rPr>
          <w:bCs/>
          <w:sz w:val="24"/>
        </w:rPr>
      </w:pPr>
      <w:r>
        <w:rPr>
          <w:rFonts w:hint="eastAsia"/>
          <w:bCs/>
          <w:sz w:val="24"/>
        </w:rPr>
        <w:t>1</w:t>
      </w:r>
      <w:r>
        <w:rPr>
          <w:rFonts w:hint="eastAsia"/>
          <w:bCs/>
          <w:sz w:val="24"/>
        </w:rPr>
        <w:t>）本基金对上市公司的定性分析主要包括以下几个方面：</w:t>
      </w:r>
    </w:p>
    <w:p w:rsidR="00562FFD" w:rsidRDefault="003317D3">
      <w:pPr>
        <w:spacing w:line="360" w:lineRule="auto"/>
        <w:ind w:firstLine="480"/>
        <w:rPr>
          <w:bCs/>
          <w:sz w:val="24"/>
        </w:rPr>
      </w:pPr>
      <w:r>
        <w:rPr>
          <w:rFonts w:hint="eastAsia"/>
          <w:bCs/>
          <w:sz w:val="24"/>
        </w:rPr>
        <w:t>A</w:t>
      </w:r>
      <w:r>
        <w:rPr>
          <w:rFonts w:hint="eastAsia"/>
          <w:bCs/>
          <w:sz w:val="24"/>
        </w:rPr>
        <w:t>公司的竞争优势：重点考察公司的市场优势、资源优势、产品优势、政策优势等；</w:t>
      </w:r>
    </w:p>
    <w:p w:rsidR="00562FFD" w:rsidRDefault="003317D3">
      <w:pPr>
        <w:spacing w:line="360" w:lineRule="auto"/>
        <w:ind w:firstLine="480"/>
        <w:rPr>
          <w:bCs/>
          <w:sz w:val="24"/>
        </w:rPr>
      </w:pPr>
      <w:r>
        <w:rPr>
          <w:rFonts w:hint="eastAsia"/>
          <w:bCs/>
          <w:sz w:val="24"/>
        </w:rPr>
        <w:t>B</w:t>
      </w:r>
      <w:r>
        <w:rPr>
          <w:rFonts w:hint="eastAsia"/>
          <w:bCs/>
          <w:sz w:val="24"/>
        </w:rPr>
        <w:t>公司的盈利模式：对企业盈利模式的考察重点关注企业盈利模式的属性以及成熟程度，是否具有不可复制性、可持续性、稳定性；</w:t>
      </w:r>
    </w:p>
    <w:p w:rsidR="00562FFD" w:rsidRDefault="003317D3">
      <w:pPr>
        <w:spacing w:line="360" w:lineRule="auto"/>
        <w:ind w:firstLine="480"/>
        <w:rPr>
          <w:bCs/>
          <w:sz w:val="24"/>
        </w:rPr>
      </w:pPr>
      <w:r>
        <w:rPr>
          <w:rFonts w:hint="eastAsia"/>
          <w:bCs/>
          <w:sz w:val="24"/>
        </w:rPr>
        <w:t>C</w:t>
      </w:r>
      <w:r>
        <w:rPr>
          <w:rFonts w:hint="eastAsia"/>
          <w:bCs/>
          <w:sz w:val="24"/>
        </w:rPr>
        <w:t>公司治理方面：考察公司是否有清晰、合理、可执行的发展战略；是否具有合理的治理结构，管理团队是否团结高效、经验丰富，是否具有进取精神等。</w:t>
      </w:r>
    </w:p>
    <w:p w:rsidR="00562FFD" w:rsidRDefault="003317D3">
      <w:pPr>
        <w:spacing w:line="360" w:lineRule="auto"/>
        <w:ind w:firstLine="480"/>
        <w:rPr>
          <w:bCs/>
          <w:sz w:val="24"/>
        </w:rPr>
      </w:pPr>
      <w:r>
        <w:rPr>
          <w:rFonts w:hint="eastAsia"/>
          <w:bCs/>
          <w:sz w:val="24"/>
        </w:rPr>
        <w:t>2</w:t>
      </w:r>
      <w:r>
        <w:rPr>
          <w:rFonts w:hint="eastAsia"/>
          <w:bCs/>
          <w:sz w:val="24"/>
        </w:rPr>
        <w:t>）本基金对上市公司的定量分析主要包括以下指标：</w:t>
      </w:r>
    </w:p>
    <w:p w:rsidR="00562FFD" w:rsidRDefault="003317D3">
      <w:pPr>
        <w:spacing w:line="360" w:lineRule="auto"/>
        <w:ind w:firstLine="480"/>
        <w:rPr>
          <w:bCs/>
          <w:sz w:val="24"/>
        </w:rPr>
      </w:pPr>
      <w:r>
        <w:rPr>
          <w:rFonts w:hint="eastAsia"/>
          <w:bCs/>
          <w:sz w:val="24"/>
        </w:rPr>
        <w:t>A</w:t>
      </w:r>
      <w:r>
        <w:rPr>
          <w:rFonts w:hint="eastAsia"/>
          <w:bCs/>
          <w:sz w:val="24"/>
        </w:rPr>
        <w:t>成长性指标：收入增长率、营业利润增长率和净利润增长率等；</w:t>
      </w:r>
    </w:p>
    <w:p w:rsidR="00562FFD" w:rsidRDefault="003317D3">
      <w:pPr>
        <w:spacing w:line="360" w:lineRule="auto"/>
        <w:ind w:firstLine="480"/>
        <w:rPr>
          <w:bCs/>
          <w:sz w:val="24"/>
        </w:rPr>
      </w:pPr>
      <w:r>
        <w:rPr>
          <w:rFonts w:hint="eastAsia"/>
          <w:bCs/>
          <w:sz w:val="24"/>
        </w:rPr>
        <w:t>B</w:t>
      </w:r>
      <w:r>
        <w:rPr>
          <w:rFonts w:hint="eastAsia"/>
          <w:bCs/>
          <w:sz w:val="24"/>
        </w:rPr>
        <w:t>财务指标：毛利率、营业利润率、净利率、净资产收益率、经营活动净收益</w:t>
      </w:r>
      <w:r>
        <w:rPr>
          <w:rFonts w:hint="eastAsia"/>
          <w:bCs/>
          <w:sz w:val="24"/>
        </w:rPr>
        <w:t>/</w:t>
      </w:r>
      <w:r>
        <w:rPr>
          <w:rFonts w:hint="eastAsia"/>
          <w:bCs/>
          <w:sz w:val="24"/>
        </w:rPr>
        <w:t>利润总额等；</w:t>
      </w:r>
    </w:p>
    <w:p w:rsidR="00562FFD" w:rsidRDefault="003317D3">
      <w:pPr>
        <w:spacing w:line="360" w:lineRule="auto"/>
        <w:ind w:firstLine="480"/>
        <w:rPr>
          <w:bCs/>
          <w:sz w:val="24"/>
        </w:rPr>
      </w:pPr>
      <w:r>
        <w:rPr>
          <w:rFonts w:hint="eastAsia"/>
          <w:bCs/>
          <w:sz w:val="24"/>
        </w:rPr>
        <w:t>C</w:t>
      </w:r>
      <w:r>
        <w:rPr>
          <w:rFonts w:hint="eastAsia"/>
          <w:bCs/>
          <w:sz w:val="24"/>
        </w:rPr>
        <w:t>市值指标：市盈率（</w:t>
      </w:r>
      <w:r>
        <w:rPr>
          <w:rFonts w:hint="eastAsia"/>
          <w:bCs/>
          <w:sz w:val="24"/>
        </w:rPr>
        <w:t>PE</w:t>
      </w:r>
      <w:r>
        <w:rPr>
          <w:rFonts w:hint="eastAsia"/>
          <w:bCs/>
          <w:sz w:val="24"/>
        </w:rPr>
        <w:t>）、市盈率相对盈利增长比率（</w:t>
      </w:r>
      <w:r>
        <w:rPr>
          <w:rFonts w:hint="eastAsia"/>
          <w:bCs/>
          <w:sz w:val="24"/>
        </w:rPr>
        <w:t>PEG</w:t>
      </w:r>
      <w:r>
        <w:rPr>
          <w:rFonts w:hint="eastAsia"/>
          <w:bCs/>
          <w:sz w:val="24"/>
        </w:rPr>
        <w:t>）、市销率（</w:t>
      </w:r>
      <w:r>
        <w:rPr>
          <w:rFonts w:hint="eastAsia"/>
          <w:bCs/>
          <w:sz w:val="24"/>
        </w:rPr>
        <w:t>PS</w:t>
      </w:r>
      <w:r>
        <w:rPr>
          <w:rFonts w:hint="eastAsia"/>
          <w:bCs/>
          <w:sz w:val="24"/>
        </w:rPr>
        <w:t>）和总市值等。</w:t>
      </w:r>
    </w:p>
    <w:p w:rsidR="00562FFD" w:rsidRDefault="003317D3">
      <w:pPr>
        <w:spacing w:line="360" w:lineRule="auto"/>
        <w:ind w:firstLine="480"/>
        <w:rPr>
          <w:bCs/>
          <w:sz w:val="24"/>
          <w:lang w:val="zh-CN"/>
        </w:rPr>
      </w:pPr>
      <w:r>
        <w:rPr>
          <w:rFonts w:hint="eastAsia"/>
          <w:bCs/>
          <w:sz w:val="24"/>
          <w:lang w:val="zh-CN"/>
        </w:rPr>
        <w:t>（</w:t>
      </w:r>
      <w:r>
        <w:rPr>
          <w:bCs/>
          <w:sz w:val="24"/>
          <w:lang w:val="zh-CN"/>
        </w:rPr>
        <w:t>2</w:t>
      </w:r>
      <w:r>
        <w:rPr>
          <w:rFonts w:hint="eastAsia"/>
          <w:bCs/>
          <w:sz w:val="24"/>
          <w:lang w:val="zh-CN"/>
        </w:rPr>
        <w:t>）港股通标的股票投资策略</w:t>
      </w:r>
    </w:p>
    <w:p w:rsidR="00562FFD" w:rsidRDefault="003317D3">
      <w:pPr>
        <w:spacing w:line="360" w:lineRule="auto"/>
        <w:ind w:firstLine="480"/>
        <w:rPr>
          <w:bCs/>
          <w:sz w:val="24"/>
          <w:lang w:val="zh-CN"/>
        </w:rPr>
      </w:pPr>
      <w:r>
        <w:rPr>
          <w:rFonts w:hint="eastAsia"/>
          <w:bCs/>
          <w:sz w:val="24"/>
          <w:lang w:val="zh-CN"/>
        </w:rPr>
        <w:t>本基金可通过内地与香港股票市场交易互联互通机制投资于香港股票市场，</w:t>
      </w:r>
      <w:r>
        <w:rPr>
          <w:bCs/>
          <w:sz w:val="24"/>
          <w:lang w:val="zh-CN"/>
        </w:rPr>
        <w:t xml:space="preserve"> </w:t>
      </w:r>
      <w:r>
        <w:rPr>
          <w:rFonts w:hint="eastAsia"/>
          <w:bCs/>
          <w:sz w:val="24"/>
          <w:lang w:val="zh-CN"/>
        </w:rPr>
        <w:t>不使用合格境内机构投资者</w:t>
      </w:r>
      <w:r>
        <w:rPr>
          <w:bCs/>
          <w:sz w:val="24"/>
          <w:lang w:val="zh-CN"/>
        </w:rPr>
        <w:t>(QDII)</w:t>
      </w:r>
      <w:r>
        <w:rPr>
          <w:rFonts w:hint="eastAsia"/>
          <w:bCs/>
          <w:sz w:val="24"/>
          <w:lang w:val="zh-CN"/>
        </w:rPr>
        <w:t>境外投资额度进行境外投资。本基金将结合公司基本面、国际可比公司估值水平等影响港股投资的主要因素来决定港股权重配置和个股选择。</w:t>
      </w:r>
    </w:p>
    <w:p w:rsidR="00562FFD" w:rsidRDefault="003317D3">
      <w:pPr>
        <w:spacing w:line="360" w:lineRule="auto"/>
        <w:ind w:firstLine="480"/>
        <w:rPr>
          <w:bCs/>
          <w:sz w:val="24"/>
        </w:rPr>
      </w:pPr>
      <w:r>
        <w:rPr>
          <w:rFonts w:hint="eastAsia"/>
          <w:bCs/>
          <w:sz w:val="24"/>
        </w:rPr>
        <w:t>4</w:t>
      </w:r>
      <w:r>
        <w:rPr>
          <w:rFonts w:hint="eastAsia"/>
          <w:bCs/>
          <w:sz w:val="24"/>
        </w:rPr>
        <w:t>、</w:t>
      </w:r>
      <w:r>
        <w:rPr>
          <w:rFonts w:hint="eastAsia"/>
          <w:bCs/>
          <w:sz w:val="24"/>
          <w:lang w:val="zh-CN"/>
        </w:rPr>
        <w:t>存托凭证投资策略</w:t>
      </w:r>
    </w:p>
    <w:p w:rsidR="00562FFD" w:rsidRDefault="003317D3">
      <w:pPr>
        <w:spacing w:line="360" w:lineRule="auto"/>
        <w:ind w:firstLine="480"/>
        <w:rPr>
          <w:bCs/>
          <w:sz w:val="24"/>
        </w:rPr>
      </w:pPr>
      <w:r>
        <w:rPr>
          <w:rFonts w:hint="eastAsia"/>
          <w:bCs/>
          <w:sz w:val="24"/>
        </w:rPr>
        <w:t>对于存托凭证投资，本基金将在深入研究的基础上，通过定性分析和定量分析相结合的方式，精选出具有比较优势的存托凭证。</w:t>
      </w:r>
    </w:p>
    <w:p w:rsidR="00562FFD" w:rsidRDefault="003317D3">
      <w:pPr>
        <w:spacing w:line="360" w:lineRule="auto"/>
        <w:ind w:firstLine="480"/>
        <w:rPr>
          <w:bCs/>
          <w:sz w:val="24"/>
        </w:rPr>
      </w:pPr>
      <w:r>
        <w:rPr>
          <w:bCs/>
          <w:sz w:val="24"/>
        </w:rPr>
        <w:t>5</w:t>
      </w:r>
      <w:r>
        <w:rPr>
          <w:rFonts w:hint="eastAsia"/>
          <w:bCs/>
          <w:sz w:val="24"/>
        </w:rPr>
        <w:t>、资产支持证券投资策略</w:t>
      </w:r>
    </w:p>
    <w:p w:rsidR="00562FFD" w:rsidRDefault="003317D3">
      <w:pPr>
        <w:spacing w:line="360" w:lineRule="auto"/>
        <w:ind w:firstLine="480"/>
        <w:rPr>
          <w:bCs/>
          <w:sz w:val="24"/>
        </w:rPr>
      </w:pPr>
      <w:r>
        <w:rPr>
          <w:rFonts w:hint="eastAsia"/>
          <w:bCs/>
          <w:sz w:val="24"/>
        </w:rPr>
        <w:t>当前国内资产支持证券市场以信贷资产证券化产品为主，仍处于创新试点阶段。产品投资关键在于对基础资产质量及未来现金流的分析，本基金将在国内资产证券化产品具体政策框架下，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rsidR="00562FFD" w:rsidRDefault="003317D3">
      <w:pPr>
        <w:spacing w:line="360" w:lineRule="auto"/>
        <w:ind w:firstLine="480"/>
        <w:rPr>
          <w:bCs/>
          <w:sz w:val="24"/>
        </w:rPr>
      </w:pPr>
      <w:r>
        <w:rPr>
          <w:bCs/>
          <w:sz w:val="24"/>
        </w:rPr>
        <w:t>6</w:t>
      </w:r>
      <w:r>
        <w:rPr>
          <w:rFonts w:hint="eastAsia"/>
          <w:bCs/>
          <w:sz w:val="24"/>
        </w:rPr>
        <w:t>、金融衍生</w:t>
      </w:r>
      <w:proofErr w:type="gramStart"/>
      <w:r>
        <w:rPr>
          <w:rFonts w:hint="eastAsia"/>
          <w:bCs/>
          <w:sz w:val="24"/>
        </w:rPr>
        <w:t>品投资</w:t>
      </w:r>
      <w:proofErr w:type="gramEnd"/>
      <w:r>
        <w:rPr>
          <w:rFonts w:hint="eastAsia"/>
          <w:bCs/>
          <w:sz w:val="24"/>
        </w:rPr>
        <w:t>策略</w:t>
      </w:r>
    </w:p>
    <w:p w:rsidR="00562FFD" w:rsidRDefault="003317D3">
      <w:pPr>
        <w:spacing w:line="360" w:lineRule="auto"/>
        <w:ind w:firstLine="480"/>
        <w:rPr>
          <w:bCs/>
          <w:sz w:val="24"/>
        </w:rPr>
      </w:pPr>
      <w:r>
        <w:rPr>
          <w:rFonts w:hint="eastAsia"/>
          <w:bCs/>
          <w:sz w:val="24"/>
        </w:rPr>
        <w:lastRenderedPageBreak/>
        <w:t>（</w:t>
      </w:r>
      <w:r>
        <w:rPr>
          <w:rFonts w:hint="eastAsia"/>
          <w:bCs/>
          <w:sz w:val="24"/>
        </w:rPr>
        <w:t>1</w:t>
      </w:r>
      <w:r>
        <w:rPr>
          <w:rFonts w:hint="eastAsia"/>
          <w:bCs/>
          <w:sz w:val="24"/>
        </w:rPr>
        <w:t>）股指期货投资策略</w:t>
      </w:r>
    </w:p>
    <w:p w:rsidR="00562FFD" w:rsidRDefault="003317D3">
      <w:pPr>
        <w:spacing w:line="360" w:lineRule="auto"/>
        <w:ind w:firstLine="480"/>
        <w:rPr>
          <w:bCs/>
          <w:sz w:val="24"/>
        </w:rPr>
      </w:pPr>
      <w:r>
        <w:rPr>
          <w:rFonts w:hint="eastAsia"/>
          <w:bCs/>
          <w:sz w:val="24"/>
        </w:rPr>
        <w:t>为更好地实现投资目标，本基金在注重风险管理的前提下，根据风险管理的原则，以套期保值为目的，适度运用股指期货。本基金利用股指期货合约流动性好、交易成本低和杠杆操作等特点，提高投资组合运作效率。本基金采取套期保值的方式参与股指期货的投资交易，以管理市场风险和调节股票</w:t>
      </w:r>
      <w:proofErr w:type="gramStart"/>
      <w:r>
        <w:rPr>
          <w:rFonts w:hint="eastAsia"/>
          <w:bCs/>
          <w:sz w:val="24"/>
        </w:rPr>
        <w:t>仓位</w:t>
      </w:r>
      <w:proofErr w:type="gramEnd"/>
      <w:r>
        <w:rPr>
          <w:rFonts w:hint="eastAsia"/>
          <w:bCs/>
          <w:sz w:val="24"/>
        </w:rPr>
        <w:t>为主要目的。</w:t>
      </w:r>
    </w:p>
    <w:p w:rsidR="00562FFD" w:rsidRDefault="003317D3">
      <w:pPr>
        <w:spacing w:line="360" w:lineRule="auto"/>
        <w:ind w:firstLine="480"/>
        <w:rPr>
          <w:bCs/>
          <w:sz w:val="24"/>
        </w:rPr>
      </w:pPr>
      <w:r>
        <w:rPr>
          <w:rFonts w:hint="eastAsia"/>
          <w:bCs/>
          <w:sz w:val="24"/>
        </w:rPr>
        <w:t>（</w:t>
      </w:r>
      <w:r>
        <w:rPr>
          <w:rFonts w:hint="eastAsia"/>
          <w:bCs/>
          <w:sz w:val="24"/>
        </w:rPr>
        <w:t>2</w:t>
      </w:r>
      <w:r>
        <w:rPr>
          <w:rFonts w:hint="eastAsia"/>
          <w:bCs/>
          <w:sz w:val="24"/>
        </w:rPr>
        <w:t>）股票期权投资策略</w:t>
      </w:r>
    </w:p>
    <w:p w:rsidR="00562FFD" w:rsidRDefault="003317D3">
      <w:pPr>
        <w:spacing w:line="360" w:lineRule="auto"/>
        <w:ind w:firstLine="480"/>
        <w:rPr>
          <w:bCs/>
          <w:sz w:val="24"/>
        </w:rPr>
      </w:pPr>
      <w:r>
        <w:rPr>
          <w:rFonts w:hint="eastAsia"/>
          <w:bCs/>
          <w:sz w:val="24"/>
        </w:rPr>
        <w:t>股票期权为本基金辅助性投资工具。本基金将按照风险管理的原则，以套期保值为主要目的参与股票期权的投资。股票期权的投资原则为有利于基金资产增值、控制下跌风险、实现保值和锁定收益。</w:t>
      </w:r>
    </w:p>
    <w:p w:rsidR="00562FFD" w:rsidRDefault="003317D3">
      <w:pPr>
        <w:spacing w:line="360" w:lineRule="auto"/>
        <w:ind w:firstLine="480"/>
        <w:rPr>
          <w:bCs/>
          <w:sz w:val="24"/>
        </w:rPr>
      </w:pPr>
      <w:r>
        <w:rPr>
          <w:rFonts w:hint="eastAsia"/>
          <w:bCs/>
          <w:sz w:val="24"/>
        </w:rPr>
        <w:t>（</w:t>
      </w:r>
      <w:r>
        <w:rPr>
          <w:bCs/>
          <w:sz w:val="24"/>
        </w:rPr>
        <w:t>3</w:t>
      </w:r>
      <w:r>
        <w:rPr>
          <w:rFonts w:hint="eastAsia"/>
          <w:bCs/>
          <w:sz w:val="24"/>
        </w:rPr>
        <w:t>）国债期货投资策略</w:t>
      </w:r>
    </w:p>
    <w:p w:rsidR="00562FFD" w:rsidRDefault="003317D3">
      <w:pPr>
        <w:spacing w:line="360" w:lineRule="auto"/>
        <w:ind w:firstLine="480"/>
        <w:rPr>
          <w:bCs/>
          <w:sz w:val="24"/>
        </w:rPr>
      </w:pPr>
      <w:r>
        <w:rPr>
          <w:rFonts w:hint="eastAsia"/>
          <w:bCs/>
          <w:sz w:val="24"/>
        </w:rPr>
        <w:t>为有效控制债券投资的系统性风险，本基金将结合对宏观经济形势和证券趋势的判断，通过对债券市场进行定性和定量的分析，根据风险管理的原则，以套期保值为目的，适度运用国债期货来提高投资组合的运作效率。在国债期货投资过程中，本基金将首先对国债期货和现货基差、国债期货的流动性水平等指标进行跟踪监控，在追求基金资产安全的基础上，力求实现基金资产的中长期稳定增值。</w:t>
      </w:r>
    </w:p>
    <w:p w:rsidR="00562FFD" w:rsidRDefault="003317D3">
      <w:pPr>
        <w:spacing w:line="360" w:lineRule="auto"/>
        <w:ind w:firstLine="480"/>
        <w:rPr>
          <w:bCs/>
          <w:sz w:val="24"/>
        </w:rPr>
      </w:pPr>
      <w:r>
        <w:rPr>
          <w:rFonts w:hint="eastAsia"/>
          <w:bCs/>
          <w:sz w:val="24"/>
        </w:rPr>
        <w:t>（</w:t>
      </w:r>
      <w:r>
        <w:rPr>
          <w:bCs/>
          <w:sz w:val="24"/>
        </w:rPr>
        <w:t>4</w:t>
      </w:r>
      <w:r>
        <w:rPr>
          <w:rFonts w:hint="eastAsia"/>
          <w:bCs/>
          <w:sz w:val="24"/>
        </w:rPr>
        <w:t>）信用衍生</w:t>
      </w:r>
      <w:proofErr w:type="gramStart"/>
      <w:r>
        <w:rPr>
          <w:rFonts w:hint="eastAsia"/>
          <w:bCs/>
          <w:sz w:val="24"/>
        </w:rPr>
        <w:t>品投资</w:t>
      </w:r>
      <w:proofErr w:type="gramEnd"/>
      <w:r>
        <w:rPr>
          <w:rFonts w:hint="eastAsia"/>
          <w:bCs/>
          <w:sz w:val="24"/>
        </w:rPr>
        <w:t>策略</w:t>
      </w:r>
    </w:p>
    <w:p w:rsidR="00562FFD" w:rsidRDefault="003317D3" w:rsidP="003317D3">
      <w:pPr>
        <w:spacing w:line="360" w:lineRule="auto"/>
        <w:ind w:firstLineChars="200" w:firstLine="480"/>
        <w:rPr>
          <w:bCs/>
          <w:sz w:val="24"/>
        </w:rPr>
      </w:pPr>
      <w:r>
        <w:rPr>
          <w:rFonts w:hint="eastAsia"/>
          <w:bCs/>
          <w:sz w:val="24"/>
        </w:rPr>
        <w:t>本基金在进行信用衍生</w:t>
      </w:r>
      <w:proofErr w:type="gramStart"/>
      <w:r>
        <w:rPr>
          <w:rFonts w:hint="eastAsia"/>
          <w:bCs/>
          <w:sz w:val="24"/>
        </w:rPr>
        <w:t>品投资</w:t>
      </w:r>
      <w:proofErr w:type="gramEnd"/>
      <w:r>
        <w:rPr>
          <w:rFonts w:hint="eastAsia"/>
          <w:bCs/>
          <w:sz w:val="24"/>
        </w:rPr>
        <w:t>时，将根据风险管理原则，以风险对冲为目的，通过对宏观经济周期、行业景气度、发行主体资质和信用衍生品市场的研究，运用衍生品定价模型对其进行合理定价。基金管理人将充分考虑信用衍生品的收益性、流动性及风险性特征，运用信用衍生</w:t>
      </w:r>
      <w:proofErr w:type="gramStart"/>
      <w:r>
        <w:rPr>
          <w:rFonts w:hint="eastAsia"/>
          <w:bCs/>
          <w:sz w:val="24"/>
        </w:rPr>
        <w:t>品适当</w:t>
      </w:r>
      <w:proofErr w:type="gramEnd"/>
      <w:r>
        <w:rPr>
          <w:rFonts w:hint="eastAsia"/>
          <w:bCs/>
          <w:sz w:val="24"/>
        </w:rPr>
        <w:t>投资风险收益比较高的债券，以达到分散信用风险、提高资产流动性、增强组合收益的目的。</w:t>
      </w:r>
    </w:p>
    <w:p w:rsidR="00562FFD" w:rsidRDefault="003317D3" w:rsidP="003317D3">
      <w:pPr>
        <w:spacing w:line="360" w:lineRule="auto"/>
        <w:ind w:firstLineChars="200" w:firstLine="480"/>
        <w:rPr>
          <w:bCs/>
          <w:sz w:val="24"/>
        </w:rPr>
      </w:pPr>
      <w:r>
        <w:rPr>
          <w:rFonts w:hint="eastAsia"/>
          <w:bCs/>
          <w:sz w:val="24"/>
        </w:rPr>
        <w:t>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rsidR="00562FFD" w:rsidRDefault="003317D3">
      <w:pPr>
        <w:spacing w:line="360" w:lineRule="auto"/>
        <w:ind w:firstLine="480"/>
        <w:rPr>
          <w:bCs/>
          <w:sz w:val="24"/>
        </w:rPr>
      </w:pPr>
      <w:r>
        <w:rPr>
          <w:rFonts w:hint="eastAsia"/>
          <w:bCs/>
          <w:sz w:val="24"/>
        </w:rPr>
        <w:t>四、投资限制</w:t>
      </w:r>
    </w:p>
    <w:p w:rsidR="00562FFD" w:rsidRDefault="003317D3">
      <w:pPr>
        <w:spacing w:line="360" w:lineRule="auto"/>
        <w:ind w:firstLine="480"/>
        <w:rPr>
          <w:bCs/>
          <w:sz w:val="24"/>
        </w:rPr>
      </w:pPr>
      <w:r>
        <w:rPr>
          <w:bCs/>
          <w:sz w:val="24"/>
        </w:rPr>
        <w:t>1</w:t>
      </w:r>
      <w:r>
        <w:rPr>
          <w:rFonts w:hint="eastAsia"/>
          <w:bCs/>
          <w:sz w:val="24"/>
        </w:rPr>
        <w:t>、组合限制</w:t>
      </w:r>
    </w:p>
    <w:p w:rsidR="00562FFD" w:rsidRDefault="003317D3">
      <w:pPr>
        <w:spacing w:line="360" w:lineRule="auto"/>
        <w:ind w:firstLine="480"/>
        <w:rPr>
          <w:bCs/>
          <w:sz w:val="24"/>
        </w:rPr>
      </w:pPr>
      <w:r>
        <w:rPr>
          <w:rFonts w:hint="eastAsia"/>
          <w:bCs/>
          <w:sz w:val="24"/>
        </w:rPr>
        <w:t>基金的投资组合应遵循以下限制：</w:t>
      </w:r>
    </w:p>
    <w:p w:rsidR="00562FFD" w:rsidRDefault="003317D3">
      <w:pPr>
        <w:spacing w:line="360" w:lineRule="auto"/>
        <w:ind w:firstLine="480"/>
        <w:rPr>
          <w:bCs/>
          <w:sz w:val="24"/>
        </w:rPr>
      </w:pPr>
      <w:r>
        <w:rPr>
          <w:rFonts w:hint="eastAsia"/>
          <w:bCs/>
          <w:sz w:val="24"/>
        </w:rPr>
        <w:lastRenderedPageBreak/>
        <w:t>（</w:t>
      </w:r>
      <w:r>
        <w:rPr>
          <w:bCs/>
          <w:sz w:val="24"/>
        </w:rPr>
        <w:t>1</w:t>
      </w:r>
      <w:r>
        <w:rPr>
          <w:rFonts w:hint="eastAsia"/>
          <w:bCs/>
          <w:sz w:val="24"/>
        </w:rPr>
        <w:t>）本基金投资组合中股票资产占基金资产的比例为</w:t>
      </w:r>
      <w:r>
        <w:rPr>
          <w:rFonts w:hint="eastAsia"/>
          <w:bCs/>
          <w:sz w:val="24"/>
        </w:rPr>
        <w:t>0%</w:t>
      </w:r>
      <w:r>
        <w:rPr>
          <w:rFonts w:hint="eastAsia"/>
          <w:bCs/>
          <w:sz w:val="24"/>
        </w:rPr>
        <w:t>－</w:t>
      </w:r>
      <w:r>
        <w:rPr>
          <w:rFonts w:hint="eastAsia"/>
          <w:bCs/>
          <w:sz w:val="24"/>
        </w:rPr>
        <w:t>30%</w:t>
      </w:r>
      <w:r>
        <w:rPr>
          <w:rFonts w:hint="eastAsia"/>
          <w:bCs/>
          <w:sz w:val="24"/>
        </w:rPr>
        <w:t>（投资于港股通标的股票占股票资产的比例不超过</w:t>
      </w:r>
      <w:r>
        <w:rPr>
          <w:rFonts w:hint="eastAsia"/>
          <w:bCs/>
          <w:sz w:val="24"/>
        </w:rPr>
        <w:t>50%</w:t>
      </w:r>
      <w:r>
        <w:rPr>
          <w:rFonts w:hint="eastAsia"/>
          <w:bCs/>
          <w:sz w:val="24"/>
        </w:rPr>
        <w:t>）；</w:t>
      </w:r>
      <w:r>
        <w:rPr>
          <w:rFonts w:hint="eastAsia"/>
          <w:bCs/>
          <w:sz w:val="24"/>
        </w:rPr>
        <w:t xml:space="preserve"> </w:t>
      </w:r>
    </w:p>
    <w:p w:rsidR="00562FFD" w:rsidRDefault="003317D3">
      <w:pPr>
        <w:spacing w:line="360" w:lineRule="auto"/>
        <w:ind w:firstLine="480"/>
        <w:rPr>
          <w:bCs/>
          <w:sz w:val="24"/>
        </w:rPr>
      </w:pPr>
      <w:r>
        <w:rPr>
          <w:rFonts w:hint="eastAsia"/>
          <w:bCs/>
          <w:sz w:val="24"/>
        </w:rPr>
        <w:t>（</w:t>
      </w:r>
      <w:r>
        <w:rPr>
          <w:bCs/>
          <w:sz w:val="24"/>
        </w:rPr>
        <w:t>2</w:t>
      </w:r>
      <w:r>
        <w:rPr>
          <w:rFonts w:hint="eastAsia"/>
          <w:bCs/>
          <w:sz w:val="24"/>
        </w:rPr>
        <w:t>）本基金每个交易日日终扣除股指期货、股票期权、国债期货合约需缴纳的交易保证金后，应当保持不低于基金资产净值</w:t>
      </w:r>
      <w:r>
        <w:rPr>
          <w:bCs/>
          <w:sz w:val="24"/>
        </w:rPr>
        <w:t>5</w:t>
      </w:r>
      <w:r>
        <w:rPr>
          <w:rFonts w:hint="eastAsia"/>
          <w:bCs/>
          <w:sz w:val="24"/>
        </w:rPr>
        <w:t>％的现金或者到期日在一年以内的政府债券，现金不包括结算备付金、存出保证金、应收申购款等；</w:t>
      </w:r>
    </w:p>
    <w:p w:rsidR="00562FFD" w:rsidRDefault="003317D3">
      <w:pPr>
        <w:spacing w:line="360" w:lineRule="auto"/>
        <w:ind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A+H</w:t>
      </w:r>
      <w:r>
        <w:rPr>
          <w:rFonts w:hint="eastAsia"/>
          <w:bCs/>
          <w:sz w:val="24"/>
        </w:rPr>
        <w:t>股合并计算），其市值不超过基金资产净值的</w:t>
      </w:r>
      <w:r>
        <w:rPr>
          <w:bCs/>
          <w:sz w:val="24"/>
        </w:rPr>
        <w:t>10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A+H</w:t>
      </w:r>
      <w:r>
        <w:rPr>
          <w:rFonts w:hint="eastAsia"/>
          <w:bCs/>
          <w:sz w:val="24"/>
        </w:rPr>
        <w:t>股合并计算），不超过该证券的</w:t>
      </w:r>
      <w:r>
        <w:rPr>
          <w:bCs/>
          <w:sz w:val="24"/>
        </w:rPr>
        <w:t>10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562FFD" w:rsidRDefault="003317D3">
      <w:pPr>
        <w:spacing w:line="360" w:lineRule="auto"/>
        <w:ind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562FFD" w:rsidRDefault="003317D3">
      <w:pPr>
        <w:spacing w:line="360" w:lineRule="auto"/>
        <w:ind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rsidR="00562FFD" w:rsidRDefault="003317D3">
      <w:pPr>
        <w:spacing w:line="360" w:lineRule="auto"/>
        <w:ind w:firstLine="480"/>
        <w:rPr>
          <w:bCs/>
          <w:sz w:val="24"/>
        </w:rPr>
      </w:pPr>
      <w:r>
        <w:rPr>
          <w:rFonts w:hint="eastAsia"/>
          <w:bCs/>
          <w:sz w:val="24"/>
        </w:rPr>
        <w:t>（</w:t>
      </w:r>
      <w:r>
        <w:rPr>
          <w:bCs/>
          <w:sz w:val="24"/>
        </w:rPr>
        <w:t>12</w:t>
      </w:r>
      <w:r>
        <w:rPr>
          <w:rFonts w:hint="eastAsia"/>
          <w:bCs/>
          <w:sz w:val="24"/>
        </w:rPr>
        <w:t>）本基金管理人管理的全部开放式基金持有一家上市公司发行的可流通股票，不得超过该上市公司可流通股票的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13</w:t>
      </w:r>
      <w:r>
        <w:rPr>
          <w:rFonts w:hint="eastAsia"/>
          <w:bCs/>
          <w:sz w:val="24"/>
        </w:rPr>
        <w:t>）本基金主动投资于流动性受限资产的市值合计不得超过基金资产净值</w:t>
      </w:r>
      <w:r>
        <w:rPr>
          <w:rFonts w:hint="eastAsia"/>
          <w:bCs/>
          <w:sz w:val="24"/>
        </w:rPr>
        <w:lastRenderedPageBreak/>
        <w:t>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562FFD" w:rsidRDefault="003317D3">
      <w:pPr>
        <w:spacing w:line="360" w:lineRule="auto"/>
        <w:ind w:firstLine="480"/>
        <w:rPr>
          <w:bCs/>
          <w:sz w:val="24"/>
        </w:rPr>
      </w:pPr>
      <w:r>
        <w:rPr>
          <w:rFonts w:hint="eastAsia"/>
          <w:bCs/>
          <w:sz w:val="24"/>
        </w:rPr>
        <w:t>（</w:t>
      </w:r>
      <w:r>
        <w:rPr>
          <w:bCs/>
          <w:sz w:val="24"/>
        </w:rPr>
        <w:t>14</w:t>
      </w:r>
      <w:r>
        <w:rPr>
          <w:rFonts w:hint="eastAsia"/>
          <w:bCs/>
          <w:sz w:val="24"/>
        </w:rPr>
        <w:t>）基金管理人承诺本基金与私募类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562FFD" w:rsidRDefault="003317D3">
      <w:pPr>
        <w:spacing w:line="360" w:lineRule="auto"/>
        <w:ind w:firstLineChars="200" w:firstLine="480"/>
        <w:rPr>
          <w:bCs/>
          <w:sz w:val="24"/>
        </w:rPr>
      </w:pPr>
      <w:r>
        <w:rPr>
          <w:rFonts w:hint="eastAsia"/>
          <w:bCs/>
          <w:sz w:val="24"/>
        </w:rPr>
        <w:t>（</w:t>
      </w:r>
      <w:r>
        <w:rPr>
          <w:bCs/>
          <w:sz w:val="24"/>
        </w:rPr>
        <w:t>15</w:t>
      </w:r>
      <w:r>
        <w:rPr>
          <w:rFonts w:hint="eastAsia"/>
          <w:bCs/>
          <w:sz w:val="24"/>
        </w:rPr>
        <w:t>）本</w:t>
      </w:r>
      <w:proofErr w:type="gramStart"/>
      <w:r>
        <w:rPr>
          <w:rFonts w:hint="eastAsia"/>
          <w:bCs/>
          <w:sz w:val="24"/>
        </w:rPr>
        <w:t>基金基金</w:t>
      </w:r>
      <w:proofErr w:type="gramEnd"/>
      <w:r>
        <w:rPr>
          <w:rFonts w:hint="eastAsia"/>
          <w:bCs/>
          <w:sz w:val="24"/>
        </w:rPr>
        <w:t>总资产不得超过基金净资产的</w:t>
      </w:r>
      <w:r>
        <w:rPr>
          <w:bCs/>
          <w:sz w:val="24"/>
        </w:rPr>
        <w:t>140%</w:t>
      </w:r>
      <w:r>
        <w:rPr>
          <w:rFonts w:hint="eastAsia"/>
          <w:bCs/>
          <w:sz w:val="24"/>
        </w:rPr>
        <w:t>；</w:t>
      </w:r>
    </w:p>
    <w:p w:rsidR="00562FFD" w:rsidRDefault="003317D3">
      <w:pPr>
        <w:spacing w:line="360" w:lineRule="auto"/>
        <w:ind w:firstLineChars="200" w:firstLine="480"/>
        <w:rPr>
          <w:sz w:val="24"/>
          <w:szCs w:val="20"/>
        </w:rPr>
      </w:pPr>
      <w:r>
        <w:rPr>
          <w:rFonts w:hint="eastAsia"/>
          <w:sz w:val="24"/>
          <w:szCs w:val="20"/>
        </w:rPr>
        <w:t>（</w:t>
      </w:r>
      <w:r>
        <w:rPr>
          <w:sz w:val="24"/>
          <w:szCs w:val="20"/>
        </w:rPr>
        <w:t>16</w:t>
      </w:r>
      <w:r>
        <w:rPr>
          <w:rFonts w:hint="eastAsia"/>
          <w:sz w:val="24"/>
          <w:szCs w:val="20"/>
        </w:rPr>
        <w:t>）本基金投资于股指期货，还应遵循如下投资组合限制：</w:t>
      </w:r>
    </w:p>
    <w:p w:rsidR="00562FFD" w:rsidRDefault="003317D3">
      <w:pPr>
        <w:spacing w:line="360" w:lineRule="auto"/>
        <w:ind w:firstLineChars="200" w:firstLine="480"/>
        <w:rPr>
          <w:sz w:val="24"/>
          <w:szCs w:val="20"/>
        </w:rPr>
      </w:pPr>
      <w:r>
        <w:rPr>
          <w:rFonts w:hint="eastAsia"/>
          <w:sz w:val="24"/>
          <w:szCs w:val="20"/>
        </w:rPr>
        <w:t>①在任何交易日日终，持有的买入股指期货合约价值不得超过基金资产净值的</w:t>
      </w:r>
      <w:r>
        <w:rPr>
          <w:rFonts w:hint="eastAsia"/>
          <w:sz w:val="24"/>
          <w:szCs w:val="20"/>
        </w:rPr>
        <w:t>10%</w:t>
      </w:r>
      <w:r>
        <w:rPr>
          <w:rFonts w:hint="eastAsia"/>
          <w:sz w:val="24"/>
          <w:szCs w:val="20"/>
        </w:rPr>
        <w:t>；</w:t>
      </w:r>
    </w:p>
    <w:p w:rsidR="00562FFD" w:rsidRDefault="003317D3">
      <w:pPr>
        <w:spacing w:line="360" w:lineRule="auto"/>
        <w:ind w:firstLineChars="200" w:firstLine="480"/>
        <w:rPr>
          <w:sz w:val="24"/>
          <w:szCs w:val="20"/>
        </w:rPr>
      </w:pPr>
      <w:r>
        <w:rPr>
          <w:rFonts w:hint="eastAsia"/>
          <w:sz w:val="24"/>
          <w:szCs w:val="20"/>
        </w:rPr>
        <w:t>②在任何交易日日终，持有的买入国债期货和股指期货合约价值与有价证券市值之和，不得超过基金资产净值的</w:t>
      </w:r>
      <w:r>
        <w:rPr>
          <w:rFonts w:hint="eastAsia"/>
          <w:sz w:val="24"/>
          <w:szCs w:val="20"/>
        </w:rPr>
        <w:t>95%</w:t>
      </w:r>
      <w:r>
        <w:rPr>
          <w:rFonts w:hint="eastAsia"/>
          <w:sz w:val="24"/>
          <w:szCs w:val="20"/>
        </w:rPr>
        <w:t>。其中，有价证券指股票、债券（不含到期日在一年以内的政府债券）、资产支持证券、买入返售金融资产（不含质押式回购）等；</w:t>
      </w:r>
    </w:p>
    <w:p w:rsidR="00562FFD" w:rsidRDefault="003317D3">
      <w:pPr>
        <w:spacing w:line="360" w:lineRule="auto"/>
        <w:ind w:firstLineChars="200" w:firstLine="480"/>
        <w:rPr>
          <w:sz w:val="24"/>
          <w:szCs w:val="20"/>
        </w:rPr>
      </w:pPr>
      <w:r>
        <w:rPr>
          <w:rFonts w:hint="eastAsia"/>
          <w:sz w:val="24"/>
          <w:szCs w:val="20"/>
        </w:rPr>
        <w:t>③在任何交易日终，持有的卖出股指期货合约价值不得超过基金持有的股票总市值的</w:t>
      </w:r>
      <w:r>
        <w:rPr>
          <w:rFonts w:hint="eastAsia"/>
          <w:sz w:val="24"/>
          <w:szCs w:val="20"/>
        </w:rPr>
        <w:t>20%</w:t>
      </w:r>
      <w:r>
        <w:rPr>
          <w:rFonts w:hint="eastAsia"/>
          <w:sz w:val="24"/>
          <w:szCs w:val="20"/>
        </w:rPr>
        <w:t>；本基金所持有的股票市值和买入、卖出股指期货合约价值，合计（轧差计算）占基金资产的比例应当符合《基金合同》关于股票投资比例的有关规定；</w:t>
      </w:r>
    </w:p>
    <w:p w:rsidR="00562FFD" w:rsidRDefault="003317D3" w:rsidP="003317D3">
      <w:pPr>
        <w:spacing w:line="360" w:lineRule="auto"/>
        <w:ind w:firstLineChars="200" w:firstLine="480"/>
        <w:rPr>
          <w:sz w:val="24"/>
          <w:szCs w:val="20"/>
        </w:rPr>
      </w:pPr>
      <w:r>
        <w:rPr>
          <w:rFonts w:hint="eastAsia"/>
          <w:sz w:val="24"/>
          <w:szCs w:val="20"/>
        </w:rPr>
        <w:t>④在任何交易日内交易（不包括平仓）的股指期货合约的成交金额不得超过上一交易日基金资产净值的</w:t>
      </w:r>
      <w:r>
        <w:rPr>
          <w:rFonts w:hint="eastAsia"/>
          <w:sz w:val="24"/>
          <w:szCs w:val="20"/>
        </w:rPr>
        <w:t>20%</w:t>
      </w:r>
      <w:r>
        <w:rPr>
          <w:rFonts w:hint="eastAsia"/>
          <w:sz w:val="24"/>
          <w:szCs w:val="20"/>
        </w:rPr>
        <w:t>；</w:t>
      </w:r>
    </w:p>
    <w:p w:rsidR="00562FFD" w:rsidRDefault="003317D3">
      <w:pPr>
        <w:spacing w:line="360" w:lineRule="auto"/>
        <w:ind w:firstLine="480"/>
        <w:rPr>
          <w:bCs/>
          <w:sz w:val="24"/>
        </w:rPr>
      </w:pPr>
      <w:r>
        <w:rPr>
          <w:rFonts w:hint="eastAsia"/>
          <w:bCs/>
          <w:sz w:val="24"/>
        </w:rPr>
        <w:t>（</w:t>
      </w:r>
      <w:r>
        <w:rPr>
          <w:bCs/>
          <w:sz w:val="24"/>
        </w:rPr>
        <w:t>17</w:t>
      </w:r>
      <w:r>
        <w:rPr>
          <w:rFonts w:hint="eastAsia"/>
          <w:bCs/>
          <w:sz w:val="24"/>
        </w:rPr>
        <w:t>）本基金投资于国债期货，还应遵循如下投资组合限制：</w:t>
      </w:r>
    </w:p>
    <w:p w:rsidR="00562FFD" w:rsidRDefault="003317D3">
      <w:pPr>
        <w:spacing w:line="360" w:lineRule="auto"/>
        <w:ind w:firstLine="480"/>
        <w:rPr>
          <w:bCs/>
          <w:sz w:val="24"/>
        </w:rPr>
      </w:pPr>
      <w:r>
        <w:rPr>
          <w:rFonts w:hint="eastAsia"/>
          <w:bCs/>
          <w:sz w:val="24"/>
        </w:rPr>
        <w:t>①在任何交易日日终，本基金持有的买入国债期货合约价值，不得超过基金资产净值的</w:t>
      </w:r>
      <w:r>
        <w:rPr>
          <w:bCs/>
          <w:sz w:val="24"/>
        </w:rPr>
        <w:t>15%</w:t>
      </w:r>
      <w:r>
        <w:rPr>
          <w:rFonts w:hint="eastAsia"/>
          <w:bCs/>
          <w:sz w:val="24"/>
        </w:rPr>
        <w:t>；</w:t>
      </w:r>
    </w:p>
    <w:p w:rsidR="00562FFD" w:rsidRDefault="003317D3">
      <w:pPr>
        <w:spacing w:line="360" w:lineRule="auto"/>
        <w:ind w:firstLine="480"/>
        <w:rPr>
          <w:bCs/>
          <w:sz w:val="24"/>
        </w:rPr>
      </w:pPr>
      <w:r>
        <w:rPr>
          <w:rFonts w:hint="eastAsia"/>
          <w:bCs/>
          <w:sz w:val="24"/>
        </w:rPr>
        <w:t>②在任何交易日日终，持有的买入国债期货和股指期货合约价值与有价证券市值之和，不得超过基金资产净值的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562FFD" w:rsidRDefault="003317D3">
      <w:pPr>
        <w:spacing w:line="360" w:lineRule="auto"/>
        <w:ind w:firstLine="480"/>
        <w:rPr>
          <w:bCs/>
          <w:sz w:val="24"/>
        </w:rPr>
      </w:pPr>
      <w:r>
        <w:rPr>
          <w:rFonts w:hint="eastAsia"/>
          <w:bCs/>
          <w:sz w:val="24"/>
        </w:rPr>
        <w:t>③本基金在任何交易日日终，持有的卖出国债期货合约价值不得超过基金持有的债券总市值的</w:t>
      </w:r>
      <w:r>
        <w:rPr>
          <w:bCs/>
          <w:sz w:val="24"/>
        </w:rPr>
        <w:t>30%</w:t>
      </w:r>
      <w:r>
        <w:rPr>
          <w:rFonts w:hint="eastAsia"/>
          <w:bCs/>
          <w:sz w:val="24"/>
        </w:rPr>
        <w:t>；</w:t>
      </w:r>
    </w:p>
    <w:p w:rsidR="00562FFD" w:rsidRDefault="003317D3">
      <w:pPr>
        <w:spacing w:line="360" w:lineRule="auto"/>
        <w:ind w:firstLine="480"/>
        <w:rPr>
          <w:bCs/>
          <w:sz w:val="24"/>
        </w:rPr>
      </w:pPr>
      <w:r>
        <w:rPr>
          <w:rFonts w:hint="eastAsia"/>
          <w:bCs/>
          <w:sz w:val="24"/>
        </w:rPr>
        <w:lastRenderedPageBreak/>
        <w:t>④本基金在任何交易日内交易（不包括平仓）的国债期货合约的成交金额不得超过上一交易日基金资产净值的</w:t>
      </w:r>
      <w:r>
        <w:rPr>
          <w:bCs/>
          <w:sz w:val="24"/>
        </w:rPr>
        <w:t>30%</w:t>
      </w:r>
      <w:r>
        <w:rPr>
          <w:rFonts w:hint="eastAsia"/>
          <w:bCs/>
          <w:sz w:val="24"/>
        </w:rPr>
        <w:t>；</w:t>
      </w:r>
    </w:p>
    <w:p w:rsidR="00562FFD" w:rsidRDefault="003317D3">
      <w:pPr>
        <w:spacing w:line="360" w:lineRule="auto"/>
        <w:ind w:firstLineChars="200" w:firstLine="480"/>
        <w:rPr>
          <w:bCs/>
          <w:sz w:val="24"/>
        </w:rPr>
      </w:pPr>
      <w:r>
        <w:rPr>
          <w:rFonts w:ascii="宋体" w:hAnsi="宋体" w:hint="eastAsia"/>
          <w:sz w:val="24"/>
        </w:rPr>
        <w:t>⑤</w:t>
      </w:r>
      <w:r>
        <w:rPr>
          <w:rFonts w:hint="eastAsia"/>
          <w:bCs/>
          <w:sz w:val="24"/>
        </w:rPr>
        <w:t>本基金所持有的债券（不含到期日在一年以内的政府债券）市值和买入、卖出国债期货合约价值，合计（轧差计算）应当符合《基金合同》关于债券投资比例的有关约定；</w:t>
      </w:r>
    </w:p>
    <w:p w:rsidR="00562FFD" w:rsidRDefault="003317D3" w:rsidP="003317D3">
      <w:pPr>
        <w:spacing w:line="360" w:lineRule="auto"/>
        <w:ind w:firstLineChars="200" w:firstLine="480"/>
        <w:rPr>
          <w:sz w:val="24"/>
          <w:szCs w:val="20"/>
        </w:rPr>
      </w:pPr>
      <w:r>
        <w:rPr>
          <w:rFonts w:hint="eastAsia"/>
          <w:sz w:val="24"/>
          <w:szCs w:val="20"/>
        </w:rPr>
        <w:t>（</w:t>
      </w:r>
      <w:r>
        <w:rPr>
          <w:sz w:val="24"/>
          <w:szCs w:val="20"/>
        </w:rPr>
        <w:t>18</w:t>
      </w:r>
      <w:r>
        <w:rPr>
          <w:rFonts w:hint="eastAsia"/>
          <w:sz w:val="24"/>
          <w:szCs w:val="20"/>
        </w:rPr>
        <w:t>）本基金参与股票期权交易的，应当符合下列要求：基金因未平仓的期权合约支付和收取的权利金总额不得超过基金资产净值的</w:t>
      </w:r>
      <w:r>
        <w:rPr>
          <w:sz w:val="24"/>
          <w:szCs w:val="20"/>
        </w:rPr>
        <w:t>10%</w:t>
      </w:r>
      <w:r>
        <w:rPr>
          <w:rFonts w:hint="eastAsia"/>
          <w:sz w:val="24"/>
          <w:szCs w:val="20"/>
        </w:rPr>
        <w:t>；开仓卖出认购期权的，应持有足额标的证券；开仓卖出认沽期权的，应持有合约行权所需的全额现金或交易所规则认可的可冲抵期权保证金的现金等价物；未平仓的期权合约面值不得超过基金资产净值的</w:t>
      </w:r>
      <w:r>
        <w:rPr>
          <w:sz w:val="24"/>
          <w:szCs w:val="20"/>
        </w:rPr>
        <w:t>20%</w:t>
      </w:r>
      <w:r>
        <w:rPr>
          <w:rFonts w:hint="eastAsia"/>
          <w:sz w:val="24"/>
          <w:szCs w:val="20"/>
        </w:rPr>
        <w:t>。其中，合约面值按照行权价乘以合约乘数计算；基金投资股票期权应符合基金合同约定的比例限制（如股票</w:t>
      </w:r>
      <w:proofErr w:type="gramStart"/>
      <w:r>
        <w:rPr>
          <w:rFonts w:hint="eastAsia"/>
          <w:sz w:val="24"/>
          <w:szCs w:val="20"/>
        </w:rPr>
        <w:t>仓位</w:t>
      </w:r>
      <w:proofErr w:type="gramEnd"/>
      <w:r>
        <w:rPr>
          <w:rFonts w:hint="eastAsia"/>
          <w:sz w:val="24"/>
          <w:szCs w:val="20"/>
        </w:rPr>
        <w:t>、个股占比等）、投资目标和风险收益特征；</w:t>
      </w:r>
    </w:p>
    <w:p w:rsidR="00562FFD" w:rsidRDefault="003317D3">
      <w:pPr>
        <w:spacing w:line="360" w:lineRule="auto"/>
        <w:ind w:firstLine="480"/>
        <w:rPr>
          <w:bCs/>
          <w:sz w:val="24"/>
        </w:rPr>
      </w:pPr>
      <w:r>
        <w:rPr>
          <w:rFonts w:hint="eastAsia"/>
          <w:bCs/>
          <w:sz w:val="24"/>
        </w:rPr>
        <w:t>（</w:t>
      </w:r>
      <w:r>
        <w:rPr>
          <w:bCs/>
          <w:sz w:val="24"/>
        </w:rPr>
        <w:t>1</w:t>
      </w:r>
      <w:r>
        <w:rPr>
          <w:rFonts w:hint="eastAsia"/>
          <w:bCs/>
          <w:sz w:val="24"/>
        </w:rPr>
        <w:t>9</w:t>
      </w:r>
      <w:r>
        <w:rPr>
          <w:rFonts w:hint="eastAsia"/>
          <w:bCs/>
          <w:sz w:val="24"/>
        </w:rPr>
        <w:t>）本基金投资存托凭证的比例限制依照境内上市交易的股票执行，与境内上市交易的股票合并计算，法律法规或监管机构另有规定从其规定；</w:t>
      </w:r>
    </w:p>
    <w:p w:rsidR="00562FFD" w:rsidRDefault="003317D3">
      <w:pPr>
        <w:spacing w:line="360" w:lineRule="auto"/>
        <w:ind w:firstLine="480"/>
        <w:rPr>
          <w:bCs/>
          <w:sz w:val="24"/>
        </w:rPr>
      </w:pPr>
      <w:r>
        <w:rPr>
          <w:rFonts w:hint="eastAsia"/>
          <w:bCs/>
          <w:sz w:val="24"/>
        </w:rPr>
        <w:t>（</w:t>
      </w:r>
      <w:r>
        <w:rPr>
          <w:bCs/>
          <w:sz w:val="24"/>
        </w:rPr>
        <w:t>20</w:t>
      </w:r>
      <w:r>
        <w:rPr>
          <w:rFonts w:hint="eastAsia"/>
          <w:bCs/>
          <w:sz w:val="24"/>
        </w:rPr>
        <w:t>）本基金</w:t>
      </w:r>
      <w:proofErr w:type="gramStart"/>
      <w:r>
        <w:rPr>
          <w:rFonts w:hint="eastAsia"/>
          <w:bCs/>
          <w:sz w:val="24"/>
        </w:rPr>
        <w:t>不</w:t>
      </w:r>
      <w:proofErr w:type="gramEnd"/>
      <w:r>
        <w:rPr>
          <w:rFonts w:hint="eastAsia"/>
          <w:bCs/>
          <w:sz w:val="24"/>
        </w:rPr>
        <w:t>持有具有信用保护卖方属性的信用衍生品，</w:t>
      </w:r>
      <w:proofErr w:type="gramStart"/>
      <w:r>
        <w:rPr>
          <w:rFonts w:hint="eastAsia"/>
          <w:bCs/>
          <w:sz w:val="24"/>
        </w:rPr>
        <w:t>不</w:t>
      </w:r>
      <w:proofErr w:type="gramEnd"/>
      <w:r>
        <w:rPr>
          <w:rFonts w:hint="eastAsia"/>
          <w:bCs/>
          <w:sz w:val="24"/>
        </w:rPr>
        <w:t>持有合约类信用衍生品；</w:t>
      </w:r>
    </w:p>
    <w:p w:rsidR="00562FFD" w:rsidRDefault="003317D3">
      <w:pPr>
        <w:spacing w:line="360" w:lineRule="auto"/>
        <w:ind w:firstLine="480"/>
        <w:rPr>
          <w:bCs/>
          <w:sz w:val="24"/>
        </w:rPr>
      </w:pPr>
      <w:r>
        <w:rPr>
          <w:rFonts w:hint="eastAsia"/>
          <w:bCs/>
          <w:sz w:val="24"/>
        </w:rPr>
        <w:t>（</w:t>
      </w:r>
      <w:r>
        <w:rPr>
          <w:rFonts w:hint="eastAsia"/>
          <w:bCs/>
          <w:sz w:val="24"/>
        </w:rPr>
        <w:t>21</w:t>
      </w:r>
      <w:r>
        <w:rPr>
          <w:rFonts w:hint="eastAsia"/>
          <w:bCs/>
          <w:sz w:val="24"/>
        </w:rPr>
        <w:t>）本基金持有的信用衍生品名义本金不得超过本基金中所对应受保护债券面值的</w:t>
      </w:r>
      <w:r>
        <w:rPr>
          <w:bCs/>
          <w:sz w:val="24"/>
        </w:rPr>
        <w:t>100%</w:t>
      </w:r>
      <w:r>
        <w:rPr>
          <w:rFonts w:hint="eastAsia"/>
          <w:bCs/>
          <w:sz w:val="24"/>
        </w:rPr>
        <w:t>；</w:t>
      </w:r>
    </w:p>
    <w:p w:rsidR="00562FFD" w:rsidRDefault="003317D3">
      <w:pPr>
        <w:spacing w:line="360" w:lineRule="auto"/>
        <w:ind w:firstLine="480"/>
        <w:rPr>
          <w:bCs/>
          <w:sz w:val="24"/>
        </w:rPr>
      </w:pPr>
      <w:r>
        <w:rPr>
          <w:rFonts w:hint="eastAsia"/>
          <w:bCs/>
          <w:sz w:val="24"/>
        </w:rPr>
        <w:t>（</w:t>
      </w:r>
      <w:r>
        <w:rPr>
          <w:bCs/>
          <w:sz w:val="24"/>
        </w:rPr>
        <w:t>2</w:t>
      </w:r>
      <w:r>
        <w:rPr>
          <w:rFonts w:hint="eastAsia"/>
          <w:bCs/>
          <w:sz w:val="24"/>
        </w:rPr>
        <w:t>2</w:t>
      </w:r>
      <w:r>
        <w:rPr>
          <w:rFonts w:hint="eastAsia"/>
          <w:bCs/>
          <w:sz w:val="24"/>
        </w:rPr>
        <w:t>）本基金投资于同一信用保护卖方的各类信用衍生品名义本金合计不得超过基金资产净值的</w:t>
      </w:r>
      <w:r>
        <w:rPr>
          <w:bCs/>
          <w:sz w:val="24"/>
        </w:rPr>
        <w:t>10%</w:t>
      </w:r>
      <w:r>
        <w:rPr>
          <w:rFonts w:hint="eastAsia"/>
          <w:bCs/>
          <w:sz w:val="24"/>
        </w:rPr>
        <w:t>；因证券</w:t>
      </w:r>
      <w:r>
        <w:rPr>
          <w:rFonts w:hint="eastAsia"/>
          <w:bCs/>
          <w:sz w:val="24"/>
        </w:rPr>
        <w:t>/</w:t>
      </w:r>
      <w:r>
        <w:rPr>
          <w:rFonts w:hint="eastAsia"/>
          <w:bCs/>
          <w:sz w:val="24"/>
        </w:rPr>
        <w:t>期货市场波动、证券发行人合并、基金规模变动等基金管理人之外的因素致使基金不符合前述所规定比例限制的，基金管理人应在</w:t>
      </w:r>
      <w:r>
        <w:rPr>
          <w:rFonts w:hint="eastAsia"/>
          <w:bCs/>
          <w:sz w:val="24"/>
        </w:rPr>
        <w:t>3</w:t>
      </w:r>
      <w:r>
        <w:rPr>
          <w:rFonts w:hint="eastAsia"/>
          <w:bCs/>
          <w:sz w:val="24"/>
        </w:rPr>
        <w:t>个月之内进行调整；</w:t>
      </w:r>
    </w:p>
    <w:p w:rsidR="00562FFD" w:rsidRDefault="003317D3">
      <w:pPr>
        <w:spacing w:line="360" w:lineRule="auto"/>
        <w:ind w:firstLine="480"/>
        <w:rPr>
          <w:bCs/>
          <w:sz w:val="24"/>
        </w:rPr>
      </w:pPr>
      <w:r>
        <w:rPr>
          <w:rFonts w:hint="eastAsia"/>
          <w:bCs/>
          <w:sz w:val="24"/>
        </w:rPr>
        <w:t>（</w:t>
      </w:r>
      <w:r>
        <w:rPr>
          <w:rFonts w:hint="eastAsia"/>
          <w:bCs/>
          <w:sz w:val="24"/>
        </w:rPr>
        <w:t>23</w:t>
      </w:r>
      <w:r>
        <w:rPr>
          <w:rFonts w:hint="eastAsia"/>
          <w:bCs/>
          <w:sz w:val="24"/>
        </w:rPr>
        <w:t>）本基金投资同业存单的比例不超过基金资产的</w:t>
      </w:r>
      <w:r>
        <w:rPr>
          <w:rFonts w:hint="eastAsia"/>
          <w:bCs/>
          <w:sz w:val="24"/>
        </w:rPr>
        <w:t>20%</w:t>
      </w:r>
      <w:r>
        <w:rPr>
          <w:rFonts w:hint="eastAsia"/>
          <w:bCs/>
          <w:sz w:val="24"/>
        </w:rPr>
        <w:t>；</w:t>
      </w:r>
    </w:p>
    <w:p w:rsidR="00562FFD" w:rsidRDefault="003317D3">
      <w:pPr>
        <w:spacing w:line="360" w:lineRule="auto"/>
        <w:ind w:firstLine="480"/>
        <w:rPr>
          <w:bCs/>
          <w:sz w:val="24"/>
        </w:rPr>
      </w:pPr>
      <w:r>
        <w:rPr>
          <w:rFonts w:hint="eastAsia"/>
          <w:bCs/>
          <w:sz w:val="24"/>
        </w:rPr>
        <w:t>（</w:t>
      </w:r>
      <w:r>
        <w:rPr>
          <w:rFonts w:hint="eastAsia"/>
          <w:bCs/>
          <w:sz w:val="24"/>
        </w:rPr>
        <w:t>24</w:t>
      </w:r>
      <w:r>
        <w:rPr>
          <w:rFonts w:hint="eastAsia"/>
          <w:bCs/>
          <w:sz w:val="24"/>
        </w:rPr>
        <w:t>）法律法规及中国证监会规定的和《基金合同》约定的其他投资限制。</w:t>
      </w:r>
    </w:p>
    <w:p w:rsidR="00562FFD" w:rsidRDefault="003317D3">
      <w:pPr>
        <w:spacing w:line="360" w:lineRule="auto"/>
        <w:ind w:firstLine="480"/>
        <w:rPr>
          <w:bCs/>
          <w:sz w:val="24"/>
        </w:rPr>
      </w:pPr>
      <w:r>
        <w:rPr>
          <w:rFonts w:hint="eastAsia"/>
          <w:bCs/>
          <w:sz w:val="24"/>
        </w:rPr>
        <w:t>除上述（</w:t>
      </w:r>
      <w:r>
        <w:rPr>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w:t>
      </w:r>
      <w:r>
        <w:rPr>
          <w:rFonts w:hint="eastAsia"/>
          <w:bCs/>
          <w:sz w:val="24"/>
        </w:rPr>
        <w:t>20</w:t>
      </w:r>
      <w:r>
        <w:rPr>
          <w:rFonts w:hint="eastAsia"/>
          <w:bCs/>
          <w:sz w:val="24"/>
        </w:rPr>
        <w:t>）、（</w:t>
      </w:r>
      <w:r>
        <w:rPr>
          <w:rFonts w:hint="eastAsia"/>
          <w:bCs/>
          <w:sz w:val="24"/>
        </w:rPr>
        <w:t>22</w:t>
      </w:r>
      <w:r>
        <w:rPr>
          <w:rFonts w:hint="eastAsia"/>
          <w:bCs/>
          <w:sz w:val="24"/>
        </w:rPr>
        <w:t>）情形之外，因证券</w:t>
      </w:r>
      <w:r>
        <w:rPr>
          <w:bCs/>
          <w:sz w:val="24"/>
        </w:rPr>
        <w:t>/</w:t>
      </w:r>
      <w:r>
        <w:rPr>
          <w:rFonts w:hint="eastAsia"/>
          <w:bCs/>
          <w:sz w:val="24"/>
        </w:rPr>
        <w:t>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个交易日内进行调整，但中国证监会规定的特殊情形除外。法律法规或监管机构另有规定的，从其规定。</w:t>
      </w:r>
    </w:p>
    <w:p w:rsidR="00562FFD" w:rsidRDefault="003317D3">
      <w:pPr>
        <w:spacing w:line="360" w:lineRule="auto"/>
        <w:ind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w:t>
      </w:r>
      <w:r>
        <w:rPr>
          <w:rFonts w:hint="eastAsia"/>
          <w:bCs/>
          <w:sz w:val="24"/>
        </w:rPr>
        <w:lastRenderedPageBreak/>
        <w:t>合基金合同的有关约定。在上述期间内，本基金的投资范围、投资策略应当符合基金合同的约定。基金托管人对基金的投资的监督与检查自基金合同生效之日起开始。</w:t>
      </w:r>
    </w:p>
    <w:p w:rsidR="00562FFD" w:rsidRDefault="003317D3">
      <w:pPr>
        <w:spacing w:line="360" w:lineRule="auto"/>
        <w:ind w:firstLine="480"/>
        <w:rPr>
          <w:bCs/>
          <w:sz w:val="24"/>
        </w:rPr>
      </w:pPr>
      <w:r>
        <w:rPr>
          <w:rFonts w:hint="eastAsia"/>
          <w:bCs/>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但须提前公告。</w:t>
      </w:r>
    </w:p>
    <w:p w:rsidR="00562FFD" w:rsidRDefault="003317D3">
      <w:pPr>
        <w:spacing w:line="360" w:lineRule="auto"/>
        <w:ind w:firstLine="480"/>
        <w:rPr>
          <w:bCs/>
          <w:sz w:val="24"/>
        </w:rPr>
      </w:pPr>
      <w:r>
        <w:rPr>
          <w:bCs/>
          <w:sz w:val="24"/>
        </w:rPr>
        <w:t>2</w:t>
      </w:r>
      <w:r>
        <w:rPr>
          <w:rFonts w:hint="eastAsia"/>
          <w:bCs/>
          <w:sz w:val="24"/>
        </w:rPr>
        <w:t>、禁止行为</w:t>
      </w:r>
    </w:p>
    <w:p w:rsidR="00562FFD" w:rsidRDefault="003317D3">
      <w:pPr>
        <w:spacing w:line="360" w:lineRule="auto"/>
        <w:ind w:firstLine="480"/>
        <w:rPr>
          <w:bCs/>
          <w:sz w:val="24"/>
        </w:rPr>
      </w:pPr>
      <w:r>
        <w:rPr>
          <w:rFonts w:hint="eastAsia"/>
          <w:bCs/>
          <w:sz w:val="24"/>
        </w:rPr>
        <w:t>为维护基金份额持有人的合法权益，基金财产不得用于下列投资或者活动：</w:t>
      </w:r>
    </w:p>
    <w:p w:rsidR="00562FFD" w:rsidRDefault="003317D3">
      <w:pPr>
        <w:spacing w:line="360" w:lineRule="auto"/>
        <w:ind w:firstLine="480"/>
        <w:rPr>
          <w:bCs/>
          <w:sz w:val="24"/>
        </w:rPr>
      </w:pPr>
      <w:r>
        <w:rPr>
          <w:rFonts w:hint="eastAsia"/>
          <w:bCs/>
          <w:sz w:val="24"/>
        </w:rPr>
        <w:t>（</w:t>
      </w:r>
      <w:r>
        <w:rPr>
          <w:bCs/>
          <w:sz w:val="24"/>
        </w:rPr>
        <w:t>1</w:t>
      </w:r>
      <w:r>
        <w:rPr>
          <w:rFonts w:hint="eastAsia"/>
          <w:bCs/>
          <w:sz w:val="24"/>
        </w:rPr>
        <w:t>）承销证券；</w:t>
      </w:r>
    </w:p>
    <w:p w:rsidR="00562FFD" w:rsidRDefault="003317D3">
      <w:pPr>
        <w:spacing w:line="360" w:lineRule="auto"/>
        <w:ind w:firstLine="480"/>
        <w:rPr>
          <w:bCs/>
          <w:sz w:val="24"/>
        </w:rPr>
      </w:pPr>
      <w:r>
        <w:rPr>
          <w:rFonts w:hint="eastAsia"/>
          <w:bCs/>
          <w:sz w:val="24"/>
        </w:rPr>
        <w:t>（</w:t>
      </w:r>
      <w:r>
        <w:rPr>
          <w:bCs/>
          <w:sz w:val="24"/>
        </w:rPr>
        <w:t>2</w:t>
      </w:r>
      <w:r>
        <w:rPr>
          <w:rFonts w:hint="eastAsia"/>
          <w:bCs/>
          <w:sz w:val="24"/>
        </w:rPr>
        <w:t>）违反规定向他人贷款或者提供担保；</w:t>
      </w:r>
    </w:p>
    <w:p w:rsidR="00562FFD" w:rsidRDefault="003317D3">
      <w:pPr>
        <w:spacing w:line="360" w:lineRule="auto"/>
        <w:ind w:firstLine="480"/>
        <w:rPr>
          <w:bCs/>
          <w:sz w:val="24"/>
        </w:rPr>
      </w:pPr>
      <w:r>
        <w:rPr>
          <w:rFonts w:hint="eastAsia"/>
          <w:bCs/>
          <w:sz w:val="24"/>
        </w:rPr>
        <w:t>（</w:t>
      </w:r>
      <w:r>
        <w:rPr>
          <w:bCs/>
          <w:sz w:val="24"/>
        </w:rPr>
        <w:t>3</w:t>
      </w:r>
      <w:r>
        <w:rPr>
          <w:rFonts w:hint="eastAsia"/>
          <w:bCs/>
          <w:sz w:val="24"/>
        </w:rPr>
        <w:t>）从事承担无限责任的投资；</w:t>
      </w:r>
    </w:p>
    <w:p w:rsidR="00562FFD" w:rsidRDefault="003317D3">
      <w:pPr>
        <w:spacing w:line="360" w:lineRule="auto"/>
        <w:ind w:firstLine="480"/>
        <w:rPr>
          <w:bCs/>
          <w:sz w:val="24"/>
        </w:rPr>
      </w:pPr>
      <w:r>
        <w:rPr>
          <w:rFonts w:hint="eastAsia"/>
          <w:bCs/>
          <w:sz w:val="24"/>
        </w:rPr>
        <w:t>（</w:t>
      </w:r>
      <w:r>
        <w:rPr>
          <w:bCs/>
          <w:sz w:val="24"/>
        </w:rPr>
        <w:t>4</w:t>
      </w:r>
      <w:r>
        <w:rPr>
          <w:rFonts w:hint="eastAsia"/>
          <w:bCs/>
          <w:sz w:val="24"/>
        </w:rPr>
        <w:t>）买卖其他基金份额，但是中国证监会另有规定的除外；</w:t>
      </w:r>
    </w:p>
    <w:p w:rsidR="00562FFD" w:rsidRDefault="003317D3">
      <w:pPr>
        <w:spacing w:line="360" w:lineRule="auto"/>
        <w:ind w:firstLine="480"/>
        <w:rPr>
          <w:bCs/>
          <w:sz w:val="24"/>
        </w:rPr>
      </w:pPr>
      <w:r>
        <w:rPr>
          <w:rFonts w:hint="eastAsia"/>
          <w:bCs/>
          <w:sz w:val="24"/>
        </w:rPr>
        <w:t>（</w:t>
      </w:r>
      <w:r>
        <w:rPr>
          <w:bCs/>
          <w:sz w:val="24"/>
        </w:rPr>
        <w:t>5</w:t>
      </w:r>
      <w:r>
        <w:rPr>
          <w:rFonts w:hint="eastAsia"/>
          <w:bCs/>
          <w:sz w:val="24"/>
        </w:rPr>
        <w:t>）向其基金管理人、基金托管人出资；</w:t>
      </w:r>
    </w:p>
    <w:p w:rsidR="00562FFD" w:rsidRDefault="003317D3">
      <w:pPr>
        <w:spacing w:line="360" w:lineRule="auto"/>
        <w:ind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rsidR="00562FFD" w:rsidRDefault="003317D3">
      <w:pPr>
        <w:spacing w:line="360" w:lineRule="auto"/>
        <w:ind w:firstLine="480"/>
        <w:rPr>
          <w:bCs/>
          <w:sz w:val="24"/>
        </w:rPr>
      </w:pPr>
      <w:r>
        <w:rPr>
          <w:rFonts w:hint="eastAsia"/>
          <w:bCs/>
          <w:sz w:val="24"/>
        </w:rPr>
        <w:t>（</w:t>
      </w:r>
      <w:r>
        <w:rPr>
          <w:bCs/>
          <w:sz w:val="24"/>
        </w:rPr>
        <w:t>7</w:t>
      </w:r>
      <w:r>
        <w:rPr>
          <w:rFonts w:hint="eastAsia"/>
          <w:bCs/>
          <w:sz w:val="24"/>
        </w:rPr>
        <w:t>）法律、行政法规和中国证监会规定禁止的其他活动。</w:t>
      </w:r>
    </w:p>
    <w:p w:rsidR="00562FFD" w:rsidRDefault="003317D3">
      <w:pPr>
        <w:spacing w:line="360" w:lineRule="auto"/>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62FFD" w:rsidRDefault="003317D3">
      <w:pPr>
        <w:spacing w:line="360" w:lineRule="auto"/>
        <w:ind w:firstLine="480"/>
        <w:rPr>
          <w:bCs/>
          <w:sz w:val="24"/>
        </w:rPr>
      </w:pPr>
      <w:r>
        <w:rPr>
          <w:rFonts w:hint="eastAsia"/>
          <w:bCs/>
          <w:sz w:val="24"/>
        </w:rPr>
        <w:t>基金托管人对基金管理人的违法违规投资等上述事项和由此造成的任何损失不承担任何责任。</w:t>
      </w:r>
    </w:p>
    <w:p w:rsidR="00562FFD" w:rsidRDefault="003317D3">
      <w:pPr>
        <w:spacing w:line="360" w:lineRule="auto"/>
        <w:ind w:firstLine="480"/>
        <w:rPr>
          <w:bCs/>
          <w:sz w:val="24"/>
        </w:rPr>
      </w:pPr>
      <w:r>
        <w:rPr>
          <w:rFonts w:hint="eastAsia"/>
          <w:bCs/>
          <w:sz w:val="24"/>
        </w:rPr>
        <w:t>法律法规或监管部门取消或变更上述限制，如适用于本基金，在履行适当程序后，则本基金投资不再受相关限制或以变更后的规定为准。</w:t>
      </w:r>
    </w:p>
    <w:p w:rsidR="00562FFD" w:rsidRDefault="003317D3">
      <w:pPr>
        <w:spacing w:line="360" w:lineRule="auto"/>
        <w:ind w:firstLine="480"/>
        <w:rPr>
          <w:bCs/>
          <w:sz w:val="24"/>
        </w:rPr>
      </w:pPr>
      <w:r>
        <w:rPr>
          <w:rFonts w:hint="eastAsia"/>
          <w:bCs/>
          <w:sz w:val="24"/>
        </w:rPr>
        <w:t>五、业绩比较基准</w:t>
      </w:r>
    </w:p>
    <w:p w:rsidR="00562FFD" w:rsidRDefault="003317D3">
      <w:pPr>
        <w:spacing w:line="360" w:lineRule="auto"/>
        <w:ind w:firstLine="480"/>
        <w:rPr>
          <w:bCs/>
          <w:sz w:val="24"/>
        </w:rPr>
      </w:pPr>
      <w:r>
        <w:rPr>
          <w:rFonts w:hint="eastAsia"/>
          <w:bCs/>
          <w:sz w:val="24"/>
        </w:rPr>
        <w:t>本</w:t>
      </w:r>
      <w:r>
        <w:rPr>
          <w:bCs/>
          <w:sz w:val="24"/>
        </w:rPr>
        <w:t>基金业绩比较基准</w:t>
      </w:r>
      <w:r>
        <w:rPr>
          <w:rFonts w:hint="eastAsia"/>
          <w:bCs/>
          <w:sz w:val="24"/>
        </w:rPr>
        <w:t>：</w:t>
      </w:r>
      <w:proofErr w:type="gramStart"/>
      <w:r>
        <w:rPr>
          <w:rFonts w:hint="eastAsia"/>
          <w:bCs/>
          <w:sz w:val="24"/>
        </w:rPr>
        <w:t>中债新综合</w:t>
      </w:r>
      <w:proofErr w:type="gramEnd"/>
      <w:r>
        <w:rPr>
          <w:rFonts w:hint="eastAsia"/>
          <w:bCs/>
          <w:sz w:val="24"/>
        </w:rPr>
        <w:t>指数（财富）收益率×</w:t>
      </w:r>
      <w:r>
        <w:rPr>
          <w:bCs/>
          <w:sz w:val="24"/>
        </w:rPr>
        <w:t>90</w:t>
      </w:r>
      <w:r>
        <w:rPr>
          <w:rFonts w:hint="eastAsia"/>
          <w:bCs/>
          <w:sz w:val="24"/>
        </w:rPr>
        <w:t>%+</w:t>
      </w:r>
      <w:r>
        <w:rPr>
          <w:rFonts w:hint="eastAsia"/>
          <w:bCs/>
          <w:sz w:val="24"/>
        </w:rPr>
        <w:t>沪深</w:t>
      </w:r>
      <w:r>
        <w:rPr>
          <w:rFonts w:hint="eastAsia"/>
          <w:bCs/>
          <w:sz w:val="24"/>
        </w:rPr>
        <w:t>300</w:t>
      </w:r>
      <w:r>
        <w:rPr>
          <w:rFonts w:hint="eastAsia"/>
          <w:bCs/>
          <w:sz w:val="24"/>
        </w:rPr>
        <w:t>指数收益率×</w:t>
      </w:r>
      <w:r>
        <w:rPr>
          <w:bCs/>
          <w:sz w:val="24"/>
        </w:rPr>
        <w:t>8</w:t>
      </w:r>
      <w:r>
        <w:rPr>
          <w:rFonts w:hint="eastAsia"/>
          <w:bCs/>
          <w:sz w:val="24"/>
        </w:rPr>
        <w:t>%+</w:t>
      </w:r>
      <w:r>
        <w:rPr>
          <w:rFonts w:hint="eastAsia"/>
          <w:bCs/>
          <w:sz w:val="24"/>
        </w:rPr>
        <w:t>中证港股</w:t>
      </w:r>
      <w:proofErr w:type="gramStart"/>
      <w:r>
        <w:rPr>
          <w:rFonts w:hint="eastAsia"/>
          <w:bCs/>
          <w:sz w:val="24"/>
        </w:rPr>
        <w:t>通综合</w:t>
      </w:r>
      <w:proofErr w:type="gramEnd"/>
      <w:r>
        <w:rPr>
          <w:rFonts w:hint="eastAsia"/>
          <w:bCs/>
          <w:sz w:val="24"/>
        </w:rPr>
        <w:t>指数收益率×</w:t>
      </w:r>
      <w:r>
        <w:rPr>
          <w:bCs/>
          <w:sz w:val="24"/>
        </w:rPr>
        <w:t>2</w:t>
      </w:r>
      <w:r>
        <w:rPr>
          <w:rFonts w:hint="eastAsia"/>
          <w:bCs/>
          <w:sz w:val="24"/>
        </w:rPr>
        <w:t>%</w:t>
      </w:r>
      <w:r>
        <w:rPr>
          <w:rFonts w:hint="eastAsia"/>
          <w:bCs/>
          <w:sz w:val="24"/>
        </w:rPr>
        <w:t>。</w:t>
      </w:r>
    </w:p>
    <w:p w:rsidR="00562FFD" w:rsidRDefault="003317D3">
      <w:pPr>
        <w:spacing w:line="360" w:lineRule="auto"/>
        <w:ind w:firstLine="480"/>
        <w:rPr>
          <w:bCs/>
          <w:sz w:val="24"/>
        </w:rPr>
      </w:pPr>
      <w:proofErr w:type="gramStart"/>
      <w:r>
        <w:rPr>
          <w:rFonts w:hint="eastAsia"/>
          <w:bCs/>
          <w:sz w:val="24"/>
        </w:rPr>
        <w:lastRenderedPageBreak/>
        <w:t>中债新综合</w:t>
      </w:r>
      <w:proofErr w:type="gramEnd"/>
      <w:r>
        <w:rPr>
          <w:rFonts w:hint="eastAsia"/>
          <w:bCs/>
          <w:sz w:val="24"/>
        </w:rPr>
        <w:t>指数（财富）能够反映债券市场总体走势，适合作为本基金固定收益部分的业绩比较基准。沪深</w:t>
      </w:r>
      <w:r>
        <w:rPr>
          <w:rFonts w:hint="eastAsia"/>
          <w:bCs/>
          <w:sz w:val="24"/>
        </w:rPr>
        <w:t>300</w:t>
      </w:r>
      <w:r>
        <w:rPr>
          <w:rFonts w:hint="eastAsia"/>
          <w:bCs/>
          <w:sz w:val="24"/>
        </w:rPr>
        <w:t>指数对</w:t>
      </w:r>
      <w:r>
        <w:rPr>
          <w:rFonts w:hint="eastAsia"/>
          <w:bCs/>
          <w:sz w:val="24"/>
        </w:rPr>
        <w:t>A</w:t>
      </w:r>
      <w:r>
        <w:rPr>
          <w:rFonts w:hint="eastAsia"/>
          <w:bCs/>
          <w:sz w:val="24"/>
        </w:rPr>
        <w:t>股股票市场具有较强的代表性，中证港股</w:t>
      </w:r>
      <w:proofErr w:type="gramStart"/>
      <w:r>
        <w:rPr>
          <w:rFonts w:hint="eastAsia"/>
          <w:bCs/>
          <w:sz w:val="24"/>
        </w:rPr>
        <w:t>通综合</w:t>
      </w:r>
      <w:proofErr w:type="gramEnd"/>
      <w:r>
        <w:rPr>
          <w:rFonts w:hint="eastAsia"/>
          <w:bCs/>
          <w:sz w:val="24"/>
        </w:rPr>
        <w:t>指数对港股</w:t>
      </w:r>
      <w:proofErr w:type="gramStart"/>
      <w:r>
        <w:rPr>
          <w:rFonts w:hint="eastAsia"/>
          <w:bCs/>
          <w:sz w:val="24"/>
        </w:rPr>
        <w:t>通范围</w:t>
      </w:r>
      <w:proofErr w:type="gramEnd"/>
      <w:r>
        <w:rPr>
          <w:rFonts w:hint="eastAsia"/>
          <w:bCs/>
          <w:sz w:val="24"/>
        </w:rPr>
        <w:t>内上市公司的整体状况和走势具有较强代表性，适合作为本基金股票部分的业绩比较基准。此外，本基金还参考预期的大类资产配置比例设置了业绩比较基准的权重。</w:t>
      </w:r>
    </w:p>
    <w:p w:rsidR="00562FFD" w:rsidRDefault="003317D3">
      <w:pPr>
        <w:spacing w:line="360" w:lineRule="auto"/>
        <w:ind w:firstLine="480"/>
        <w:rPr>
          <w:bCs/>
          <w:sz w:val="24"/>
        </w:rPr>
      </w:pPr>
      <w:r>
        <w:rPr>
          <w:rFonts w:hint="eastAsia"/>
          <w:bCs/>
          <w:sz w:val="24"/>
        </w:rPr>
        <w:t>如果今后法律法规发生变化，或者上述业绩比较基准变更名称，或者有更权威的、更能为市场普遍接受的业绩比较基准推出，或者是市场上出现更加适合用于本基金的业绩基准的指数时，本基金可以在与基金托管人协商一致的情况下，报中国证监会备案后变更业绩比较基准并及时公告。如果本基金业绩比较基准所参照的指数在未来不再发布时，基金管理人可以按相关监管部门要求履行相关手续后，依据维护基金份额持有人合法权益的原则，选取相似的或可替代的指数作为业绩比较基准的参照指数。</w:t>
      </w:r>
    </w:p>
    <w:p w:rsidR="00562FFD" w:rsidRDefault="003317D3">
      <w:pPr>
        <w:spacing w:line="360" w:lineRule="auto"/>
        <w:ind w:firstLine="480"/>
        <w:rPr>
          <w:bCs/>
          <w:sz w:val="24"/>
        </w:rPr>
      </w:pPr>
      <w:r>
        <w:rPr>
          <w:rFonts w:hint="eastAsia"/>
          <w:bCs/>
          <w:sz w:val="24"/>
        </w:rPr>
        <w:t>六、风险收益特征</w:t>
      </w:r>
    </w:p>
    <w:p w:rsidR="00562FFD" w:rsidRDefault="003317D3">
      <w:pPr>
        <w:spacing w:line="360" w:lineRule="auto"/>
        <w:ind w:firstLine="480"/>
        <w:rPr>
          <w:bCs/>
          <w:sz w:val="24"/>
        </w:rPr>
      </w:pPr>
      <w:r>
        <w:rPr>
          <w:rFonts w:hint="eastAsia"/>
          <w:bCs/>
          <w:sz w:val="24"/>
        </w:rPr>
        <w:t>本基金为混合型基金，其风险收益预期高于货币市场基金和债券型基金，低于股票型基金。本基金若投资港股通标的股票，会面临港股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rsidR="00562FFD" w:rsidRDefault="003317D3">
      <w:pPr>
        <w:spacing w:line="360" w:lineRule="auto"/>
        <w:ind w:firstLine="480"/>
        <w:rPr>
          <w:b/>
          <w:bCs/>
          <w:sz w:val="24"/>
        </w:rPr>
      </w:pPr>
      <w:r>
        <w:rPr>
          <w:rFonts w:hint="eastAsia"/>
          <w:bCs/>
          <w:sz w:val="24"/>
        </w:rPr>
        <w:t>七、基金管理人代表基金行使股东或债权人权利的处理原则及方法</w:t>
      </w:r>
    </w:p>
    <w:p w:rsidR="00562FFD" w:rsidRDefault="003317D3">
      <w:pPr>
        <w:spacing w:line="360" w:lineRule="auto"/>
        <w:ind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562FFD" w:rsidRDefault="003317D3">
      <w:pPr>
        <w:spacing w:line="360" w:lineRule="auto"/>
        <w:ind w:firstLine="480"/>
        <w:rPr>
          <w:bCs/>
          <w:sz w:val="24"/>
        </w:rPr>
      </w:pPr>
      <w:r>
        <w:rPr>
          <w:bCs/>
          <w:sz w:val="24"/>
        </w:rPr>
        <w:t>2</w:t>
      </w:r>
      <w:r>
        <w:rPr>
          <w:bCs/>
          <w:sz w:val="24"/>
        </w:rPr>
        <w:t>、不谋求对上市公司的控股；</w:t>
      </w:r>
      <w:r>
        <w:rPr>
          <w:bCs/>
          <w:sz w:val="24"/>
        </w:rPr>
        <w:t xml:space="preserve"> </w:t>
      </w:r>
    </w:p>
    <w:p w:rsidR="00562FFD" w:rsidRDefault="003317D3">
      <w:pPr>
        <w:spacing w:line="360" w:lineRule="auto"/>
        <w:ind w:firstLine="480"/>
        <w:rPr>
          <w:bCs/>
          <w:sz w:val="24"/>
        </w:rPr>
      </w:pPr>
      <w:r>
        <w:rPr>
          <w:bCs/>
          <w:sz w:val="24"/>
        </w:rPr>
        <w:t>3</w:t>
      </w:r>
      <w:r>
        <w:rPr>
          <w:bCs/>
          <w:sz w:val="24"/>
        </w:rPr>
        <w:t>、有利于基金财产的安全与增值；</w:t>
      </w:r>
      <w:r>
        <w:rPr>
          <w:bCs/>
          <w:sz w:val="24"/>
        </w:rPr>
        <w:t xml:space="preserve"> </w:t>
      </w:r>
    </w:p>
    <w:p w:rsidR="00562FFD" w:rsidRDefault="003317D3">
      <w:pPr>
        <w:spacing w:line="360" w:lineRule="auto"/>
        <w:ind w:firstLine="480"/>
        <w:rPr>
          <w:bCs/>
          <w:sz w:val="24"/>
        </w:rPr>
      </w:pPr>
      <w:r>
        <w:rPr>
          <w:bCs/>
          <w:sz w:val="24"/>
        </w:rPr>
        <w:t>4</w:t>
      </w:r>
      <w:r>
        <w:rPr>
          <w:bCs/>
          <w:sz w:val="24"/>
        </w:rPr>
        <w:t>、不通过关联交易为自身、雇员、授权代理人或任何存在利害关系的第三人牟取任何不当利益。</w:t>
      </w:r>
    </w:p>
    <w:p w:rsidR="00562FFD" w:rsidRDefault="003317D3">
      <w:pPr>
        <w:spacing w:line="360" w:lineRule="auto"/>
        <w:ind w:firstLine="480"/>
        <w:rPr>
          <w:rFonts w:ascii="宋体" w:hAnsi="宋体"/>
          <w:bCs/>
          <w:sz w:val="24"/>
        </w:rPr>
      </w:pPr>
      <w:bookmarkStart w:id="49" w:name="_Toc313303382"/>
      <w:bookmarkEnd w:id="46"/>
      <w:bookmarkEnd w:id="47"/>
      <w:bookmarkEnd w:id="48"/>
      <w:r>
        <w:rPr>
          <w:rFonts w:hint="eastAsia"/>
          <w:bCs/>
          <w:sz w:val="24"/>
        </w:rPr>
        <w:t>八、</w:t>
      </w:r>
      <w:proofErr w:type="gramStart"/>
      <w:r>
        <w:rPr>
          <w:rFonts w:ascii="宋体" w:hAnsi="宋体" w:hint="eastAsia"/>
          <w:bCs/>
          <w:sz w:val="24"/>
        </w:rPr>
        <w:t>侧袋机制</w:t>
      </w:r>
      <w:proofErr w:type="gramEnd"/>
      <w:r>
        <w:rPr>
          <w:rFonts w:ascii="宋体" w:hAnsi="宋体" w:hint="eastAsia"/>
          <w:bCs/>
          <w:sz w:val="24"/>
        </w:rPr>
        <w:t>的实施和投资运作安排</w:t>
      </w:r>
    </w:p>
    <w:p w:rsidR="00562FFD" w:rsidRDefault="003317D3">
      <w:pPr>
        <w:spacing w:line="360" w:lineRule="auto"/>
        <w:ind w:firstLine="480"/>
        <w:rPr>
          <w:rFonts w:ascii="宋体" w:hAnsi="宋体"/>
          <w:bCs/>
          <w:sz w:val="24"/>
        </w:rPr>
      </w:pPr>
      <w:r>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bCs/>
          <w:sz w:val="24"/>
        </w:rPr>
        <w:t>启用侧袋机制</w:t>
      </w:r>
      <w:proofErr w:type="gramEnd"/>
      <w:r>
        <w:rPr>
          <w:rFonts w:ascii="宋体" w:hAnsi="宋体" w:hint="eastAsia"/>
          <w:bCs/>
          <w:sz w:val="24"/>
        </w:rPr>
        <w:t>，无需召开基金份额持有人大会审议。</w:t>
      </w:r>
    </w:p>
    <w:p w:rsidR="00562FFD" w:rsidRDefault="003317D3">
      <w:pPr>
        <w:spacing w:line="360" w:lineRule="auto"/>
        <w:ind w:firstLine="480"/>
        <w:rPr>
          <w:rFonts w:ascii="宋体" w:hAnsi="宋体"/>
          <w:bCs/>
          <w:sz w:val="24"/>
        </w:rPr>
      </w:pPr>
      <w:proofErr w:type="gramStart"/>
      <w:r>
        <w:rPr>
          <w:rFonts w:ascii="宋体" w:hAnsi="宋体" w:hint="eastAsia"/>
          <w:bCs/>
          <w:sz w:val="24"/>
        </w:rPr>
        <w:t>侧袋机制</w:t>
      </w:r>
      <w:proofErr w:type="gramEnd"/>
      <w:r>
        <w:rPr>
          <w:rFonts w:ascii="宋体" w:hAnsi="宋体" w:hint="eastAsia"/>
          <w:bCs/>
          <w:sz w:val="24"/>
        </w:rPr>
        <w:t>实施期间，本部分约定的投资组合比例、投资策略、组合限制、业</w:t>
      </w:r>
      <w:r>
        <w:rPr>
          <w:rFonts w:ascii="宋体" w:hAnsi="宋体" w:hint="eastAsia"/>
          <w:bCs/>
          <w:sz w:val="24"/>
        </w:rPr>
        <w:lastRenderedPageBreak/>
        <w:t>绩比较基准、风险收益特征等约定仅</w:t>
      </w:r>
      <w:proofErr w:type="gramStart"/>
      <w:r>
        <w:rPr>
          <w:rFonts w:ascii="宋体" w:hAnsi="宋体" w:hint="eastAsia"/>
          <w:bCs/>
          <w:sz w:val="24"/>
        </w:rPr>
        <w:t>适用于主袋账户</w:t>
      </w:r>
      <w:proofErr w:type="gramEnd"/>
      <w:r>
        <w:rPr>
          <w:rFonts w:ascii="宋体" w:hAnsi="宋体" w:hint="eastAsia"/>
          <w:bCs/>
          <w:sz w:val="24"/>
        </w:rPr>
        <w:t>。</w:t>
      </w:r>
    </w:p>
    <w:p w:rsidR="00562FFD" w:rsidRDefault="003317D3">
      <w:pPr>
        <w:spacing w:line="360" w:lineRule="auto"/>
        <w:ind w:firstLineChars="200" w:firstLine="480"/>
        <w:rPr>
          <w:rFonts w:ascii="宋体" w:hAnsi="宋体"/>
          <w:bCs/>
          <w:sz w:val="24"/>
        </w:rPr>
      </w:pPr>
      <w:proofErr w:type="gramStart"/>
      <w:r>
        <w:rPr>
          <w:rFonts w:ascii="宋体" w:hAnsi="宋体" w:hint="eastAsia"/>
          <w:bCs/>
          <w:sz w:val="24"/>
        </w:rPr>
        <w:t>侧袋账户</w:t>
      </w:r>
      <w:proofErr w:type="gramEnd"/>
      <w:r>
        <w:rPr>
          <w:rFonts w:ascii="宋体" w:hAnsi="宋体" w:hint="eastAsia"/>
          <w:bCs/>
          <w:sz w:val="24"/>
        </w:rPr>
        <w:t>的实施条件、实施程序、运作安排、投资安排、特定资产的处置变现和支付等对投资者权益有重大影响的事项详见本招募说明书“侧袋机制”章节的规定。</w:t>
      </w:r>
    </w:p>
    <w:p w:rsidR="00562FFD" w:rsidRDefault="003317D3">
      <w:pPr>
        <w:pStyle w:val="af0"/>
        <w:ind w:firstLine="480"/>
        <w:rPr>
          <w:rFonts w:hAnsi="宋体"/>
          <w:bCs/>
          <w:szCs w:val="28"/>
        </w:rPr>
      </w:pPr>
      <w:bookmarkStart w:id="50" w:name="_Toc164766391"/>
      <w:bookmarkEnd w:id="49"/>
      <w:r>
        <w:rPr>
          <w:rFonts w:hAnsi="宋体"/>
          <w:bCs/>
          <w:sz w:val="24"/>
          <w:szCs w:val="24"/>
        </w:rPr>
        <w:br w:type="page"/>
      </w:r>
      <w:bookmarkStart w:id="51" w:name="_Toc56692693"/>
      <w:bookmarkStart w:id="52" w:name="_Toc34222302"/>
      <w:r>
        <w:rPr>
          <w:rFonts w:hint="eastAsia"/>
          <w:szCs w:val="28"/>
        </w:rPr>
        <w:lastRenderedPageBreak/>
        <w:t>第十部分 基金的财产</w:t>
      </w:r>
      <w:bookmarkEnd w:id="50"/>
      <w:bookmarkEnd w:id="51"/>
      <w:bookmarkEnd w:id="52"/>
    </w:p>
    <w:p w:rsidR="00562FFD" w:rsidRDefault="003317D3">
      <w:pPr>
        <w:spacing w:line="360" w:lineRule="auto"/>
        <w:ind w:firstLine="480"/>
        <w:rPr>
          <w:rFonts w:hAnsi="宋体"/>
          <w:b/>
          <w:bCs/>
          <w:sz w:val="24"/>
        </w:rPr>
      </w:pPr>
      <w:bookmarkStart w:id="53" w:name="_Toc164766392"/>
      <w:r>
        <w:rPr>
          <w:rFonts w:hAnsi="宋体" w:hint="eastAsia"/>
          <w:bCs/>
          <w:sz w:val="24"/>
        </w:rPr>
        <w:t>一、基金资产总值</w:t>
      </w:r>
    </w:p>
    <w:p w:rsidR="00562FFD" w:rsidRDefault="003317D3">
      <w:pPr>
        <w:spacing w:line="360" w:lineRule="auto"/>
        <w:ind w:firstLine="480"/>
        <w:rPr>
          <w:rFonts w:hAnsi="宋体"/>
          <w:b/>
          <w:bCs/>
          <w:sz w:val="24"/>
        </w:rPr>
      </w:pPr>
      <w:r>
        <w:rPr>
          <w:rFonts w:hAnsi="宋体" w:hint="eastAsia"/>
          <w:bCs/>
          <w:sz w:val="24"/>
        </w:rPr>
        <w:t>基金资产总值是指基金拥有的各类有价证券、银行存款本息、基金应收款项及其他资产的价值总和。</w:t>
      </w:r>
    </w:p>
    <w:p w:rsidR="00562FFD" w:rsidRDefault="003317D3">
      <w:pPr>
        <w:spacing w:line="360" w:lineRule="auto"/>
        <w:ind w:firstLine="480"/>
        <w:rPr>
          <w:rFonts w:hAnsi="宋体"/>
          <w:b/>
          <w:bCs/>
          <w:sz w:val="24"/>
        </w:rPr>
      </w:pPr>
      <w:r>
        <w:rPr>
          <w:rFonts w:hAnsi="宋体" w:hint="eastAsia"/>
          <w:bCs/>
          <w:sz w:val="24"/>
        </w:rPr>
        <w:t>二、基金资产净值</w:t>
      </w:r>
    </w:p>
    <w:p w:rsidR="00562FFD" w:rsidRDefault="003317D3">
      <w:pPr>
        <w:spacing w:line="360" w:lineRule="auto"/>
        <w:ind w:firstLine="480"/>
        <w:rPr>
          <w:rFonts w:hAnsi="宋体"/>
          <w:b/>
          <w:bCs/>
          <w:sz w:val="24"/>
        </w:rPr>
      </w:pPr>
      <w:r>
        <w:rPr>
          <w:rFonts w:hAnsi="宋体" w:hint="eastAsia"/>
          <w:bCs/>
          <w:sz w:val="24"/>
        </w:rPr>
        <w:t>基金资产净值是指基金资产总值减去基金负债后的价值。</w:t>
      </w:r>
    </w:p>
    <w:p w:rsidR="00562FFD" w:rsidRDefault="003317D3">
      <w:pPr>
        <w:spacing w:line="360" w:lineRule="auto"/>
        <w:ind w:firstLine="480"/>
        <w:rPr>
          <w:rFonts w:hAnsi="宋体"/>
          <w:b/>
          <w:bCs/>
          <w:sz w:val="24"/>
        </w:rPr>
      </w:pPr>
      <w:r>
        <w:rPr>
          <w:rFonts w:hAnsi="宋体" w:hint="eastAsia"/>
          <w:bCs/>
          <w:sz w:val="24"/>
        </w:rPr>
        <w:t>三、基金财产的账户</w:t>
      </w:r>
    </w:p>
    <w:p w:rsidR="00562FFD" w:rsidRDefault="003317D3">
      <w:pPr>
        <w:spacing w:line="360" w:lineRule="auto"/>
        <w:ind w:firstLine="480"/>
        <w:rPr>
          <w:rFonts w:hAnsi="宋体"/>
          <w:b/>
          <w:bCs/>
          <w:sz w:val="24"/>
        </w:rPr>
      </w:pPr>
      <w:r>
        <w:rPr>
          <w:rFonts w:hAnsi="宋体"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562FFD" w:rsidRDefault="003317D3">
      <w:pPr>
        <w:spacing w:line="360" w:lineRule="auto"/>
        <w:ind w:firstLine="480"/>
        <w:rPr>
          <w:rFonts w:hAnsi="宋体"/>
          <w:b/>
          <w:bCs/>
          <w:sz w:val="24"/>
        </w:rPr>
      </w:pPr>
      <w:r>
        <w:rPr>
          <w:rFonts w:hAnsi="宋体" w:hint="eastAsia"/>
          <w:bCs/>
          <w:sz w:val="24"/>
        </w:rPr>
        <w:t>四、基金财产的保管和处分</w:t>
      </w:r>
    </w:p>
    <w:p w:rsidR="00562FFD" w:rsidRDefault="003317D3">
      <w:pPr>
        <w:spacing w:line="360" w:lineRule="auto"/>
        <w:ind w:firstLine="480"/>
        <w:rPr>
          <w:rFonts w:hAnsi="宋体"/>
          <w:b/>
          <w:bCs/>
          <w:sz w:val="24"/>
        </w:rPr>
      </w:pPr>
      <w:r>
        <w:rPr>
          <w:rFonts w:hAnsi="宋体"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Ansi="宋体" w:hint="eastAsia"/>
          <w:bCs/>
          <w:sz w:val="24"/>
        </w:rPr>
        <w:t>律法规</w:t>
      </w:r>
      <w:proofErr w:type="gramEnd"/>
      <w:r>
        <w:rPr>
          <w:rFonts w:hAnsi="宋体" w:hint="eastAsia"/>
          <w:bCs/>
          <w:sz w:val="24"/>
        </w:rPr>
        <w:t>和《基金合同》的规定处分外，基金财产不得被处分。</w:t>
      </w:r>
    </w:p>
    <w:p w:rsidR="00562FFD" w:rsidRDefault="003317D3">
      <w:pPr>
        <w:spacing w:line="360" w:lineRule="auto"/>
        <w:ind w:firstLineChars="200" w:firstLine="480"/>
        <w:jc w:val="left"/>
        <w:rPr>
          <w:rFonts w:ascii="宋体" w:hAnsi="宋体"/>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rsidR="00562FFD" w:rsidRDefault="003317D3">
      <w:pPr>
        <w:pStyle w:val="af0"/>
        <w:ind w:firstLine="480"/>
        <w:rPr>
          <w:bCs/>
        </w:rPr>
      </w:pPr>
      <w:bookmarkStart w:id="54" w:name="_Hlt88841837"/>
      <w:bookmarkStart w:id="55" w:name="_Hlt88900062"/>
      <w:bookmarkEnd w:id="54"/>
      <w:bookmarkEnd w:id="55"/>
      <w:r>
        <w:rPr>
          <w:rFonts w:hAnsi="宋体"/>
          <w:bCs/>
          <w:sz w:val="24"/>
        </w:rPr>
        <w:br w:type="page"/>
      </w:r>
      <w:bookmarkStart w:id="56" w:name="_Toc34222303"/>
      <w:bookmarkStart w:id="57" w:name="_Toc56692694"/>
      <w:r>
        <w:rPr>
          <w:rFonts w:hint="eastAsia"/>
          <w:szCs w:val="28"/>
        </w:rPr>
        <w:lastRenderedPageBreak/>
        <w:t>第十一部分 基金资产的估值</w:t>
      </w:r>
      <w:bookmarkEnd w:id="53"/>
      <w:bookmarkEnd w:id="56"/>
      <w:bookmarkEnd w:id="57"/>
    </w:p>
    <w:p w:rsidR="00562FFD" w:rsidRDefault="003317D3">
      <w:pPr>
        <w:spacing w:line="360" w:lineRule="auto"/>
        <w:ind w:firstLineChars="200" w:firstLine="480"/>
        <w:rPr>
          <w:rFonts w:ascii="宋体" w:hAnsi="宋体"/>
          <w:bCs/>
          <w:sz w:val="24"/>
        </w:rPr>
      </w:pPr>
      <w:bookmarkStart w:id="58" w:name="_Toc164766393"/>
      <w:r>
        <w:rPr>
          <w:rFonts w:ascii="宋体" w:hAnsi="宋体" w:hint="eastAsia"/>
          <w:bCs/>
          <w:sz w:val="24"/>
        </w:rPr>
        <w:t>一、估值日</w:t>
      </w:r>
    </w:p>
    <w:p w:rsidR="00562FFD" w:rsidRDefault="003317D3">
      <w:pPr>
        <w:spacing w:line="360" w:lineRule="auto"/>
        <w:ind w:firstLineChars="200" w:firstLine="480"/>
        <w:rPr>
          <w:rFonts w:ascii="宋体" w:hAnsi="宋体"/>
          <w:bCs/>
          <w:sz w:val="24"/>
        </w:rPr>
      </w:pPr>
      <w:r>
        <w:rPr>
          <w:rFonts w:ascii="宋体" w:hAnsi="宋体" w:hint="eastAsia"/>
          <w:bCs/>
          <w:sz w:val="24"/>
        </w:rPr>
        <w:t>本基金的估值日为本基金相关的证券、期货交易场所的交易日以及国家法律法规规定需要对外披露基金净值的</w:t>
      </w:r>
      <w:proofErr w:type="gramStart"/>
      <w:r>
        <w:rPr>
          <w:rFonts w:ascii="宋体" w:hAnsi="宋体" w:hint="eastAsia"/>
          <w:bCs/>
          <w:sz w:val="24"/>
        </w:rPr>
        <w:t>非交易</w:t>
      </w:r>
      <w:proofErr w:type="gramEnd"/>
      <w:r>
        <w:rPr>
          <w:rFonts w:ascii="宋体" w:hAnsi="宋体" w:hint="eastAsia"/>
          <w:bCs/>
          <w:sz w:val="24"/>
        </w:rPr>
        <w:t>日。</w:t>
      </w:r>
    </w:p>
    <w:p w:rsidR="00562FFD" w:rsidRDefault="003317D3">
      <w:pPr>
        <w:spacing w:line="360" w:lineRule="auto"/>
        <w:ind w:firstLineChars="200" w:firstLine="480"/>
        <w:rPr>
          <w:rFonts w:ascii="宋体" w:hAnsi="宋体"/>
          <w:bCs/>
          <w:sz w:val="24"/>
        </w:rPr>
      </w:pPr>
      <w:r>
        <w:rPr>
          <w:rFonts w:ascii="宋体" w:hAnsi="宋体" w:hint="eastAsia"/>
          <w:bCs/>
          <w:sz w:val="24"/>
        </w:rPr>
        <w:t>二、估值对象</w:t>
      </w:r>
    </w:p>
    <w:p w:rsidR="00562FFD" w:rsidRDefault="003317D3">
      <w:pPr>
        <w:spacing w:line="360" w:lineRule="auto"/>
        <w:ind w:firstLineChars="200" w:firstLine="480"/>
        <w:rPr>
          <w:rFonts w:ascii="宋体" w:hAnsi="宋体"/>
          <w:bCs/>
          <w:sz w:val="24"/>
        </w:rPr>
      </w:pPr>
      <w:r>
        <w:rPr>
          <w:rFonts w:ascii="宋体" w:hAnsi="宋体" w:hint="eastAsia"/>
          <w:bCs/>
          <w:sz w:val="24"/>
        </w:rPr>
        <w:t>基金所拥有的股票、存托凭证、债券、股指期货合约、股票期权合约、国债期货合约、信用衍生品、银行存款本息、应收款项、资产支持证券、其它投资等资产及负债。</w:t>
      </w:r>
    </w:p>
    <w:p w:rsidR="00562FFD" w:rsidRDefault="003317D3">
      <w:pPr>
        <w:spacing w:line="360" w:lineRule="auto"/>
        <w:ind w:firstLineChars="200" w:firstLine="480"/>
        <w:rPr>
          <w:rFonts w:ascii="宋体" w:hAnsi="宋体"/>
          <w:b/>
          <w:bCs/>
          <w:sz w:val="24"/>
        </w:rPr>
      </w:pPr>
      <w:r>
        <w:rPr>
          <w:rFonts w:ascii="宋体" w:hAnsi="宋体" w:hint="eastAsia"/>
          <w:bCs/>
          <w:sz w:val="24"/>
        </w:rPr>
        <w:t>三、估值原则</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基金管理人在确定相关金融资产和金融负债的公允价值时，应符合《企业会计准则》、监管部门有关规定。</w:t>
      </w:r>
    </w:p>
    <w:p w:rsidR="00562FFD" w:rsidRDefault="003317D3">
      <w:pPr>
        <w:spacing w:line="360" w:lineRule="auto"/>
        <w:ind w:firstLineChars="200" w:firstLine="480"/>
        <w:rPr>
          <w:rFonts w:ascii="宋体" w:hAnsi="宋体"/>
          <w:bCs/>
          <w:sz w:val="24"/>
        </w:rPr>
      </w:pPr>
      <w:r>
        <w:rPr>
          <w:rFonts w:ascii="宋体" w:hAnsi="宋体"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62FFD" w:rsidRDefault="003317D3">
      <w:pPr>
        <w:spacing w:line="360" w:lineRule="auto"/>
        <w:ind w:firstLineChars="200" w:firstLine="480"/>
        <w:rPr>
          <w:rFonts w:ascii="宋体" w:hAnsi="宋体"/>
          <w:bCs/>
          <w:sz w:val="24"/>
        </w:rPr>
      </w:pPr>
      <w:r>
        <w:rPr>
          <w:rFonts w:ascii="宋体" w:hAnsi="宋体"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62FFD" w:rsidRDefault="003317D3">
      <w:pPr>
        <w:spacing w:line="360" w:lineRule="auto"/>
        <w:ind w:firstLineChars="200" w:firstLine="480"/>
        <w:rPr>
          <w:rFonts w:ascii="宋体" w:hAnsi="宋体"/>
          <w:bCs/>
          <w:sz w:val="24"/>
        </w:rPr>
      </w:pPr>
      <w:r>
        <w:rPr>
          <w:rFonts w:ascii="宋体" w:hAnsi="宋体"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62FFD" w:rsidRDefault="003317D3">
      <w:pPr>
        <w:spacing w:line="360" w:lineRule="auto"/>
        <w:ind w:firstLineChars="200" w:firstLine="480"/>
        <w:rPr>
          <w:rFonts w:ascii="宋体" w:hAnsi="宋体"/>
          <w:bCs/>
          <w:sz w:val="24"/>
        </w:rPr>
      </w:pPr>
      <w:r>
        <w:rPr>
          <w:rFonts w:ascii="宋体" w:hAnsi="宋体" w:hint="eastAsia"/>
          <w:bCs/>
          <w:sz w:val="24"/>
        </w:rPr>
        <w:t>（三）如经济环境发生重大变化或证券发行人发生影响证券价格的重大事件，使潜在估值调整对前一估值日的基金资产净值的影响在</w:t>
      </w:r>
      <w:r>
        <w:rPr>
          <w:rFonts w:ascii="宋体" w:hAnsi="宋体"/>
          <w:bCs/>
          <w:sz w:val="24"/>
        </w:rPr>
        <w:t>0.25%以上的，应对估值进行调整并确定公允价值。</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四、估值方法</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、证券交易所上市的有价证券的估值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交易所上市的有价证券（包括股票），以其估值日在证券交易所挂牌的市价（收盘价）估值；估值日无交易的，最近交易日后经济环境未发生重大变化且证券发行机构未发生影响证券价格的重大事件的，以最近交易日的市价（收盘价）估值；如有</w:t>
      </w:r>
      <w:r>
        <w:rPr>
          <w:rFonts w:ascii="宋体" w:hAnsi="宋体"/>
          <w:bCs/>
          <w:sz w:val="24"/>
        </w:rPr>
        <w:t>充足证据</w:t>
      </w:r>
      <w:r>
        <w:rPr>
          <w:rFonts w:ascii="宋体" w:hAnsi="宋体" w:hint="eastAsia"/>
          <w:bCs/>
          <w:sz w:val="24"/>
        </w:rPr>
        <w:t>（最近交易日后发生了影响公允</w:t>
      </w:r>
      <w:r>
        <w:rPr>
          <w:rFonts w:ascii="宋体" w:hAnsi="宋体"/>
          <w:bCs/>
          <w:sz w:val="24"/>
        </w:rPr>
        <w:t>价值计量</w:t>
      </w:r>
      <w:r>
        <w:rPr>
          <w:rFonts w:ascii="宋体" w:hAnsi="宋体" w:hint="eastAsia"/>
          <w:bCs/>
          <w:sz w:val="24"/>
        </w:rPr>
        <w:t>的重大事件等</w:t>
      </w:r>
      <w:r>
        <w:rPr>
          <w:rFonts w:ascii="宋体" w:hAnsi="宋体"/>
          <w:bCs/>
          <w:sz w:val="24"/>
        </w:rPr>
        <w:t>）表明估值日或最近交易日的报价不能真实反映公允价值</w:t>
      </w:r>
      <w:r>
        <w:rPr>
          <w:rFonts w:ascii="宋体" w:hAnsi="宋体" w:hint="eastAsia"/>
          <w:bCs/>
          <w:sz w:val="24"/>
        </w:rPr>
        <w:t>的，可参考类似投资品种的现行市价及重大变化因素，调整最近交易市价，确定公允价格；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交易所上市交易或挂牌转让的不含</w:t>
      </w:r>
      <w:proofErr w:type="gramStart"/>
      <w:r>
        <w:rPr>
          <w:rFonts w:ascii="宋体" w:hAnsi="宋体" w:hint="eastAsia"/>
          <w:bCs/>
          <w:sz w:val="24"/>
        </w:rPr>
        <w:t>权固定</w:t>
      </w:r>
      <w:proofErr w:type="gramEnd"/>
      <w:r>
        <w:rPr>
          <w:rFonts w:ascii="宋体" w:hAnsi="宋体" w:hint="eastAsia"/>
          <w:bCs/>
          <w:sz w:val="24"/>
        </w:rPr>
        <w:t>收益品种，选取估值日第三方估值机构提供的相应品种当日的估值净价进行估值；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3）交易所上市交易或挂牌转让的含</w:t>
      </w:r>
      <w:proofErr w:type="gramStart"/>
      <w:r>
        <w:rPr>
          <w:rFonts w:ascii="宋体" w:hAnsi="宋体"/>
          <w:bCs/>
          <w:sz w:val="24"/>
        </w:rPr>
        <w:t>权固定</w:t>
      </w:r>
      <w:proofErr w:type="gramEnd"/>
      <w:r>
        <w:rPr>
          <w:rFonts w:ascii="宋体" w:hAnsi="宋体"/>
          <w:bCs/>
          <w:sz w:val="24"/>
        </w:rPr>
        <w:t>收益品种，选取估值日第三方</w:t>
      </w:r>
      <w:r>
        <w:rPr>
          <w:rFonts w:ascii="宋体" w:hAnsi="宋体" w:hint="eastAsia"/>
          <w:bCs/>
          <w:sz w:val="24"/>
        </w:rPr>
        <w:t>估值机构提供的相应品种当日的唯一估值净价或推荐估值净价进行估值；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4）交易所上市交易的可转换债券以每日收盘价作为估值全价；</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交易所上市不存在活跃市场的有价证券，采用估值技术确定公允价值。交易所市场挂牌转让的资产支持证券，采用估值技术确定公允价值；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处于未上市期间的有价证券应区分如下情况处理：</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送股、转增股、配股和公开增发的新股，按估值日在证券交易所挂牌的同一股票的估值方法估值；该日无交易的，以最近一日的市价（收盘价）估值；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首次公开发行未上市的股票、债券，采用估值技术确定公允价值，在估值技术难以可靠计量公允价值的情况下，按成本估值；</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3）在发行时明确一定期限</w:t>
      </w:r>
      <w:r>
        <w:rPr>
          <w:rFonts w:ascii="宋体" w:hAnsi="宋体" w:hint="eastAsia"/>
          <w:bCs/>
          <w:sz w:val="24"/>
        </w:rPr>
        <w:t>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bCs/>
          <w:sz w:val="24"/>
        </w:rPr>
        <w:t>券</w:t>
      </w:r>
      <w:proofErr w:type="gramEnd"/>
      <w:r>
        <w:rPr>
          <w:rFonts w:ascii="宋体" w:hAnsi="宋体" w:hint="eastAsia"/>
          <w:bCs/>
          <w:sz w:val="24"/>
        </w:rPr>
        <w:t>等流通受限股票，按监管机构或行业协会有关规定确定公允价值。</w:t>
      </w:r>
    </w:p>
    <w:p w:rsidR="00562FFD" w:rsidRDefault="003317D3">
      <w:pPr>
        <w:spacing w:line="360" w:lineRule="auto"/>
        <w:ind w:firstLineChars="200" w:firstLine="480"/>
        <w:rPr>
          <w:rFonts w:ascii="宋体" w:hAnsi="宋体"/>
          <w:bCs/>
          <w:sz w:val="24"/>
        </w:rPr>
      </w:pPr>
      <w:r>
        <w:rPr>
          <w:rFonts w:ascii="宋体" w:hAnsi="宋体"/>
          <w:bCs/>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银行间市场未上市，且第三方估值机构未提供估值价格的债券，在发行利率与二级市场利率不存在明显差异，未上市期间市场利率没有发生大的变动的情况下，按成本估值。</w:t>
      </w:r>
    </w:p>
    <w:p w:rsidR="00562FFD" w:rsidRDefault="003317D3">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、同一债券或股票同时在两个或两个以上市场交易的，按债券或股票所处的市场分别估值。</w:t>
      </w:r>
    </w:p>
    <w:p w:rsidR="00562FFD" w:rsidRDefault="003317D3">
      <w:pPr>
        <w:spacing w:line="360" w:lineRule="auto"/>
        <w:ind w:firstLineChars="200" w:firstLine="480"/>
        <w:rPr>
          <w:rFonts w:ascii="宋体" w:hAnsi="宋体"/>
          <w:bCs/>
          <w:sz w:val="24"/>
        </w:rPr>
      </w:pPr>
      <w:r>
        <w:rPr>
          <w:rFonts w:ascii="宋体" w:hAnsi="宋体"/>
          <w:bCs/>
          <w:sz w:val="24"/>
        </w:rPr>
        <w:t>5、本基金投资</w:t>
      </w:r>
      <w:r>
        <w:rPr>
          <w:rFonts w:ascii="宋体" w:hAnsi="宋体" w:hint="eastAsia"/>
          <w:bCs/>
          <w:sz w:val="24"/>
        </w:rPr>
        <w:t>股指期货合约，</w:t>
      </w:r>
      <w:r>
        <w:rPr>
          <w:rFonts w:ascii="宋体" w:hAnsi="宋体"/>
          <w:bCs/>
          <w:sz w:val="24"/>
        </w:rPr>
        <w:t>一般</w:t>
      </w:r>
      <w:r>
        <w:rPr>
          <w:rFonts w:ascii="宋体" w:hAnsi="宋体" w:hint="eastAsia"/>
          <w:bCs/>
          <w:sz w:val="24"/>
        </w:rPr>
        <w:t>以估值</w:t>
      </w:r>
      <w:r>
        <w:rPr>
          <w:rFonts w:ascii="宋体" w:hAnsi="宋体"/>
          <w:bCs/>
          <w:sz w:val="24"/>
        </w:rPr>
        <w:t>当日</w:t>
      </w:r>
      <w:r>
        <w:rPr>
          <w:rFonts w:ascii="宋体" w:hAnsi="宋体" w:hint="eastAsia"/>
          <w:bCs/>
          <w:sz w:val="24"/>
        </w:rPr>
        <w:t>结算价</w:t>
      </w:r>
      <w:r>
        <w:rPr>
          <w:rFonts w:ascii="宋体" w:hAnsi="宋体"/>
          <w:bCs/>
          <w:sz w:val="24"/>
        </w:rPr>
        <w:t>进行</w:t>
      </w:r>
      <w:r>
        <w:rPr>
          <w:rFonts w:ascii="宋体" w:hAnsi="宋体" w:hint="eastAsia"/>
          <w:bCs/>
          <w:sz w:val="24"/>
        </w:rPr>
        <w:t>估值</w:t>
      </w:r>
      <w:r>
        <w:rPr>
          <w:rFonts w:ascii="宋体" w:hAnsi="宋体"/>
          <w:bCs/>
          <w:sz w:val="24"/>
        </w:rPr>
        <w:t>，</w:t>
      </w:r>
      <w:r>
        <w:rPr>
          <w:rFonts w:ascii="宋体" w:hAnsi="宋体" w:hint="eastAsia"/>
          <w:bCs/>
          <w:sz w:val="24"/>
        </w:rPr>
        <w:t>估值</w:t>
      </w:r>
      <w:r>
        <w:rPr>
          <w:rFonts w:ascii="宋体" w:hAnsi="宋体"/>
          <w:bCs/>
          <w:sz w:val="24"/>
        </w:rPr>
        <w:t>当日</w:t>
      </w:r>
      <w:r>
        <w:rPr>
          <w:rFonts w:ascii="宋体" w:hAnsi="宋体" w:hint="eastAsia"/>
          <w:bCs/>
          <w:sz w:val="24"/>
        </w:rPr>
        <w:t>无结算价的，且最近交易日后经济环境未发生重大变化的，</w:t>
      </w:r>
      <w:r>
        <w:rPr>
          <w:rFonts w:ascii="宋体" w:hAnsi="宋体"/>
          <w:bCs/>
          <w:sz w:val="24"/>
        </w:rPr>
        <w:t>采用</w:t>
      </w:r>
      <w:r>
        <w:rPr>
          <w:rFonts w:ascii="宋体" w:hAnsi="宋体" w:hint="eastAsia"/>
          <w:bCs/>
          <w:sz w:val="24"/>
        </w:rPr>
        <w:t>最近交易日结算价估值。</w:t>
      </w:r>
    </w:p>
    <w:p w:rsidR="00562FFD" w:rsidRDefault="003317D3">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本基金投资国债期货合约，一般以估值当日结算价进行估值，估值当日无结算价的，且最近交易日后经济环境未发生重大变化的，采用最近交易日结算价估值。</w:t>
      </w:r>
    </w:p>
    <w:p w:rsidR="00562FFD" w:rsidRDefault="003317D3">
      <w:pPr>
        <w:spacing w:line="360" w:lineRule="auto"/>
        <w:ind w:firstLineChars="200" w:firstLine="480"/>
        <w:rPr>
          <w:rFonts w:ascii="宋体" w:hAnsi="宋体"/>
          <w:sz w:val="24"/>
          <w:szCs w:val="20"/>
        </w:rPr>
      </w:pPr>
      <w:r>
        <w:rPr>
          <w:rFonts w:ascii="宋体" w:hAnsi="宋体"/>
          <w:sz w:val="24"/>
          <w:szCs w:val="20"/>
        </w:rPr>
        <w:t>7</w:t>
      </w:r>
      <w:r>
        <w:rPr>
          <w:rFonts w:ascii="宋体" w:hAnsi="宋体" w:hint="eastAsia"/>
          <w:sz w:val="24"/>
          <w:szCs w:val="20"/>
        </w:rPr>
        <w:t>、本基金投资股票期权的，按照相关法律法规和监管部门的规定估值。</w:t>
      </w:r>
    </w:p>
    <w:p w:rsidR="00562FFD" w:rsidRDefault="003317D3">
      <w:pPr>
        <w:spacing w:line="360" w:lineRule="auto"/>
        <w:ind w:firstLineChars="200" w:firstLine="480"/>
        <w:rPr>
          <w:rFonts w:ascii="宋体" w:hAnsi="宋体"/>
          <w:bCs/>
          <w:sz w:val="24"/>
        </w:rPr>
      </w:pPr>
      <w:r>
        <w:rPr>
          <w:rFonts w:ascii="宋体" w:hAnsi="宋体" w:hint="eastAsia"/>
          <w:bCs/>
          <w:sz w:val="24"/>
        </w:rPr>
        <w:t>8、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rsidR="00562FFD" w:rsidRDefault="003317D3">
      <w:pPr>
        <w:spacing w:line="360" w:lineRule="auto"/>
        <w:ind w:firstLineChars="200" w:firstLine="480"/>
        <w:rPr>
          <w:rFonts w:ascii="宋体" w:hAnsi="宋体"/>
          <w:bCs/>
          <w:sz w:val="24"/>
        </w:rPr>
      </w:pPr>
      <w:r>
        <w:rPr>
          <w:rFonts w:ascii="宋体" w:hAnsi="宋体" w:hint="eastAsia"/>
          <w:bCs/>
          <w:sz w:val="24"/>
        </w:rPr>
        <w:t>9、估值计算中涉及中国人民银行或其授权机构公布人民币汇率中间价的货币，其对人民币汇率以估值日中国人民银行或其授权机构公布的人民币汇率中间价为准。</w:t>
      </w:r>
    </w:p>
    <w:p w:rsidR="00562FFD" w:rsidRDefault="003317D3">
      <w:pPr>
        <w:spacing w:line="360" w:lineRule="auto"/>
        <w:ind w:firstLineChars="200" w:firstLine="480"/>
        <w:rPr>
          <w:rFonts w:ascii="宋体" w:hAnsi="宋体"/>
          <w:bCs/>
          <w:sz w:val="24"/>
        </w:rPr>
      </w:pPr>
      <w:r>
        <w:rPr>
          <w:rFonts w:ascii="宋体" w:hAnsi="宋体" w:hint="eastAsia"/>
          <w:bCs/>
          <w:sz w:val="24"/>
        </w:rPr>
        <w:t>10、本基金投资存托凭证的估值核算，依照境内上市交易的股票执行。</w:t>
      </w:r>
    </w:p>
    <w:p w:rsidR="00562FFD" w:rsidRDefault="003317D3">
      <w:pPr>
        <w:spacing w:line="360" w:lineRule="auto"/>
        <w:ind w:firstLineChars="200" w:firstLine="480"/>
        <w:rPr>
          <w:rFonts w:ascii="宋体" w:hAnsi="宋体"/>
          <w:bCs/>
          <w:sz w:val="24"/>
        </w:rPr>
      </w:pPr>
      <w:r>
        <w:rPr>
          <w:rFonts w:ascii="宋体" w:hAnsi="宋体" w:hint="eastAsia"/>
          <w:bCs/>
          <w:sz w:val="24"/>
        </w:rPr>
        <w:t>11、如有确凿证据表明按上述方法进行估值不能客观反映其公允价值的，基金管理人可根据具体情况与基金托管人商定后，按最能反映公允价值的价格估值。</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2、当发生大额申购或赎回情形时，基金管理人可以采用摆动定价机制，以确保基金估值的公平性。</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3、相关法律法规以及监管部门有强制规定的，从其规定。如有新增事项，按国家最新规定估值。</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562FFD" w:rsidRDefault="003317D3">
      <w:pPr>
        <w:spacing w:line="360" w:lineRule="auto"/>
        <w:ind w:firstLineChars="200" w:firstLine="480"/>
        <w:rPr>
          <w:rFonts w:ascii="宋体" w:hAnsi="宋体"/>
          <w:bCs/>
          <w:sz w:val="24"/>
        </w:rPr>
      </w:pPr>
      <w:r>
        <w:rPr>
          <w:rFonts w:ascii="宋体" w:hAnsi="宋体"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rsidR="00562FFD" w:rsidRDefault="003317D3">
      <w:pPr>
        <w:spacing w:line="360" w:lineRule="auto"/>
        <w:ind w:firstLineChars="200" w:firstLine="480"/>
        <w:rPr>
          <w:rFonts w:ascii="宋体" w:hAnsi="宋体"/>
          <w:bCs/>
          <w:sz w:val="24"/>
        </w:rPr>
      </w:pPr>
      <w:r>
        <w:rPr>
          <w:rFonts w:ascii="宋体" w:hAnsi="宋体" w:hint="eastAsia"/>
          <w:bCs/>
          <w:sz w:val="24"/>
        </w:rPr>
        <w:t>五、估值程序</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、各类基金份额净值是按照每个工作日闭市后，各类基金资产净值分别除以当日该类基金份额的余额数量计算，均精确到</w:t>
      </w:r>
      <w:r>
        <w:rPr>
          <w:rFonts w:ascii="宋体" w:hAnsi="宋体"/>
          <w:bCs/>
          <w:sz w:val="24"/>
        </w:rPr>
        <w:t>0.0001</w:t>
      </w:r>
      <w:r>
        <w:rPr>
          <w:rFonts w:ascii="宋体" w:hAnsi="宋体" w:hint="eastAsia"/>
          <w:bCs/>
          <w:sz w:val="24"/>
        </w:rPr>
        <w:t>元，小数点后第</w:t>
      </w:r>
      <w:r>
        <w:rPr>
          <w:rFonts w:ascii="宋体" w:hAnsi="宋体"/>
          <w:bCs/>
          <w:sz w:val="24"/>
        </w:rPr>
        <w:t>5</w:t>
      </w:r>
      <w:r>
        <w:rPr>
          <w:rFonts w:ascii="宋体" w:hAnsi="宋体" w:hint="eastAsia"/>
          <w:bCs/>
          <w:sz w:val="24"/>
        </w:rPr>
        <w:t>位四舍五入，由此产生的误差计入基金财产。基金管理人可以设立大额赎回情形下的净值精度应急调整机制。国家另有规定的，从其规定。</w:t>
      </w:r>
    </w:p>
    <w:p w:rsidR="00562FFD" w:rsidRDefault="003317D3">
      <w:pPr>
        <w:spacing w:line="360" w:lineRule="auto"/>
        <w:ind w:firstLineChars="200" w:firstLine="480"/>
        <w:rPr>
          <w:rFonts w:ascii="宋体" w:hAnsi="宋体"/>
          <w:bCs/>
          <w:sz w:val="24"/>
        </w:rPr>
      </w:pPr>
      <w:r>
        <w:rPr>
          <w:rFonts w:ascii="宋体" w:hAnsi="宋体" w:hint="eastAsia"/>
          <w:bCs/>
          <w:sz w:val="24"/>
        </w:rPr>
        <w:t>每个工作日计算基金资产净值及各类基金份额净值，并按规定公告。如遇特殊情况，经履行适当程序，可以适当延迟计算或公告。</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、基金管理人</w:t>
      </w:r>
      <w:proofErr w:type="gramStart"/>
      <w:r>
        <w:rPr>
          <w:rFonts w:ascii="宋体" w:hAnsi="宋体" w:hint="eastAsia"/>
          <w:bCs/>
          <w:sz w:val="24"/>
        </w:rPr>
        <w:t>应每个</w:t>
      </w:r>
      <w:proofErr w:type="gramEnd"/>
      <w:r>
        <w:rPr>
          <w:rFonts w:ascii="宋体" w:hAnsi="宋体" w:hint="eastAsia"/>
          <w:bCs/>
          <w:sz w:val="24"/>
        </w:rPr>
        <w:t>工作日对基金资产估值。但基金管理人根据法律法规或基金合同的规定暂停估值时除外。基金管理人每个工作日对基金资产估值后，将拟公告的各类基金份额净值结果发送基金托管人，经基金托管人复核无误后，由基金管理人按</w:t>
      </w:r>
      <w:r>
        <w:rPr>
          <w:rFonts w:ascii="宋体" w:hAnsi="宋体"/>
          <w:bCs/>
          <w:sz w:val="24"/>
        </w:rPr>
        <w:t>规定</w:t>
      </w:r>
      <w:r>
        <w:rPr>
          <w:rFonts w:ascii="宋体" w:hAnsi="宋体" w:hint="eastAsia"/>
          <w:bCs/>
          <w:sz w:val="24"/>
        </w:rPr>
        <w:t>对外公布。</w:t>
      </w:r>
    </w:p>
    <w:p w:rsidR="00562FFD" w:rsidRDefault="003317D3">
      <w:pPr>
        <w:spacing w:line="360" w:lineRule="auto"/>
        <w:ind w:firstLineChars="200" w:firstLine="480"/>
        <w:rPr>
          <w:rFonts w:ascii="宋体" w:hAnsi="宋体"/>
          <w:bCs/>
          <w:sz w:val="24"/>
        </w:rPr>
      </w:pPr>
      <w:r>
        <w:rPr>
          <w:rFonts w:ascii="宋体" w:hAnsi="宋体" w:hint="eastAsia"/>
          <w:bCs/>
          <w:sz w:val="24"/>
        </w:rPr>
        <w:t>六、估值错误的处理</w:t>
      </w:r>
    </w:p>
    <w:p w:rsidR="00562FFD" w:rsidRDefault="003317D3">
      <w:pPr>
        <w:spacing w:line="360" w:lineRule="auto"/>
        <w:ind w:firstLineChars="200" w:firstLine="480"/>
        <w:rPr>
          <w:rFonts w:ascii="宋体" w:hAnsi="宋体"/>
          <w:bCs/>
          <w:sz w:val="24"/>
        </w:rPr>
      </w:pPr>
      <w:r>
        <w:rPr>
          <w:rFonts w:ascii="宋体" w:hAnsi="宋体" w:hint="eastAsia"/>
          <w:bCs/>
          <w:sz w:val="24"/>
        </w:rPr>
        <w:t>基金管理人和基金托管人将采取必要、适当、合理的措施确保基金资产估值的准确性、及时性。当任一类基金份额净值小数点后</w:t>
      </w:r>
      <w:r>
        <w:rPr>
          <w:rFonts w:ascii="宋体" w:hAnsi="宋体"/>
          <w:bCs/>
          <w:sz w:val="24"/>
        </w:rPr>
        <w:t>4</w:t>
      </w:r>
      <w:r>
        <w:rPr>
          <w:rFonts w:ascii="宋体" w:hAnsi="宋体" w:hint="eastAsia"/>
          <w:bCs/>
          <w:sz w:val="24"/>
        </w:rPr>
        <w:t>位以内</w:t>
      </w:r>
      <w:r>
        <w:rPr>
          <w:rFonts w:ascii="宋体" w:hAnsi="宋体"/>
          <w:bCs/>
          <w:sz w:val="24"/>
        </w:rPr>
        <w:t>(</w:t>
      </w:r>
      <w:r>
        <w:rPr>
          <w:rFonts w:ascii="宋体" w:hAnsi="宋体" w:hint="eastAsia"/>
          <w:bCs/>
          <w:sz w:val="24"/>
        </w:rPr>
        <w:t>含第</w:t>
      </w:r>
      <w:r>
        <w:rPr>
          <w:rFonts w:ascii="宋体" w:hAnsi="宋体"/>
          <w:bCs/>
          <w:sz w:val="24"/>
        </w:rPr>
        <w:t>4</w:t>
      </w:r>
      <w:r>
        <w:rPr>
          <w:rFonts w:ascii="宋体" w:hAnsi="宋体" w:hint="eastAsia"/>
          <w:bCs/>
          <w:sz w:val="24"/>
        </w:rPr>
        <w:t>位</w:t>
      </w:r>
      <w:r>
        <w:rPr>
          <w:rFonts w:ascii="宋体" w:hAnsi="宋体"/>
          <w:bCs/>
          <w:sz w:val="24"/>
        </w:rPr>
        <w:t>)</w:t>
      </w:r>
      <w:r>
        <w:rPr>
          <w:rFonts w:ascii="宋体" w:hAnsi="宋体" w:hint="eastAsia"/>
          <w:bCs/>
          <w:sz w:val="24"/>
        </w:rPr>
        <w:t>发生估值错误时，视为该类基金份额净值错误。</w:t>
      </w:r>
    </w:p>
    <w:p w:rsidR="00562FFD" w:rsidRDefault="003317D3">
      <w:pPr>
        <w:spacing w:line="360" w:lineRule="auto"/>
        <w:ind w:firstLineChars="200" w:firstLine="480"/>
        <w:rPr>
          <w:rFonts w:ascii="宋体" w:hAnsi="宋体"/>
          <w:bCs/>
          <w:sz w:val="24"/>
        </w:rPr>
      </w:pPr>
      <w:r>
        <w:rPr>
          <w:rFonts w:ascii="宋体" w:hAnsi="宋体" w:hint="eastAsia"/>
          <w:bCs/>
          <w:sz w:val="24"/>
        </w:rPr>
        <w:t>基金合同的当事人应按照以下约定处理：</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、估值错误类型</w:t>
      </w:r>
    </w:p>
    <w:p w:rsidR="00562FFD" w:rsidRDefault="003317D3">
      <w:pPr>
        <w:spacing w:line="360" w:lineRule="auto"/>
        <w:ind w:firstLineChars="200" w:firstLine="480"/>
        <w:rPr>
          <w:rFonts w:ascii="宋体" w:hAnsi="宋体"/>
          <w:bCs/>
          <w:sz w:val="24"/>
        </w:rPr>
      </w:pPr>
      <w:r>
        <w:rPr>
          <w:rFonts w:ascii="宋体" w:hAnsi="宋体"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bCs/>
          <w:sz w:val="24"/>
        </w:rPr>
        <w:t>(</w:t>
      </w:r>
      <w:r>
        <w:rPr>
          <w:rFonts w:ascii="宋体" w:hAnsi="宋体" w:hint="eastAsia"/>
          <w:bCs/>
          <w:sz w:val="24"/>
        </w:rPr>
        <w:t>“受损方”</w:t>
      </w:r>
      <w:r>
        <w:rPr>
          <w:rFonts w:ascii="宋体" w:hAnsi="宋体"/>
          <w:bCs/>
          <w:sz w:val="24"/>
        </w:rPr>
        <w:t>)</w:t>
      </w:r>
      <w:r>
        <w:rPr>
          <w:rFonts w:ascii="宋体" w:hAnsi="宋体" w:hint="eastAsia"/>
          <w:bCs/>
          <w:sz w:val="24"/>
        </w:rPr>
        <w:t>的直接经济损失按</w:t>
      </w:r>
      <w:r>
        <w:rPr>
          <w:rFonts w:ascii="宋体" w:hAnsi="宋体" w:hint="eastAsia"/>
          <w:bCs/>
          <w:sz w:val="24"/>
        </w:rPr>
        <w:lastRenderedPageBreak/>
        <w:t>下述“估值错误处理原则”给予赔偿，承担赔偿责任。</w:t>
      </w:r>
    </w:p>
    <w:p w:rsidR="00562FFD" w:rsidRDefault="003317D3">
      <w:pPr>
        <w:spacing w:line="360" w:lineRule="auto"/>
        <w:ind w:firstLineChars="200" w:firstLine="480"/>
        <w:rPr>
          <w:rFonts w:ascii="宋体" w:hAnsi="宋体"/>
          <w:bCs/>
          <w:sz w:val="24"/>
        </w:rPr>
      </w:pPr>
      <w:r>
        <w:rPr>
          <w:rFonts w:ascii="宋体" w:hAnsi="宋体" w:hint="eastAsia"/>
          <w:bCs/>
          <w:sz w:val="24"/>
        </w:rPr>
        <w:t>上述估值错误的主要类型包括但不限于：资料申报差错、数据传输差错、数据计算差错、系统故障差错、下达指令差错等。</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、估值错误处理原则</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）估值错误的责任方对有关当事人的直接损失负责，不对间接损失负责，并且仅对估值错误的有关直接当事人负责，不对第三方负责。</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）因估值错误而获得不当得利的当事人负有及时返还不当得利的义务。但估值错误责任方仍应对估值错误负责。如果由于获得不当得利的当事人</w:t>
      </w:r>
      <w:proofErr w:type="gramStart"/>
      <w:r>
        <w:rPr>
          <w:rFonts w:ascii="宋体" w:hAnsi="宋体" w:hint="eastAsia"/>
          <w:bCs/>
          <w:sz w:val="24"/>
        </w:rPr>
        <w:t>不</w:t>
      </w:r>
      <w:proofErr w:type="gramEnd"/>
      <w:r>
        <w:rPr>
          <w:rFonts w:ascii="宋体" w:hAnsi="宋体" w:hint="eastAsia"/>
          <w:bCs/>
          <w:sz w:val="24"/>
        </w:rPr>
        <w:t>返还或不全部返还不当得利造成其他当事人的利益损失</w:t>
      </w:r>
      <w:r>
        <w:rPr>
          <w:rFonts w:ascii="宋体" w:hAnsi="宋体"/>
          <w:bCs/>
          <w:sz w:val="24"/>
        </w:rPr>
        <w:t>(</w:t>
      </w:r>
      <w:r>
        <w:rPr>
          <w:rFonts w:ascii="宋体" w:hAnsi="宋体" w:hint="eastAsia"/>
          <w:bCs/>
          <w:sz w:val="24"/>
        </w:rPr>
        <w:t>“受损方”</w:t>
      </w:r>
      <w:r>
        <w:rPr>
          <w:rFonts w:ascii="宋体" w:hAnsi="宋体"/>
          <w:bCs/>
          <w:sz w:val="24"/>
        </w:rPr>
        <w:t>)，</w:t>
      </w:r>
      <w:r>
        <w:rPr>
          <w:rFonts w:ascii="宋体" w:hAnsi="宋体"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）估值错误调整采用尽量恢复至假设未发生估值错误的正确情形的方式。</w:t>
      </w:r>
    </w:p>
    <w:p w:rsidR="00562FFD" w:rsidRDefault="003317D3">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、估值错误处理程序</w:t>
      </w:r>
    </w:p>
    <w:p w:rsidR="00562FFD" w:rsidRDefault="003317D3">
      <w:pPr>
        <w:spacing w:line="360" w:lineRule="auto"/>
        <w:ind w:firstLineChars="200" w:firstLine="480"/>
        <w:rPr>
          <w:rFonts w:ascii="宋体" w:hAnsi="宋体"/>
          <w:bCs/>
          <w:sz w:val="24"/>
        </w:rPr>
      </w:pPr>
      <w:r>
        <w:rPr>
          <w:rFonts w:ascii="宋体" w:hAnsi="宋体" w:hint="eastAsia"/>
          <w:bCs/>
          <w:sz w:val="24"/>
        </w:rPr>
        <w:t>估值错误被发现后，有关的当事人应当及时进行处理，处理的程序如下：</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）查明估值错误发生的原因，列明所有的当事人，并根据估值错误发生的原因确定估值错误的责任方；</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）根据估值错误处理原则或当事人协商的方法对因估值错误造成的损失进行评估；</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）根据估值错误处理原则或当事人协商的方法由估值错误的责任方进行更正和赔偿损失；</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4</w:t>
      </w:r>
      <w:r>
        <w:rPr>
          <w:rFonts w:ascii="宋体" w:hAnsi="宋体" w:hint="eastAsia"/>
          <w:bCs/>
          <w:sz w:val="24"/>
        </w:rPr>
        <w:t>）根据估值错误处理的方法，需要修改基金登记机构交易数据的，由基金登记机构进行更正，并就估值错误的更正向有关当事人进行确认。</w:t>
      </w:r>
    </w:p>
    <w:p w:rsidR="00562FFD" w:rsidRDefault="003317D3">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、基金份额净值估值错误处理的方法如下：</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）基金份额净值计算出现错误时，基金管理人应当立即予以纠正，通报基金托管人，并采取合理的措施防止损失进一步扩大。</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）错误偏差达到该类基金份额净值的</w:t>
      </w:r>
      <w:r>
        <w:rPr>
          <w:rFonts w:ascii="宋体" w:hAnsi="宋体"/>
          <w:bCs/>
          <w:sz w:val="24"/>
        </w:rPr>
        <w:t>0.25%</w:t>
      </w:r>
      <w:r>
        <w:rPr>
          <w:rFonts w:ascii="宋体" w:hAnsi="宋体" w:hint="eastAsia"/>
          <w:bCs/>
          <w:sz w:val="24"/>
        </w:rPr>
        <w:t>时，基金管理人应当通报基金托管人并报中国证监会备案；错误偏差达到该类基金份额净值的</w:t>
      </w:r>
      <w:r>
        <w:rPr>
          <w:rFonts w:ascii="宋体" w:hAnsi="宋体"/>
          <w:bCs/>
          <w:sz w:val="24"/>
        </w:rPr>
        <w:t>0.5%</w:t>
      </w:r>
      <w:r>
        <w:rPr>
          <w:rFonts w:ascii="宋体" w:hAnsi="宋体" w:hint="eastAsia"/>
          <w:bCs/>
          <w:sz w:val="24"/>
        </w:rPr>
        <w:t>时，基金管理人应当公告，并报中国证监会备案。</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）前述内容如法律法规或监管机关另有规定的，从其规定处理。</w:t>
      </w:r>
    </w:p>
    <w:p w:rsidR="00562FFD" w:rsidRDefault="003317D3">
      <w:pPr>
        <w:spacing w:line="360" w:lineRule="auto"/>
        <w:ind w:firstLineChars="200" w:firstLine="480"/>
        <w:rPr>
          <w:rFonts w:ascii="宋体" w:hAnsi="宋体"/>
          <w:bCs/>
          <w:sz w:val="24"/>
        </w:rPr>
      </w:pPr>
      <w:r>
        <w:rPr>
          <w:rFonts w:ascii="宋体" w:hAnsi="宋体" w:hint="eastAsia"/>
          <w:bCs/>
          <w:sz w:val="24"/>
        </w:rPr>
        <w:t>七、暂停估值的情形</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、基金投资所涉及的证券、期货交易市场或外汇市场遇法定节假日或因其他原因暂停营业时；</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、因不可抗力或其他情形致使基金管理人、基金托管人无法准确评估基金资产价值时；</w:t>
      </w:r>
    </w:p>
    <w:p w:rsidR="00562FFD" w:rsidRDefault="003317D3">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、当特定资产占前一估值日基金资产净值</w:t>
      </w:r>
      <w:r>
        <w:rPr>
          <w:rFonts w:ascii="宋体" w:hAnsi="宋体"/>
          <w:bCs/>
          <w:sz w:val="24"/>
        </w:rPr>
        <w:t>50%</w:t>
      </w:r>
      <w:r>
        <w:rPr>
          <w:rFonts w:ascii="宋体" w:hAnsi="宋体" w:hint="eastAsia"/>
          <w:bCs/>
          <w:sz w:val="24"/>
        </w:rPr>
        <w:t>以上的，经与基金托管人协商确认后，基金管理人应当暂停估值；</w:t>
      </w:r>
    </w:p>
    <w:p w:rsidR="00562FFD" w:rsidRDefault="003317D3">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、法律</w:t>
      </w:r>
      <w:r>
        <w:rPr>
          <w:rFonts w:ascii="宋体" w:hAnsi="宋体"/>
          <w:bCs/>
          <w:sz w:val="24"/>
        </w:rPr>
        <w:t>法规、</w:t>
      </w:r>
      <w:r>
        <w:rPr>
          <w:rFonts w:ascii="宋体" w:hAnsi="宋体" w:hint="eastAsia"/>
          <w:bCs/>
          <w:sz w:val="24"/>
        </w:rPr>
        <w:t>中国证监会和基金合同认定的其它情形。</w:t>
      </w:r>
    </w:p>
    <w:p w:rsidR="00562FFD" w:rsidRDefault="003317D3">
      <w:pPr>
        <w:spacing w:line="360" w:lineRule="auto"/>
        <w:ind w:firstLineChars="200" w:firstLine="480"/>
        <w:rPr>
          <w:rFonts w:ascii="宋体" w:hAnsi="宋体"/>
          <w:bCs/>
          <w:sz w:val="24"/>
        </w:rPr>
      </w:pPr>
      <w:r>
        <w:rPr>
          <w:rFonts w:ascii="宋体" w:hAnsi="宋体" w:hint="eastAsia"/>
          <w:bCs/>
          <w:sz w:val="24"/>
        </w:rPr>
        <w:t>八、基金净值的确认</w:t>
      </w:r>
    </w:p>
    <w:p w:rsidR="00562FFD" w:rsidRDefault="003317D3">
      <w:pPr>
        <w:spacing w:line="360" w:lineRule="auto"/>
        <w:ind w:firstLineChars="200" w:firstLine="480"/>
        <w:rPr>
          <w:rFonts w:ascii="宋体" w:hAnsi="宋体"/>
          <w:bCs/>
          <w:sz w:val="24"/>
        </w:rPr>
      </w:pPr>
      <w:r>
        <w:rPr>
          <w:rFonts w:ascii="宋体" w:hAnsi="宋体" w:hint="eastAsia"/>
          <w:bCs/>
          <w:sz w:val="24"/>
        </w:rPr>
        <w:t>用于基金信息披露的基金净值信息由基金管理人负责计算，基金托管人负责进行复核。基金管理人应于每个工作日交易结束后计算当日的基金净值信息并发送给基金托管人。基金托管人对净值计算结果复核确认后发送给基金管理人，由基金管理人按规定对基金净值信息予以公布。</w:t>
      </w:r>
    </w:p>
    <w:p w:rsidR="00562FFD" w:rsidRDefault="003317D3">
      <w:pPr>
        <w:spacing w:line="360" w:lineRule="auto"/>
        <w:ind w:firstLineChars="200" w:firstLine="480"/>
        <w:rPr>
          <w:rFonts w:ascii="宋体" w:hAnsi="宋体"/>
          <w:bCs/>
          <w:sz w:val="24"/>
        </w:rPr>
      </w:pPr>
      <w:r>
        <w:rPr>
          <w:rFonts w:ascii="宋体" w:hAnsi="宋体" w:hint="eastAsia"/>
          <w:bCs/>
          <w:sz w:val="24"/>
        </w:rPr>
        <w:t>九、特殊情形的处理</w:t>
      </w:r>
    </w:p>
    <w:p w:rsidR="00562FFD" w:rsidRDefault="003317D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、基金管理人或基金托管人按估值方法第</w:t>
      </w:r>
      <w:r>
        <w:rPr>
          <w:rFonts w:ascii="宋体" w:hAnsi="宋体"/>
          <w:bCs/>
          <w:sz w:val="24"/>
        </w:rPr>
        <w:t>11</w:t>
      </w:r>
      <w:r>
        <w:rPr>
          <w:rFonts w:ascii="宋体" w:hAnsi="宋体" w:hint="eastAsia"/>
          <w:bCs/>
          <w:sz w:val="24"/>
        </w:rPr>
        <w:t>项条款进行估值时，所造成的误差不作为基金资产估值错误处理。</w:t>
      </w:r>
    </w:p>
    <w:p w:rsidR="00562FFD" w:rsidRDefault="003317D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、由于证券、期货交易所及其登记机构及存款银行等第三方机构发送的数据错误，或由于国家会计政策变更、市场规则变更等</w:t>
      </w:r>
      <w:proofErr w:type="gramStart"/>
      <w:r>
        <w:rPr>
          <w:rFonts w:ascii="宋体" w:hAnsi="宋体" w:hint="eastAsia"/>
          <w:bCs/>
          <w:sz w:val="24"/>
        </w:rPr>
        <w:t>非基金</w:t>
      </w:r>
      <w:proofErr w:type="gramEnd"/>
      <w:r>
        <w:rPr>
          <w:rFonts w:ascii="宋体" w:hAnsi="宋体" w:hint="eastAsia"/>
          <w:bCs/>
          <w:sz w:val="24"/>
        </w:rPr>
        <w:t>管理人与基金托管人原因，或由于其他不可抗力原因，基金管理人和基金托管人虽然已经采取必要、适当、合理的措施进行检查，但是未能发现该错误的，由此造成的基金资产估值</w:t>
      </w:r>
      <w:r>
        <w:rPr>
          <w:rFonts w:ascii="宋体" w:hAnsi="宋体" w:hint="eastAsia"/>
          <w:bCs/>
          <w:sz w:val="24"/>
        </w:rPr>
        <w:lastRenderedPageBreak/>
        <w:t>错误，基金管理人和基金托管人免除赔偿责任。但基金管理人和基金托管人应当积极采取必要的措施消除或减轻由此造成的影响。</w:t>
      </w:r>
    </w:p>
    <w:p w:rsidR="00562FFD" w:rsidRDefault="003317D3">
      <w:pPr>
        <w:spacing w:line="360" w:lineRule="auto"/>
        <w:ind w:firstLineChars="200" w:firstLine="480"/>
        <w:rPr>
          <w:rFonts w:ascii="宋体" w:hAnsi="宋体"/>
          <w:bCs/>
          <w:sz w:val="24"/>
        </w:rPr>
      </w:pPr>
      <w:r>
        <w:rPr>
          <w:rFonts w:ascii="宋体" w:hAnsi="宋体" w:hint="eastAsia"/>
          <w:bCs/>
          <w:sz w:val="24"/>
        </w:rPr>
        <w:t>十、实施</w:t>
      </w:r>
      <w:proofErr w:type="gramStart"/>
      <w:r>
        <w:rPr>
          <w:rFonts w:ascii="宋体" w:hAnsi="宋体" w:hint="eastAsia"/>
          <w:bCs/>
          <w:sz w:val="24"/>
        </w:rPr>
        <w:t>侧袋机制</w:t>
      </w:r>
      <w:proofErr w:type="gramEnd"/>
      <w:r>
        <w:rPr>
          <w:rFonts w:ascii="宋体" w:hAnsi="宋体" w:hint="eastAsia"/>
          <w:bCs/>
          <w:sz w:val="24"/>
        </w:rPr>
        <w:t>期间的基金资产估值</w:t>
      </w:r>
    </w:p>
    <w:p w:rsidR="00562FFD" w:rsidRDefault="003317D3">
      <w:pPr>
        <w:spacing w:line="360" w:lineRule="auto"/>
        <w:ind w:firstLineChars="200" w:firstLine="480"/>
        <w:rPr>
          <w:rFonts w:hAnsi="宋体"/>
          <w:b/>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的，应根据本部分的约定</w:t>
      </w:r>
      <w:proofErr w:type="gramStart"/>
      <w:r>
        <w:rPr>
          <w:rFonts w:ascii="宋体" w:hAnsi="宋体" w:hint="eastAsia"/>
          <w:bCs/>
          <w:sz w:val="24"/>
        </w:rPr>
        <w:t>对主袋账户</w:t>
      </w:r>
      <w:proofErr w:type="gramEnd"/>
      <w:r>
        <w:rPr>
          <w:rFonts w:ascii="宋体" w:hAnsi="宋体" w:hint="eastAsia"/>
          <w:bCs/>
          <w:sz w:val="24"/>
        </w:rPr>
        <w:t>资产进行估值并</w:t>
      </w:r>
      <w:proofErr w:type="gramStart"/>
      <w:r>
        <w:rPr>
          <w:rFonts w:ascii="宋体" w:hAnsi="宋体" w:hint="eastAsia"/>
          <w:bCs/>
          <w:sz w:val="24"/>
        </w:rPr>
        <w:t>披露主袋账户</w:t>
      </w:r>
      <w:proofErr w:type="gramEnd"/>
      <w:r>
        <w:rPr>
          <w:rFonts w:ascii="宋体" w:hAnsi="宋体" w:hint="eastAsia"/>
          <w:bCs/>
          <w:sz w:val="24"/>
        </w:rPr>
        <w:t>各类基金份额的基金净值信息，暂停</w:t>
      </w:r>
      <w:proofErr w:type="gramStart"/>
      <w:r>
        <w:rPr>
          <w:rFonts w:ascii="宋体" w:hAnsi="宋体" w:hint="eastAsia"/>
          <w:bCs/>
          <w:sz w:val="24"/>
        </w:rPr>
        <w:t>披露侧袋账户</w:t>
      </w:r>
      <w:proofErr w:type="gramEnd"/>
      <w:r>
        <w:rPr>
          <w:rFonts w:ascii="宋体" w:hAnsi="宋体" w:hint="eastAsia"/>
          <w:bCs/>
          <w:sz w:val="24"/>
        </w:rPr>
        <w:t>基金净值信息。</w:t>
      </w:r>
    </w:p>
    <w:p w:rsidR="00562FFD" w:rsidRDefault="003317D3">
      <w:pPr>
        <w:pStyle w:val="af0"/>
        <w:ind w:firstLine="480"/>
        <w:rPr>
          <w:rFonts w:hAnsi="宋体"/>
          <w:bCs/>
          <w:szCs w:val="28"/>
        </w:rPr>
      </w:pPr>
      <w:r>
        <w:rPr>
          <w:rFonts w:hAnsi="宋体"/>
          <w:b w:val="0"/>
          <w:bCs/>
          <w:sz w:val="24"/>
        </w:rPr>
        <w:br w:type="page"/>
      </w:r>
      <w:bookmarkStart w:id="59" w:name="_Toc56692695"/>
      <w:bookmarkStart w:id="60" w:name="_Toc34222304"/>
      <w:r>
        <w:rPr>
          <w:rFonts w:hint="eastAsia"/>
          <w:szCs w:val="28"/>
        </w:rPr>
        <w:lastRenderedPageBreak/>
        <w:t>第十二部分 基金的收益与分配</w:t>
      </w:r>
      <w:bookmarkEnd w:id="58"/>
      <w:bookmarkEnd w:id="59"/>
      <w:bookmarkEnd w:id="60"/>
    </w:p>
    <w:p w:rsidR="00562FFD" w:rsidRDefault="003317D3">
      <w:pPr>
        <w:spacing w:line="360" w:lineRule="auto"/>
        <w:ind w:firstLineChars="200" w:firstLine="480"/>
        <w:rPr>
          <w:sz w:val="24"/>
          <w:szCs w:val="20"/>
        </w:rPr>
      </w:pPr>
      <w:bookmarkStart w:id="61" w:name="_Toc164766394"/>
      <w:r>
        <w:rPr>
          <w:rFonts w:hint="eastAsia"/>
          <w:sz w:val="24"/>
          <w:szCs w:val="20"/>
        </w:rPr>
        <w:t>一、基金利润的构成</w:t>
      </w:r>
    </w:p>
    <w:p w:rsidR="00562FFD" w:rsidRDefault="003317D3">
      <w:pPr>
        <w:spacing w:line="360" w:lineRule="auto"/>
        <w:ind w:firstLineChars="200" w:firstLine="480"/>
        <w:rPr>
          <w:sz w:val="24"/>
          <w:szCs w:val="20"/>
        </w:rPr>
      </w:pPr>
      <w:r>
        <w:rPr>
          <w:rFonts w:hint="eastAsia"/>
          <w:sz w:val="24"/>
          <w:szCs w:val="20"/>
        </w:rPr>
        <w:t>基金利润指基金利息收入、投资收益、公允价值变动收益和其他收入扣除相关费用后的余额，基金已实现收益指基金利润减去公允价值变动收益后的余额。</w:t>
      </w:r>
    </w:p>
    <w:p w:rsidR="00562FFD" w:rsidRDefault="003317D3">
      <w:pPr>
        <w:spacing w:line="360" w:lineRule="auto"/>
        <w:ind w:firstLineChars="200" w:firstLine="480"/>
        <w:rPr>
          <w:sz w:val="24"/>
          <w:szCs w:val="20"/>
        </w:rPr>
      </w:pPr>
      <w:r>
        <w:rPr>
          <w:rFonts w:hint="eastAsia"/>
          <w:sz w:val="24"/>
          <w:szCs w:val="20"/>
        </w:rPr>
        <w:t>二、基金可供分配利润</w:t>
      </w:r>
    </w:p>
    <w:p w:rsidR="00562FFD" w:rsidRDefault="003317D3">
      <w:pPr>
        <w:spacing w:line="360" w:lineRule="auto"/>
        <w:ind w:firstLineChars="200" w:firstLine="480"/>
        <w:rPr>
          <w:sz w:val="24"/>
          <w:szCs w:val="20"/>
        </w:rPr>
      </w:pPr>
      <w:r>
        <w:rPr>
          <w:rFonts w:hint="eastAsia"/>
          <w:sz w:val="24"/>
          <w:szCs w:val="20"/>
        </w:rPr>
        <w:t>基金可供分配利润指截至收益分配基准日基金未分配利润与未分配利润中已实现收益的孰低数。</w:t>
      </w:r>
    </w:p>
    <w:p w:rsidR="00562FFD" w:rsidRDefault="003317D3">
      <w:pPr>
        <w:spacing w:line="360" w:lineRule="auto"/>
        <w:ind w:firstLineChars="200" w:firstLine="480"/>
        <w:rPr>
          <w:sz w:val="24"/>
          <w:szCs w:val="20"/>
        </w:rPr>
      </w:pPr>
      <w:r>
        <w:rPr>
          <w:rFonts w:hint="eastAsia"/>
          <w:sz w:val="24"/>
          <w:szCs w:val="20"/>
        </w:rPr>
        <w:t>三、基金收益分配原则</w:t>
      </w:r>
    </w:p>
    <w:p w:rsidR="00562FFD" w:rsidRDefault="003317D3">
      <w:pPr>
        <w:spacing w:line="360" w:lineRule="auto"/>
        <w:ind w:firstLineChars="200" w:firstLine="480"/>
        <w:rPr>
          <w:sz w:val="24"/>
          <w:szCs w:val="20"/>
        </w:rPr>
      </w:pPr>
      <w:r>
        <w:rPr>
          <w:sz w:val="24"/>
          <w:szCs w:val="20"/>
        </w:rPr>
        <w:t>1</w:t>
      </w:r>
      <w:r>
        <w:rPr>
          <w:rFonts w:hint="eastAsia"/>
          <w:sz w:val="24"/>
          <w:szCs w:val="20"/>
        </w:rPr>
        <w:t>、在符合有关基金分红条件的前提下，本基金</w:t>
      </w:r>
      <w:r>
        <w:rPr>
          <w:rFonts w:ascii="宋体" w:hAnsi="宋体" w:hint="eastAsia"/>
          <w:sz w:val="24"/>
          <w:szCs w:val="20"/>
        </w:rPr>
        <w:t>管理人</w:t>
      </w:r>
      <w:r>
        <w:rPr>
          <w:rFonts w:hint="eastAsia"/>
          <w:sz w:val="24"/>
          <w:szCs w:val="20"/>
        </w:rPr>
        <w:t>可以</w:t>
      </w:r>
      <w:r>
        <w:rPr>
          <w:rFonts w:ascii="宋体" w:hAnsi="宋体" w:hint="eastAsia"/>
          <w:sz w:val="24"/>
          <w:szCs w:val="20"/>
        </w:rPr>
        <w:t>根据实际情况</w:t>
      </w:r>
      <w:r>
        <w:rPr>
          <w:rFonts w:hint="eastAsia"/>
          <w:sz w:val="24"/>
          <w:szCs w:val="20"/>
        </w:rPr>
        <w:t>进行收益分配</w:t>
      </w:r>
      <w:r>
        <w:rPr>
          <w:rFonts w:ascii="宋体" w:hAnsi="宋体" w:hint="eastAsia"/>
          <w:sz w:val="24"/>
          <w:szCs w:val="20"/>
        </w:rPr>
        <w:t>，具体分配方案以公告为准</w:t>
      </w:r>
      <w:r>
        <w:rPr>
          <w:rFonts w:hint="eastAsia"/>
          <w:sz w:val="24"/>
          <w:szCs w:val="20"/>
        </w:rPr>
        <w:t>，若《基金合同》生效不满</w:t>
      </w:r>
      <w:r>
        <w:rPr>
          <w:sz w:val="24"/>
          <w:szCs w:val="20"/>
        </w:rPr>
        <w:t>3</w:t>
      </w:r>
      <w:r>
        <w:rPr>
          <w:rFonts w:hint="eastAsia"/>
          <w:sz w:val="24"/>
          <w:szCs w:val="20"/>
        </w:rPr>
        <w:t>个月可不进行收益分配；</w:t>
      </w:r>
    </w:p>
    <w:p w:rsidR="00562FFD" w:rsidRDefault="003317D3">
      <w:pPr>
        <w:spacing w:line="360" w:lineRule="auto"/>
        <w:ind w:firstLineChars="200" w:firstLine="480"/>
        <w:rPr>
          <w:sz w:val="24"/>
          <w:szCs w:val="20"/>
        </w:rPr>
      </w:pPr>
      <w:r>
        <w:rPr>
          <w:sz w:val="24"/>
          <w:szCs w:val="20"/>
        </w:rPr>
        <w:t>2</w:t>
      </w:r>
      <w:r>
        <w:rPr>
          <w:rFonts w:hint="eastAsia"/>
          <w:sz w:val="24"/>
          <w:szCs w:val="20"/>
        </w:rPr>
        <w:t>、本基金收益分配方式分两种：现金分红与红利再投资，投资者可选择现金红利或将现金红利自动转为相应类别的基金份额进行再投资；若投资者不选择，本基金默认的收益分配方式是现金分红；</w:t>
      </w:r>
    </w:p>
    <w:p w:rsidR="00562FFD" w:rsidRDefault="003317D3">
      <w:pPr>
        <w:spacing w:line="360" w:lineRule="auto"/>
        <w:ind w:firstLineChars="200" w:firstLine="480"/>
        <w:rPr>
          <w:sz w:val="24"/>
          <w:szCs w:val="20"/>
        </w:rPr>
      </w:pPr>
      <w:r>
        <w:rPr>
          <w:sz w:val="24"/>
          <w:szCs w:val="20"/>
        </w:rPr>
        <w:t>3</w:t>
      </w:r>
      <w:r>
        <w:rPr>
          <w:rFonts w:hint="eastAsia"/>
          <w:sz w:val="24"/>
          <w:szCs w:val="20"/>
        </w:rPr>
        <w:t>、基金收益分配后各类基金份额净值不能低于面值</w:t>
      </w:r>
      <w:r>
        <w:rPr>
          <w:rFonts w:ascii="宋体" w:hAnsi="宋体" w:hint="eastAsia"/>
          <w:bCs/>
          <w:sz w:val="24"/>
          <w:szCs w:val="20"/>
        </w:rPr>
        <w:t>，</w:t>
      </w:r>
      <w:r>
        <w:rPr>
          <w:rFonts w:hint="eastAsia"/>
          <w:sz w:val="24"/>
          <w:szCs w:val="20"/>
        </w:rPr>
        <w:t>即基金收益分配基准日的各类基金份额净值减去每单位该类基金份额收益分配金额后不能低于面值；</w:t>
      </w:r>
    </w:p>
    <w:p w:rsidR="00562FFD" w:rsidRDefault="003317D3">
      <w:pPr>
        <w:spacing w:line="360" w:lineRule="auto"/>
        <w:ind w:firstLineChars="200" w:firstLine="480"/>
        <w:rPr>
          <w:sz w:val="24"/>
          <w:szCs w:val="20"/>
        </w:rPr>
      </w:pPr>
      <w:r>
        <w:rPr>
          <w:sz w:val="24"/>
          <w:szCs w:val="20"/>
        </w:rPr>
        <w:t>4</w:t>
      </w:r>
      <w:r>
        <w:rPr>
          <w:rFonts w:hint="eastAsia"/>
          <w:sz w:val="24"/>
          <w:szCs w:val="20"/>
        </w:rPr>
        <w:t>、</w:t>
      </w:r>
      <w:r>
        <w:rPr>
          <w:rFonts w:ascii="宋体" w:hAnsi="宋体" w:hint="eastAsia"/>
          <w:sz w:val="24"/>
          <w:szCs w:val="20"/>
        </w:rPr>
        <w:t>由于本基金</w:t>
      </w:r>
      <w:r>
        <w:rPr>
          <w:rFonts w:ascii="宋体" w:hAnsi="宋体"/>
          <w:sz w:val="24"/>
          <w:szCs w:val="20"/>
        </w:rPr>
        <w:t>A</w:t>
      </w:r>
      <w:r>
        <w:rPr>
          <w:rFonts w:ascii="宋体" w:hAnsi="宋体" w:hint="eastAsia"/>
          <w:sz w:val="24"/>
          <w:szCs w:val="20"/>
        </w:rPr>
        <w:t>类基金份额不收取销售服务费，而</w:t>
      </w:r>
      <w:r>
        <w:rPr>
          <w:rFonts w:ascii="宋体" w:hAnsi="宋体"/>
          <w:sz w:val="24"/>
          <w:szCs w:val="20"/>
        </w:rPr>
        <w:t>C</w:t>
      </w:r>
      <w:r>
        <w:rPr>
          <w:rFonts w:ascii="宋体" w:hAnsi="宋体" w:hint="eastAsia"/>
          <w:sz w:val="24"/>
          <w:szCs w:val="20"/>
        </w:rPr>
        <w:t>类基金份额收取销售服务费，各基金份额类别对应的可供分配利润将有所不同，本基金同一类别的每一基金份额享有同等分配权</w:t>
      </w:r>
      <w:r>
        <w:rPr>
          <w:rFonts w:hint="eastAsia"/>
          <w:sz w:val="24"/>
          <w:szCs w:val="20"/>
        </w:rPr>
        <w:t>；</w:t>
      </w:r>
    </w:p>
    <w:p w:rsidR="00562FFD" w:rsidRDefault="003317D3">
      <w:pPr>
        <w:spacing w:line="360" w:lineRule="auto"/>
        <w:ind w:firstLineChars="200" w:firstLine="480"/>
        <w:rPr>
          <w:sz w:val="24"/>
          <w:szCs w:val="20"/>
        </w:rPr>
      </w:pPr>
      <w:r>
        <w:rPr>
          <w:sz w:val="24"/>
          <w:szCs w:val="20"/>
        </w:rPr>
        <w:t>5</w:t>
      </w:r>
      <w:r>
        <w:rPr>
          <w:rFonts w:hint="eastAsia"/>
          <w:sz w:val="24"/>
          <w:szCs w:val="20"/>
        </w:rPr>
        <w:t>、法律法规或监管机关另有规定的，从其规定。</w:t>
      </w:r>
    </w:p>
    <w:p w:rsidR="00562FFD" w:rsidRDefault="003317D3">
      <w:pPr>
        <w:spacing w:line="360" w:lineRule="auto"/>
        <w:ind w:firstLineChars="200" w:firstLine="480"/>
        <w:rPr>
          <w:sz w:val="24"/>
          <w:szCs w:val="20"/>
        </w:rPr>
      </w:pPr>
      <w:r>
        <w:rPr>
          <w:rFonts w:hint="eastAsia"/>
          <w:sz w:val="24"/>
          <w:szCs w:val="20"/>
        </w:rPr>
        <w:t>在</w:t>
      </w:r>
      <w:r>
        <w:rPr>
          <w:rFonts w:ascii="宋体" w:hAnsi="宋体" w:hint="eastAsia"/>
          <w:bCs/>
          <w:sz w:val="24"/>
          <w:szCs w:val="20"/>
        </w:rPr>
        <w:t>不违反法律法规且</w:t>
      </w:r>
      <w:r>
        <w:rPr>
          <w:rFonts w:hint="eastAsia"/>
          <w:sz w:val="24"/>
          <w:szCs w:val="20"/>
        </w:rPr>
        <w:t>对基金份额持有人利益无</w:t>
      </w:r>
      <w:r>
        <w:rPr>
          <w:rFonts w:ascii="宋体" w:hAnsi="宋体" w:hint="eastAsia"/>
          <w:bCs/>
          <w:sz w:val="24"/>
          <w:szCs w:val="20"/>
        </w:rPr>
        <w:t>实质</w:t>
      </w:r>
      <w:r>
        <w:rPr>
          <w:rFonts w:hint="eastAsia"/>
          <w:sz w:val="24"/>
          <w:szCs w:val="20"/>
        </w:rPr>
        <w:t>不利影响的</w:t>
      </w:r>
      <w:r>
        <w:rPr>
          <w:rFonts w:ascii="宋体" w:hAnsi="宋体" w:hint="eastAsia"/>
          <w:bCs/>
          <w:sz w:val="24"/>
          <w:szCs w:val="20"/>
        </w:rPr>
        <w:t>前提</w:t>
      </w:r>
      <w:r>
        <w:rPr>
          <w:rFonts w:hint="eastAsia"/>
          <w:sz w:val="24"/>
          <w:szCs w:val="20"/>
        </w:rPr>
        <w:t>下，基金管理人在履行适当程序后</w:t>
      </w:r>
      <w:r>
        <w:rPr>
          <w:rFonts w:ascii="宋体" w:hAnsi="宋体" w:hint="eastAsia"/>
          <w:bCs/>
          <w:sz w:val="24"/>
          <w:szCs w:val="20"/>
        </w:rPr>
        <w:t>可</w:t>
      </w:r>
      <w:r>
        <w:rPr>
          <w:rFonts w:hint="eastAsia"/>
          <w:sz w:val="24"/>
          <w:szCs w:val="20"/>
        </w:rPr>
        <w:t>酌情调整以上基金收益分配原则，此项调整不需要召开基金份额持有人大会，但应于变更实施日前在规定媒介公告。</w:t>
      </w:r>
    </w:p>
    <w:p w:rsidR="00562FFD" w:rsidRDefault="003317D3">
      <w:pPr>
        <w:spacing w:line="360" w:lineRule="auto"/>
        <w:ind w:firstLineChars="200" w:firstLine="480"/>
        <w:rPr>
          <w:sz w:val="24"/>
          <w:szCs w:val="20"/>
        </w:rPr>
      </w:pPr>
      <w:r>
        <w:rPr>
          <w:rFonts w:hint="eastAsia"/>
          <w:sz w:val="24"/>
          <w:szCs w:val="20"/>
        </w:rPr>
        <w:t>四、收益分配方案</w:t>
      </w:r>
    </w:p>
    <w:p w:rsidR="00562FFD" w:rsidRDefault="003317D3">
      <w:pPr>
        <w:spacing w:line="360" w:lineRule="auto"/>
        <w:ind w:firstLineChars="200" w:firstLine="480"/>
        <w:rPr>
          <w:sz w:val="24"/>
          <w:szCs w:val="20"/>
        </w:rPr>
      </w:pPr>
      <w:r>
        <w:rPr>
          <w:rFonts w:hint="eastAsia"/>
          <w:sz w:val="24"/>
          <w:szCs w:val="20"/>
        </w:rPr>
        <w:t>基金收益分配方案中应载明截</w:t>
      </w:r>
      <w:r>
        <w:rPr>
          <w:sz w:val="24"/>
          <w:szCs w:val="20"/>
        </w:rPr>
        <w:t>至</w:t>
      </w:r>
      <w:r>
        <w:rPr>
          <w:rFonts w:hint="eastAsia"/>
          <w:sz w:val="24"/>
          <w:szCs w:val="20"/>
        </w:rPr>
        <w:t>收益分配基准日的可供分配利润、基金收益分配对象、分配时间、分配数额及比例、分配方式等内容。</w:t>
      </w:r>
    </w:p>
    <w:p w:rsidR="00562FFD" w:rsidRDefault="003317D3">
      <w:pPr>
        <w:spacing w:line="360" w:lineRule="auto"/>
        <w:ind w:firstLineChars="200" w:firstLine="480"/>
        <w:rPr>
          <w:sz w:val="24"/>
          <w:szCs w:val="20"/>
        </w:rPr>
      </w:pPr>
      <w:r>
        <w:rPr>
          <w:rFonts w:hint="eastAsia"/>
          <w:sz w:val="24"/>
          <w:szCs w:val="20"/>
        </w:rPr>
        <w:t>五、收益分配方案的确定、公告与实施</w:t>
      </w:r>
    </w:p>
    <w:p w:rsidR="00562FFD" w:rsidRDefault="003317D3">
      <w:pPr>
        <w:spacing w:line="360" w:lineRule="auto"/>
        <w:ind w:firstLineChars="200" w:firstLine="480"/>
        <w:rPr>
          <w:sz w:val="24"/>
          <w:szCs w:val="20"/>
        </w:rPr>
      </w:pPr>
      <w:r>
        <w:rPr>
          <w:rFonts w:hint="eastAsia"/>
          <w:sz w:val="24"/>
          <w:szCs w:val="20"/>
        </w:rPr>
        <w:t>本基金收益分配方案由基金管理人拟定，并由基金托管人复核，</w:t>
      </w:r>
      <w:r>
        <w:rPr>
          <w:rFonts w:ascii="宋体" w:hAnsi="宋体" w:hint="eastAsia"/>
          <w:bCs/>
          <w:sz w:val="24"/>
          <w:szCs w:val="20"/>
        </w:rPr>
        <w:t>按规定</w:t>
      </w:r>
      <w:r>
        <w:rPr>
          <w:rFonts w:hint="eastAsia"/>
          <w:sz w:val="24"/>
          <w:szCs w:val="20"/>
        </w:rPr>
        <w:t>在规定媒介公告。</w:t>
      </w:r>
    </w:p>
    <w:p w:rsidR="00562FFD" w:rsidRDefault="003317D3">
      <w:pPr>
        <w:spacing w:line="360" w:lineRule="auto"/>
        <w:ind w:firstLineChars="200" w:firstLine="480"/>
        <w:rPr>
          <w:sz w:val="24"/>
          <w:szCs w:val="20"/>
        </w:rPr>
      </w:pPr>
      <w:r>
        <w:rPr>
          <w:rFonts w:hint="eastAsia"/>
          <w:sz w:val="24"/>
          <w:szCs w:val="20"/>
        </w:rPr>
        <w:lastRenderedPageBreak/>
        <w:t>六、基金收益分配中发生的费用</w:t>
      </w:r>
    </w:p>
    <w:p w:rsidR="00562FFD" w:rsidRDefault="003317D3">
      <w:pPr>
        <w:spacing w:line="360" w:lineRule="auto"/>
        <w:ind w:firstLineChars="200" w:firstLine="480"/>
        <w:rPr>
          <w:sz w:val="24"/>
          <w:szCs w:val="20"/>
        </w:rPr>
      </w:pPr>
      <w:r>
        <w:rPr>
          <w:rFonts w:hint="eastAsia"/>
          <w:sz w:val="24"/>
          <w:szCs w:val="2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562FFD" w:rsidRDefault="003317D3">
      <w:pPr>
        <w:spacing w:line="360" w:lineRule="auto"/>
        <w:ind w:firstLineChars="225" w:firstLine="540"/>
        <w:rPr>
          <w:rFonts w:ascii="宋体" w:hAnsi="宋体"/>
          <w:bCs/>
          <w:sz w:val="24"/>
        </w:rPr>
      </w:pPr>
      <w:r>
        <w:rPr>
          <w:rFonts w:ascii="宋体" w:hAnsi="宋体" w:hint="eastAsia"/>
          <w:bCs/>
          <w:sz w:val="24"/>
        </w:rPr>
        <w:t>七、实施</w:t>
      </w:r>
      <w:proofErr w:type="gramStart"/>
      <w:r>
        <w:rPr>
          <w:rFonts w:ascii="宋体" w:hAnsi="宋体" w:hint="eastAsia"/>
          <w:bCs/>
          <w:sz w:val="24"/>
        </w:rPr>
        <w:t>侧袋机制</w:t>
      </w:r>
      <w:proofErr w:type="gramEnd"/>
      <w:r>
        <w:rPr>
          <w:rFonts w:ascii="宋体" w:hAnsi="宋体" w:hint="eastAsia"/>
          <w:bCs/>
          <w:sz w:val="24"/>
        </w:rPr>
        <w:t>期间的收益分配</w:t>
      </w:r>
    </w:p>
    <w:p w:rsidR="00562FFD" w:rsidRDefault="003317D3">
      <w:pPr>
        <w:spacing w:line="360" w:lineRule="auto"/>
        <w:ind w:firstLineChars="225" w:firstLine="54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侧袋账户</w:t>
      </w:r>
      <w:proofErr w:type="gramEnd"/>
      <w:r>
        <w:rPr>
          <w:rFonts w:ascii="宋体" w:hAnsi="宋体" w:hint="eastAsia"/>
          <w:bCs/>
          <w:sz w:val="24"/>
        </w:rPr>
        <w:t>不进行收益分配，详见本招募说明书“侧袋机制”章节的规定。</w:t>
      </w:r>
    </w:p>
    <w:p w:rsidR="00562FFD" w:rsidRDefault="003317D3">
      <w:pPr>
        <w:pStyle w:val="af0"/>
        <w:rPr>
          <w:rFonts w:hAnsi="宋体"/>
          <w:bCs/>
          <w:szCs w:val="28"/>
        </w:rPr>
      </w:pPr>
      <w:r>
        <w:rPr>
          <w:rFonts w:hAnsi="宋体"/>
          <w:bCs/>
          <w:sz w:val="24"/>
        </w:rPr>
        <w:br w:type="page"/>
      </w:r>
      <w:bookmarkStart w:id="62" w:name="_Toc56692696"/>
      <w:bookmarkStart w:id="63" w:name="_Toc34222305"/>
      <w:r>
        <w:rPr>
          <w:rFonts w:hint="eastAsia"/>
          <w:szCs w:val="28"/>
        </w:rPr>
        <w:lastRenderedPageBreak/>
        <w:t>第十三部分 基金费用与税收</w:t>
      </w:r>
      <w:bookmarkEnd w:id="61"/>
      <w:bookmarkEnd w:id="62"/>
      <w:bookmarkEnd w:id="63"/>
    </w:p>
    <w:p w:rsidR="00562FFD" w:rsidRDefault="003317D3">
      <w:pPr>
        <w:spacing w:line="360" w:lineRule="auto"/>
        <w:ind w:firstLineChars="200" w:firstLine="480"/>
        <w:rPr>
          <w:sz w:val="24"/>
          <w:szCs w:val="20"/>
        </w:rPr>
      </w:pPr>
      <w:bookmarkStart w:id="64" w:name="_Toc164766395"/>
      <w:r>
        <w:rPr>
          <w:rFonts w:hint="eastAsia"/>
          <w:sz w:val="24"/>
          <w:szCs w:val="20"/>
        </w:rPr>
        <w:t>一、基金费用的种类</w:t>
      </w:r>
    </w:p>
    <w:p w:rsidR="00562FFD" w:rsidRDefault="003317D3">
      <w:pPr>
        <w:spacing w:line="360" w:lineRule="auto"/>
        <w:ind w:firstLineChars="200" w:firstLine="480"/>
        <w:rPr>
          <w:sz w:val="24"/>
          <w:szCs w:val="20"/>
        </w:rPr>
      </w:pPr>
      <w:r>
        <w:rPr>
          <w:sz w:val="24"/>
          <w:szCs w:val="20"/>
        </w:rPr>
        <w:t>1</w:t>
      </w:r>
      <w:r>
        <w:rPr>
          <w:rFonts w:hint="eastAsia"/>
          <w:sz w:val="24"/>
          <w:szCs w:val="20"/>
        </w:rPr>
        <w:t>、基金管理人的管理费；</w:t>
      </w:r>
    </w:p>
    <w:p w:rsidR="00562FFD" w:rsidRDefault="003317D3">
      <w:pPr>
        <w:spacing w:line="360" w:lineRule="auto"/>
        <w:ind w:firstLineChars="200" w:firstLine="480"/>
        <w:rPr>
          <w:sz w:val="24"/>
          <w:szCs w:val="20"/>
        </w:rPr>
      </w:pPr>
      <w:r>
        <w:rPr>
          <w:sz w:val="24"/>
          <w:szCs w:val="20"/>
        </w:rPr>
        <w:t>2</w:t>
      </w:r>
      <w:r>
        <w:rPr>
          <w:rFonts w:hint="eastAsia"/>
          <w:sz w:val="24"/>
          <w:szCs w:val="20"/>
        </w:rPr>
        <w:t>、基金托管人的托管费；</w:t>
      </w:r>
    </w:p>
    <w:p w:rsidR="00562FFD" w:rsidRDefault="003317D3">
      <w:pPr>
        <w:spacing w:line="360" w:lineRule="auto"/>
        <w:ind w:firstLineChars="200" w:firstLine="480"/>
        <w:rPr>
          <w:sz w:val="24"/>
          <w:szCs w:val="20"/>
        </w:rPr>
      </w:pPr>
      <w:r>
        <w:rPr>
          <w:sz w:val="24"/>
          <w:szCs w:val="20"/>
        </w:rPr>
        <w:t>3</w:t>
      </w:r>
      <w:r>
        <w:rPr>
          <w:rFonts w:hint="eastAsia"/>
          <w:sz w:val="24"/>
          <w:szCs w:val="20"/>
        </w:rPr>
        <w:t>、</w:t>
      </w:r>
      <w:r>
        <w:rPr>
          <w:sz w:val="24"/>
          <w:szCs w:val="20"/>
        </w:rPr>
        <w:t>C</w:t>
      </w:r>
      <w:r>
        <w:rPr>
          <w:rFonts w:hint="eastAsia"/>
          <w:sz w:val="24"/>
          <w:szCs w:val="20"/>
        </w:rPr>
        <w:t>类基金份额的销售服务费；</w:t>
      </w:r>
    </w:p>
    <w:p w:rsidR="00562FFD" w:rsidRDefault="003317D3">
      <w:pPr>
        <w:spacing w:line="360" w:lineRule="auto"/>
        <w:ind w:firstLineChars="200" w:firstLine="480"/>
        <w:rPr>
          <w:sz w:val="24"/>
          <w:szCs w:val="20"/>
        </w:rPr>
      </w:pPr>
      <w:r>
        <w:rPr>
          <w:sz w:val="24"/>
          <w:szCs w:val="20"/>
        </w:rPr>
        <w:t>4</w:t>
      </w:r>
      <w:r>
        <w:rPr>
          <w:rFonts w:hint="eastAsia"/>
          <w:sz w:val="24"/>
          <w:szCs w:val="20"/>
        </w:rPr>
        <w:t>、《基金合同》生效后与基金相关的信息披露费用，法律法规、中国证监会另有规定的除外；</w:t>
      </w:r>
    </w:p>
    <w:p w:rsidR="00562FFD" w:rsidRDefault="003317D3">
      <w:pPr>
        <w:spacing w:line="360" w:lineRule="auto"/>
        <w:ind w:firstLineChars="200" w:firstLine="480"/>
        <w:rPr>
          <w:sz w:val="24"/>
          <w:szCs w:val="20"/>
        </w:rPr>
      </w:pPr>
      <w:r>
        <w:rPr>
          <w:sz w:val="24"/>
          <w:szCs w:val="20"/>
        </w:rPr>
        <w:t>5</w:t>
      </w:r>
      <w:r>
        <w:rPr>
          <w:rFonts w:hint="eastAsia"/>
          <w:sz w:val="24"/>
          <w:szCs w:val="20"/>
        </w:rPr>
        <w:t>、《基金合同》生效后与基金相关的会计师费、律师费、公证费、仲裁费</w:t>
      </w:r>
      <w:r>
        <w:rPr>
          <w:rFonts w:ascii="宋体" w:hAnsi="宋体" w:hint="eastAsia"/>
          <w:bCs/>
          <w:sz w:val="24"/>
          <w:szCs w:val="20"/>
        </w:rPr>
        <w:t>和诉讼费</w:t>
      </w:r>
      <w:r>
        <w:rPr>
          <w:rFonts w:hint="eastAsia"/>
          <w:sz w:val="24"/>
          <w:szCs w:val="20"/>
        </w:rPr>
        <w:t>；</w:t>
      </w:r>
    </w:p>
    <w:p w:rsidR="00562FFD" w:rsidRDefault="003317D3">
      <w:pPr>
        <w:spacing w:line="360" w:lineRule="auto"/>
        <w:ind w:firstLineChars="200" w:firstLine="480"/>
        <w:rPr>
          <w:sz w:val="24"/>
          <w:szCs w:val="20"/>
        </w:rPr>
      </w:pPr>
      <w:r>
        <w:rPr>
          <w:sz w:val="24"/>
          <w:szCs w:val="20"/>
        </w:rPr>
        <w:t>6</w:t>
      </w:r>
      <w:r>
        <w:rPr>
          <w:rFonts w:hint="eastAsia"/>
          <w:sz w:val="24"/>
          <w:szCs w:val="20"/>
        </w:rPr>
        <w:t>、基金份额持有人大会费用；</w:t>
      </w:r>
    </w:p>
    <w:p w:rsidR="00562FFD" w:rsidRDefault="003317D3">
      <w:pPr>
        <w:spacing w:line="360" w:lineRule="auto"/>
        <w:ind w:firstLineChars="200" w:firstLine="480"/>
        <w:rPr>
          <w:sz w:val="24"/>
          <w:szCs w:val="20"/>
        </w:rPr>
      </w:pPr>
      <w:r>
        <w:rPr>
          <w:sz w:val="24"/>
          <w:szCs w:val="20"/>
        </w:rPr>
        <w:t>7</w:t>
      </w:r>
      <w:r>
        <w:rPr>
          <w:rFonts w:hint="eastAsia"/>
          <w:sz w:val="24"/>
          <w:szCs w:val="20"/>
        </w:rPr>
        <w:t>、基金的证券、期货、股票期权、</w:t>
      </w:r>
      <w:r>
        <w:rPr>
          <w:rFonts w:hint="eastAsia"/>
          <w:bCs/>
          <w:sz w:val="24"/>
          <w:szCs w:val="20"/>
        </w:rPr>
        <w:t>信用衍生品</w:t>
      </w:r>
      <w:r>
        <w:rPr>
          <w:rFonts w:hint="eastAsia"/>
          <w:sz w:val="24"/>
          <w:szCs w:val="20"/>
        </w:rPr>
        <w:t>交易</w:t>
      </w:r>
      <w:r>
        <w:rPr>
          <w:rFonts w:ascii="宋体" w:hAnsi="宋体" w:hint="eastAsia"/>
          <w:bCs/>
          <w:sz w:val="24"/>
          <w:szCs w:val="20"/>
        </w:rPr>
        <w:t>或</w:t>
      </w:r>
      <w:r>
        <w:rPr>
          <w:rFonts w:ascii="宋体" w:hAnsi="宋体"/>
          <w:bCs/>
          <w:sz w:val="24"/>
          <w:szCs w:val="20"/>
        </w:rPr>
        <w:t>结算</w:t>
      </w:r>
      <w:r>
        <w:rPr>
          <w:rFonts w:ascii="宋体" w:hAnsi="宋体" w:hint="eastAsia"/>
          <w:bCs/>
          <w:sz w:val="24"/>
          <w:szCs w:val="20"/>
        </w:rPr>
        <w:t>等</w:t>
      </w:r>
      <w:r>
        <w:rPr>
          <w:rFonts w:hint="eastAsia"/>
          <w:sz w:val="24"/>
          <w:szCs w:val="20"/>
        </w:rPr>
        <w:t>费用；</w:t>
      </w:r>
    </w:p>
    <w:p w:rsidR="00562FFD" w:rsidRDefault="003317D3">
      <w:pPr>
        <w:spacing w:line="360" w:lineRule="auto"/>
        <w:ind w:firstLineChars="200" w:firstLine="480"/>
        <w:rPr>
          <w:sz w:val="24"/>
          <w:szCs w:val="20"/>
        </w:rPr>
      </w:pPr>
      <w:r>
        <w:rPr>
          <w:bCs/>
          <w:sz w:val="24"/>
          <w:szCs w:val="20"/>
        </w:rPr>
        <w:t>8</w:t>
      </w:r>
      <w:r>
        <w:rPr>
          <w:rFonts w:hint="eastAsia"/>
          <w:sz w:val="24"/>
          <w:szCs w:val="20"/>
        </w:rPr>
        <w:t>、基金的银行汇划费用；</w:t>
      </w:r>
    </w:p>
    <w:p w:rsidR="00562FFD" w:rsidRDefault="003317D3">
      <w:pPr>
        <w:spacing w:line="360" w:lineRule="auto"/>
        <w:ind w:firstLineChars="200" w:firstLine="480"/>
        <w:rPr>
          <w:rFonts w:ascii="宋体" w:hAnsi="宋体"/>
          <w:sz w:val="24"/>
          <w:szCs w:val="20"/>
        </w:rPr>
      </w:pPr>
      <w:r>
        <w:rPr>
          <w:rFonts w:ascii="宋体" w:hAnsi="宋体"/>
          <w:bCs/>
          <w:sz w:val="24"/>
          <w:szCs w:val="20"/>
        </w:rPr>
        <w:t>9</w:t>
      </w:r>
      <w:r>
        <w:rPr>
          <w:rFonts w:ascii="宋体" w:hAnsi="宋体" w:hint="eastAsia"/>
          <w:bCs/>
          <w:sz w:val="24"/>
          <w:szCs w:val="20"/>
        </w:rPr>
        <w:t>、</w:t>
      </w:r>
      <w:r>
        <w:rPr>
          <w:rFonts w:ascii="宋体" w:hAnsi="宋体" w:hint="eastAsia"/>
          <w:sz w:val="24"/>
          <w:szCs w:val="20"/>
        </w:rPr>
        <w:t>账户开户费用、账户维护费用；</w:t>
      </w:r>
    </w:p>
    <w:p w:rsidR="00562FFD" w:rsidRDefault="003317D3">
      <w:pPr>
        <w:spacing w:line="360" w:lineRule="auto"/>
        <w:ind w:firstLineChars="200" w:firstLine="480"/>
        <w:rPr>
          <w:rFonts w:ascii="宋体" w:hAnsi="宋体"/>
          <w:sz w:val="24"/>
          <w:szCs w:val="20"/>
        </w:rPr>
      </w:pPr>
      <w:r>
        <w:rPr>
          <w:rFonts w:ascii="宋体" w:hAnsi="宋体"/>
          <w:sz w:val="24"/>
          <w:szCs w:val="20"/>
        </w:rPr>
        <w:t>10、因投资港股通标的股票而产生的各项合理费用；</w:t>
      </w:r>
    </w:p>
    <w:p w:rsidR="00562FFD" w:rsidRDefault="003317D3">
      <w:pPr>
        <w:spacing w:line="360" w:lineRule="auto"/>
        <w:ind w:firstLineChars="200" w:firstLine="480"/>
        <w:rPr>
          <w:sz w:val="24"/>
          <w:szCs w:val="20"/>
        </w:rPr>
      </w:pPr>
      <w:r>
        <w:rPr>
          <w:rFonts w:ascii="宋体" w:hAnsi="宋体"/>
          <w:sz w:val="24"/>
          <w:szCs w:val="20"/>
        </w:rPr>
        <w:t>11</w:t>
      </w:r>
      <w:r>
        <w:rPr>
          <w:rFonts w:hint="eastAsia"/>
          <w:sz w:val="24"/>
          <w:szCs w:val="20"/>
        </w:rPr>
        <w:t>、按照国家有关规定和《基金合同》约定，可以在基金财产中列支的其他费用。</w:t>
      </w:r>
    </w:p>
    <w:p w:rsidR="00562FFD" w:rsidRDefault="003317D3">
      <w:pPr>
        <w:spacing w:line="360" w:lineRule="auto"/>
        <w:ind w:firstLineChars="200" w:firstLine="480"/>
        <w:rPr>
          <w:sz w:val="24"/>
          <w:szCs w:val="20"/>
        </w:rPr>
      </w:pPr>
      <w:r>
        <w:rPr>
          <w:rFonts w:hint="eastAsia"/>
          <w:sz w:val="24"/>
          <w:szCs w:val="20"/>
        </w:rPr>
        <w:t>二、基金费用计提方法、计提标准和支付方式</w:t>
      </w:r>
    </w:p>
    <w:p w:rsidR="00562FFD" w:rsidRDefault="003317D3">
      <w:pPr>
        <w:spacing w:line="360" w:lineRule="auto"/>
        <w:ind w:firstLineChars="200" w:firstLine="480"/>
        <w:rPr>
          <w:sz w:val="24"/>
          <w:szCs w:val="20"/>
        </w:rPr>
      </w:pPr>
      <w:r>
        <w:rPr>
          <w:sz w:val="24"/>
          <w:szCs w:val="20"/>
        </w:rPr>
        <w:t>1</w:t>
      </w:r>
      <w:r>
        <w:rPr>
          <w:rFonts w:hint="eastAsia"/>
          <w:sz w:val="24"/>
          <w:szCs w:val="20"/>
        </w:rPr>
        <w:t>、基金管理人的管理费</w:t>
      </w:r>
      <w:r>
        <w:rPr>
          <w:sz w:val="24"/>
          <w:szCs w:val="20"/>
        </w:rPr>
        <w:t xml:space="preserve"> </w:t>
      </w:r>
    </w:p>
    <w:p w:rsidR="00562FFD" w:rsidRDefault="003317D3">
      <w:pPr>
        <w:spacing w:line="360" w:lineRule="auto"/>
        <w:ind w:firstLineChars="200" w:firstLine="480"/>
        <w:rPr>
          <w:sz w:val="24"/>
          <w:szCs w:val="20"/>
        </w:rPr>
      </w:pPr>
      <w:r>
        <w:rPr>
          <w:rFonts w:hint="eastAsia"/>
          <w:sz w:val="24"/>
          <w:szCs w:val="20"/>
        </w:rPr>
        <w:t>本基金的管理费按前一日基金资产净值的</w:t>
      </w:r>
      <w:r>
        <w:rPr>
          <w:rFonts w:ascii="宋体" w:hAnsi="宋体"/>
          <w:sz w:val="24"/>
          <w:szCs w:val="20"/>
        </w:rPr>
        <w:t>0.80</w:t>
      </w:r>
      <w:r>
        <w:rPr>
          <w:sz w:val="24"/>
          <w:szCs w:val="20"/>
        </w:rPr>
        <w:t>%</w:t>
      </w:r>
      <w:r>
        <w:rPr>
          <w:rFonts w:hint="eastAsia"/>
          <w:sz w:val="24"/>
          <w:szCs w:val="20"/>
        </w:rPr>
        <w:t>年费率计提。管理费的计算方法如下：</w:t>
      </w:r>
    </w:p>
    <w:p w:rsidR="00562FFD" w:rsidRDefault="003317D3">
      <w:pPr>
        <w:spacing w:line="360" w:lineRule="auto"/>
        <w:ind w:firstLineChars="200" w:firstLine="480"/>
        <w:rPr>
          <w:sz w:val="24"/>
          <w:szCs w:val="20"/>
        </w:rPr>
      </w:pPr>
      <w:r>
        <w:rPr>
          <w:sz w:val="24"/>
          <w:szCs w:val="20"/>
        </w:rPr>
        <w:t>H</w:t>
      </w:r>
      <w:r>
        <w:rPr>
          <w:rFonts w:hint="eastAsia"/>
          <w:sz w:val="24"/>
          <w:szCs w:val="20"/>
        </w:rPr>
        <w:t>＝</w:t>
      </w:r>
      <w:r>
        <w:rPr>
          <w:sz w:val="24"/>
          <w:szCs w:val="20"/>
        </w:rPr>
        <w:t>E×</w:t>
      </w:r>
      <w:r>
        <w:rPr>
          <w:rFonts w:ascii="宋体" w:hAnsi="宋体"/>
          <w:sz w:val="24"/>
          <w:szCs w:val="20"/>
        </w:rPr>
        <w:t>0.80</w:t>
      </w:r>
      <w:r>
        <w:rPr>
          <w:sz w:val="24"/>
          <w:szCs w:val="20"/>
        </w:rPr>
        <w:t>%÷</w:t>
      </w:r>
      <w:r>
        <w:rPr>
          <w:rFonts w:hint="eastAsia"/>
          <w:sz w:val="24"/>
          <w:szCs w:val="20"/>
        </w:rPr>
        <w:t>当年天数</w:t>
      </w:r>
    </w:p>
    <w:p w:rsidR="00562FFD" w:rsidRDefault="003317D3">
      <w:pPr>
        <w:spacing w:line="360" w:lineRule="auto"/>
        <w:ind w:firstLineChars="200" w:firstLine="480"/>
        <w:rPr>
          <w:sz w:val="24"/>
          <w:szCs w:val="20"/>
        </w:rPr>
      </w:pPr>
      <w:r>
        <w:rPr>
          <w:sz w:val="24"/>
          <w:szCs w:val="20"/>
        </w:rPr>
        <w:t>H</w:t>
      </w:r>
      <w:r>
        <w:rPr>
          <w:rFonts w:hint="eastAsia"/>
          <w:sz w:val="24"/>
          <w:szCs w:val="20"/>
        </w:rPr>
        <w:t>为每日应计提的基金管理费</w:t>
      </w:r>
    </w:p>
    <w:p w:rsidR="00562FFD" w:rsidRDefault="003317D3">
      <w:pPr>
        <w:spacing w:line="360" w:lineRule="auto"/>
        <w:ind w:firstLineChars="200" w:firstLine="480"/>
        <w:rPr>
          <w:sz w:val="24"/>
          <w:szCs w:val="20"/>
        </w:rPr>
      </w:pPr>
      <w:r>
        <w:rPr>
          <w:sz w:val="24"/>
          <w:szCs w:val="20"/>
        </w:rPr>
        <w:t>E</w:t>
      </w:r>
      <w:r>
        <w:rPr>
          <w:rFonts w:hint="eastAsia"/>
          <w:sz w:val="24"/>
          <w:szCs w:val="20"/>
        </w:rPr>
        <w:t>为前一日的基金资产净值</w:t>
      </w:r>
    </w:p>
    <w:p w:rsidR="00562FFD" w:rsidRDefault="003317D3">
      <w:pPr>
        <w:spacing w:line="360" w:lineRule="auto"/>
        <w:ind w:firstLineChars="200" w:firstLine="480"/>
        <w:rPr>
          <w:sz w:val="24"/>
          <w:szCs w:val="20"/>
        </w:rPr>
      </w:pPr>
      <w:r>
        <w:rPr>
          <w:rFonts w:hint="eastAsia"/>
          <w:sz w:val="24"/>
          <w:szCs w:val="20"/>
        </w:rPr>
        <w:t>基金管理费每日计提，逐日累计至每月月末，按月支付，由基金管理人与基金托管人核对一致后，基金托管人按照与基金管理人协商一致的方式在次月前</w:t>
      </w:r>
      <w:r>
        <w:rPr>
          <w:rFonts w:hint="eastAsia"/>
          <w:sz w:val="24"/>
          <w:szCs w:val="20"/>
        </w:rPr>
        <w:t>5</w:t>
      </w:r>
      <w:r>
        <w:rPr>
          <w:rFonts w:hint="eastAsia"/>
          <w:sz w:val="24"/>
          <w:szCs w:val="20"/>
        </w:rPr>
        <w:t>个工作日内从基金财产中一次性支付给基金管理人。若遇法定节假日、休息日或不可抗力致使无法按时支付的</w:t>
      </w:r>
      <w:r>
        <w:rPr>
          <w:rFonts w:hint="eastAsia"/>
          <w:sz w:val="24"/>
          <w:szCs w:val="20"/>
        </w:rPr>
        <w:t>,</w:t>
      </w:r>
      <w:r>
        <w:rPr>
          <w:rFonts w:hint="eastAsia"/>
          <w:sz w:val="24"/>
          <w:szCs w:val="20"/>
        </w:rPr>
        <w:t>顺延至最近可支付日支付。</w:t>
      </w:r>
    </w:p>
    <w:p w:rsidR="00562FFD" w:rsidRDefault="003317D3">
      <w:pPr>
        <w:spacing w:line="360" w:lineRule="auto"/>
        <w:ind w:firstLineChars="200" w:firstLine="480"/>
        <w:rPr>
          <w:sz w:val="24"/>
          <w:szCs w:val="20"/>
        </w:rPr>
      </w:pPr>
      <w:r>
        <w:rPr>
          <w:sz w:val="24"/>
          <w:szCs w:val="20"/>
        </w:rPr>
        <w:t>2</w:t>
      </w:r>
      <w:r>
        <w:rPr>
          <w:rFonts w:hint="eastAsia"/>
          <w:sz w:val="24"/>
          <w:szCs w:val="20"/>
        </w:rPr>
        <w:t>、基金托管人的托管费</w:t>
      </w:r>
    </w:p>
    <w:p w:rsidR="00562FFD" w:rsidRDefault="003317D3">
      <w:pPr>
        <w:spacing w:line="360" w:lineRule="auto"/>
        <w:ind w:firstLineChars="200" w:firstLine="480"/>
        <w:rPr>
          <w:sz w:val="24"/>
          <w:szCs w:val="20"/>
        </w:rPr>
      </w:pPr>
      <w:r>
        <w:rPr>
          <w:rFonts w:hint="eastAsia"/>
          <w:sz w:val="24"/>
          <w:szCs w:val="20"/>
        </w:rPr>
        <w:t>本基金的托管费按前一日基金资产净值的</w:t>
      </w:r>
      <w:r>
        <w:rPr>
          <w:sz w:val="24"/>
          <w:szCs w:val="20"/>
        </w:rPr>
        <w:t>0.</w:t>
      </w:r>
      <w:r>
        <w:rPr>
          <w:rFonts w:ascii="宋体" w:hAnsi="宋体"/>
          <w:bCs/>
          <w:sz w:val="24"/>
          <w:szCs w:val="20"/>
        </w:rPr>
        <w:t>20</w:t>
      </w:r>
      <w:r>
        <w:rPr>
          <w:sz w:val="24"/>
          <w:szCs w:val="20"/>
        </w:rPr>
        <w:t>%</w:t>
      </w:r>
      <w:r>
        <w:rPr>
          <w:rFonts w:hint="eastAsia"/>
          <w:sz w:val="24"/>
          <w:szCs w:val="20"/>
        </w:rPr>
        <w:t>的年费率计提。托管费的计</w:t>
      </w:r>
      <w:r>
        <w:rPr>
          <w:rFonts w:hint="eastAsia"/>
          <w:sz w:val="24"/>
          <w:szCs w:val="20"/>
        </w:rPr>
        <w:lastRenderedPageBreak/>
        <w:t>算方法如下：</w:t>
      </w:r>
    </w:p>
    <w:p w:rsidR="00562FFD" w:rsidRDefault="003317D3">
      <w:pPr>
        <w:spacing w:line="360" w:lineRule="auto"/>
        <w:ind w:firstLineChars="200" w:firstLine="480"/>
        <w:rPr>
          <w:sz w:val="24"/>
          <w:szCs w:val="20"/>
        </w:rPr>
      </w:pPr>
      <w:r>
        <w:rPr>
          <w:sz w:val="24"/>
          <w:szCs w:val="20"/>
        </w:rPr>
        <w:t>H</w:t>
      </w:r>
      <w:r>
        <w:rPr>
          <w:rFonts w:hint="eastAsia"/>
          <w:sz w:val="24"/>
          <w:szCs w:val="20"/>
        </w:rPr>
        <w:t>＝</w:t>
      </w:r>
      <w:r>
        <w:rPr>
          <w:sz w:val="24"/>
          <w:szCs w:val="20"/>
        </w:rPr>
        <w:t>E×0.</w:t>
      </w:r>
      <w:r>
        <w:rPr>
          <w:rFonts w:ascii="宋体" w:hAnsi="宋体"/>
          <w:bCs/>
          <w:sz w:val="24"/>
          <w:szCs w:val="20"/>
        </w:rPr>
        <w:t>20</w:t>
      </w:r>
      <w:r>
        <w:rPr>
          <w:sz w:val="24"/>
          <w:szCs w:val="20"/>
        </w:rPr>
        <w:t>%÷</w:t>
      </w:r>
      <w:r>
        <w:rPr>
          <w:rFonts w:hint="eastAsia"/>
          <w:sz w:val="24"/>
          <w:szCs w:val="20"/>
        </w:rPr>
        <w:t>当年天数</w:t>
      </w:r>
    </w:p>
    <w:p w:rsidR="00562FFD" w:rsidRDefault="003317D3">
      <w:pPr>
        <w:spacing w:line="360" w:lineRule="auto"/>
        <w:ind w:firstLineChars="200" w:firstLine="480"/>
        <w:rPr>
          <w:sz w:val="24"/>
          <w:szCs w:val="20"/>
        </w:rPr>
      </w:pPr>
      <w:r>
        <w:rPr>
          <w:sz w:val="24"/>
          <w:szCs w:val="20"/>
        </w:rPr>
        <w:t>H</w:t>
      </w:r>
      <w:r>
        <w:rPr>
          <w:rFonts w:hint="eastAsia"/>
          <w:sz w:val="24"/>
          <w:szCs w:val="20"/>
        </w:rPr>
        <w:t>为每日应计提的基金托管费</w:t>
      </w:r>
    </w:p>
    <w:p w:rsidR="00562FFD" w:rsidRDefault="003317D3">
      <w:pPr>
        <w:spacing w:line="360" w:lineRule="auto"/>
        <w:ind w:firstLineChars="200" w:firstLine="480"/>
        <w:rPr>
          <w:sz w:val="24"/>
          <w:szCs w:val="20"/>
        </w:rPr>
      </w:pPr>
      <w:r>
        <w:rPr>
          <w:sz w:val="24"/>
          <w:szCs w:val="20"/>
        </w:rPr>
        <w:t>E</w:t>
      </w:r>
      <w:r>
        <w:rPr>
          <w:rFonts w:hint="eastAsia"/>
          <w:sz w:val="24"/>
          <w:szCs w:val="20"/>
        </w:rPr>
        <w:t>为前一日的基金资产净值</w:t>
      </w:r>
    </w:p>
    <w:p w:rsidR="00562FFD" w:rsidRDefault="003317D3">
      <w:pPr>
        <w:spacing w:line="360" w:lineRule="auto"/>
        <w:ind w:firstLineChars="200" w:firstLine="480"/>
        <w:rPr>
          <w:sz w:val="24"/>
          <w:szCs w:val="20"/>
        </w:rPr>
      </w:pPr>
      <w:r>
        <w:rPr>
          <w:rFonts w:hint="eastAsia"/>
          <w:sz w:val="24"/>
          <w:szCs w:val="20"/>
        </w:rPr>
        <w:t>基金托管费每日计提，逐日累计至每月月末，按月支付，由基金管理人与基金托管人核对一致后，基金托管人按照与基金管理人协商一致的方式于次月前</w:t>
      </w:r>
      <w:r>
        <w:rPr>
          <w:rFonts w:hint="eastAsia"/>
          <w:sz w:val="24"/>
          <w:szCs w:val="20"/>
        </w:rPr>
        <w:t>5</w:t>
      </w:r>
      <w:r>
        <w:rPr>
          <w:rFonts w:hint="eastAsia"/>
          <w:sz w:val="24"/>
          <w:szCs w:val="20"/>
        </w:rPr>
        <w:t>个工作日内从基金财产中一次性支取。若遇法定节假日、休息日或不可抗力致使无法按时支付的</w:t>
      </w:r>
      <w:r>
        <w:rPr>
          <w:rFonts w:hint="eastAsia"/>
          <w:sz w:val="24"/>
          <w:szCs w:val="20"/>
        </w:rPr>
        <w:t>,</w:t>
      </w:r>
      <w:r>
        <w:rPr>
          <w:rFonts w:hint="eastAsia"/>
          <w:sz w:val="24"/>
          <w:szCs w:val="20"/>
        </w:rPr>
        <w:t>顺延至最近可支付日支付。</w:t>
      </w:r>
    </w:p>
    <w:p w:rsidR="00562FFD" w:rsidRDefault="003317D3">
      <w:pPr>
        <w:spacing w:line="360" w:lineRule="auto"/>
        <w:ind w:firstLineChars="200" w:firstLine="480"/>
        <w:rPr>
          <w:sz w:val="24"/>
          <w:szCs w:val="20"/>
        </w:rPr>
      </w:pPr>
      <w:r>
        <w:rPr>
          <w:sz w:val="24"/>
          <w:szCs w:val="20"/>
        </w:rPr>
        <w:t>3</w:t>
      </w:r>
      <w:r>
        <w:rPr>
          <w:rFonts w:hint="eastAsia"/>
          <w:sz w:val="24"/>
          <w:szCs w:val="20"/>
        </w:rPr>
        <w:t>、销售服务费</w:t>
      </w:r>
    </w:p>
    <w:p w:rsidR="00562FFD" w:rsidRDefault="003317D3">
      <w:pPr>
        <w:spacing w:line="360" w:lineRule="auto"/>
        <w:ind w:firstLineChars="200" w:firstLine="480"/>
        <w:rPr>
          <w:sz w:val="24"/>
          <w:szCs w:val="20"/>
        </w:rPr>
      </w:pPr>
      <w:r>
        <w:rPr>
          <w:rFonts w:hint="eastAsia"/>
          <w:sz w:val="24"/>
          <w:szCs w:val="20"/>
        </w:rPr>
        <w:t>本基金</w:t>
      </w:r>
      <w:r>
        <w:rPr>
          <w:sz w:val="24"/>
          <w:szCs w:val="20"/>
        </w:rPr>
        <w:t>A</w:t>
      </w:r>
      <w:r>
        <w:rPr>
          <w:rFonts w:hint="eastAsia"/>
          <w:sz w:val="24"/>
          <w:szCs w:val="20"/>
        </w:rPr>
        <w:t>类基金份额不收取销售服务费，</w:t>
      </w:r>
      <w:r>
        <w:rPr>
          <w:sz w:val="24"/>
          <w:szCs w:val="20"/>
        </w:rPr>
        <w:t>C</w:t>
      </w:r>
      <w:r>
        <w:rPr>
          <w:rFonts w:hint="eastAsia"/>
          <w:sz w:val="24"/>
          <w:szCs w:val="20"/>
        </w:rPr>
        <w:t>类基金份额收取销售服务费。</w:t>
      </w:r>
    </w:p>
    <w:p w:rsidR="00562FFD" w:rsidRDefault="003317D3">
      <w:pPr>
        <w:spacing w:line="360" w:lineRule="auto"/>
        <w:ind w:firstLineChars="200" w:firstLine="480"/>
        <w:rPr>
          <w:sz w:val="24"/>
          <w:szCs w:val="20"/>
        </w:rPr>
      </w:pPr>
      <w:r>
        <w:rPr>
          <w:rFonts w:hint="eastAsia"/>
          <w:sz w:val="24"/>
          <w:szCs w:val="20"/>
        </w:rPr>
        <w:t>本基金销售服务费按前一日</w:t>
      </w:r>
      <w:r>
        <w:rPr>
          <w:sz w:val="24"/>
          <w:szCs w:val="20"/>
        </w:rPr>
        <w:t>C</w:t>
      </w:r>
      <w:r>
        <w:rPr>
          <w:rFonts w:hint="eastAsia"/>
          <w:sz w:val="24"/>
          <w:szCs w:val="20"/>
        </w:rPr>
        <w:t>类基金份额的基金资产净值的</w:t>
      </w:r>
      <w:r>
        <w:rPr>
          <w:sz w:val="24"/>
          <w:szCs w:val="20"/>
        </w:rPr>
        <w:t>0.40%</w:t>
      </w:r>
      <w:r>
        <w:rPr>
          <w:rFonts w:hint="eastAsia"/>
          <w:sz w:val="24"/>
          <w:szCs w:val="20"/>
        </w:rPr>
        <w:t>年费率计提，销售服务费的计算方法如下：</w:t>
      </w:r>
    </w:p>
    <w:p w:rsidR="00562FFD" w:rsidRDefault="003317D3">
      <w:pPr>
        <w:spacing w:line="360" w:lineRule="auto"/>
        <w:ind w:firstLineChars="200" w:firstLine="480"/>
        <w:rPr>
          <w:sz w:val="24"/>
          <w:szCs w:val="20"/>
        </w:rPr>
      </w:pPr>
      <w:r>
        <w:rPr>
          <w:sz w:val="24"/>
          <w:szCs w:val="20"/>
        </w:rPr>
        <w:t>H=E</w:t>
      </w:r>
      <w:r>
        <w:rPr>
          <w:rFonts w:hint="eastAsia"/>
          <w:sz w:val="24"/>
          <w:szCs w:val="20"/>
        </w:rPr>
        <w:t>×</w:t>
      </w:r>
      <w:r>
        <w:rPr>
          <w:sz w:val="24"/>
          <w:szCs w:val="20"/>
        </w:rPr>
        <w:t>0.40%</w:t>
      </w:r>
      <w:r>
        <w:rPr>
          <w:rFonts w:hint="eastAsia"/>
          <w:sz w:val="24"/>
          <w:szCs w:val="20"/>
        </w:rPr>
        <w:t>÷当年天数</w:t>
      </w:r>
    </w:p>
    <w:p w:rsidR="00562FFD" w:rsidRDefault="003317D3">
      <w:pPr>
        <w:spacing w:line="360" w:lineRule="auto"/>
        <w:ind w:firstLineChars="200" w:firstLine="480"/>
        <w:rPr>
          <w:sz w:val="24"/>
          <w:szCs w:val="20"/>
        </w:rPr>
      </w:pPr>
      <w:r>
        <w:rPr>
          <w:sz w:val="24"/>
          <w:szCs w:val="20"/>
        </w:rPr>
        <w:t>H</w:t>
      </w:r>
      <w:r>
        <w:rPr>
          <w:rFonts w:hint="eastAsia"/>
          <w:sz w:val="24"/>
          <w:szCs w:val="20"/>
        </w:rPr>
        <w:t>为</w:t>
      </w:r>
      <w:r>
        <w:rPr>
          <w:sz w:val="24"/>
          <w:szCs w:val="20"/>
        </w:rPr>
        <w:t>C</w:t>
      </w:r>
      <w:r>
        <w:rPr>
          <w:rFonts w:hint="eastAsia"/>
          <w:sz w:val="24"/>
          <w:szCs w:val="20"/>
        </w:rPr>
        <w:t>类基金份额每日应计提的销售服务费</w:t>
      </w:r>
    </w:p>
    <w:p w:rsidR="00562FFD" w:rsidRDefault="003317D3">
      <w:pPr>
        <w:spacing w:line="360" w:lineRule="auto"/>
        <w:ind w:firstLineChars="200" w:firstLine="480"/>
        <w:rPr>
          <w:sz w:val="24"/>
          <w:szCs w:val="20"/>
        </w:rPr>
      </w:pPr>
      <w:r>
        <w:rPr>
          <w:sz w:val="24"/>
          <w:szCs w:val="20"/>
        </w:rPr>
        <w:t>E</w:t>
      </w:r>
      <w:r>
        <w:rPr>
          <w:rFonts w:hint="eastAsia"/>
          <w:sz w:val="24"/>
          <w:szCs w:val="20"/>
        </w:rPr>
        <w:t>为</w:t>
      </w:r>
      <w:r>
        <w:rPr>
          <w:sz w:val="24"/>
          <w:szCs w:val="20"/>
        </w:rPr>
        <w:t>C</w:t>
      </w:r>
      <w:r>
        <w:rPr>
          <w:rFonts w:hint="eastAsia"/>
          <w:sz w:val="24"/>
          <w:szCs w:val="20"/>
        </w:rPr>
        <w:t>类基金份额前一日基金资产净值</w:t>
      </w:r>
    </w:p>
    <w:p w:rsidR="00562FFD" w:rsidRDefault="003317D3">
      <w:pPr>
        <w:spacing w:line="360" w:lineRule="auto"/>
        <w:ind w:firstLineChars="200" w:firstLine="480"/>
        <w:rPr>
          <w:sz w:val="24"/>
          <w:szCs w:val="20"/>
        </w:rPr>
      </w:pPr>
      <w:r>
        <w:rPr>
          <w:rFonts w:hint="eastAsia"/>
          <w:sz w:val="24"/>
          <w:szCs w:val="20"/>
        </w:rPr>
        <w:t>基金销售服务费每日计提，逐日累计至每月月末，按月支付，由基金管理人与基金托管人核对一致后，基金托管人按照与基金管理人协商一致的方式于次月前</w:t>
      </w:r>
      <w:r>
        <w:rPr>
          <w:rFonts w:hint="eastAsia"/>
          <w:sz w:val="24"/>
          <w:szCs w:val="20"/>
        </w:rPr>
        <w:t>5</w:t>
      </w:r>
      <w:r>
        <w:rPr>
          <w:rFonts w:hint="eastAsia"/>
          <w:sz w:val="24"/>
          <w:szCs w:val="20"/>
        </w:rPr>
        <w:t>个工作日内从基金财产中一次性支付给登记机构。由登记机构代付给销售机构。若遇法定节假日、休息日或不可抗力致使无法按时支付的，顺延至最近可支付日支付。</w:t>
      </w:r>
    </w:p>
    <w:p w:rsidR="00562FFD" w:rsidRDefault="003317D3">
      <w:pPr>
        <w:spacing w:line="360" w:lineRule="auto"/>
        <w:ind w:firstLineChars="200" w:firstLine="480"/>
        <w:rPr>
          <w:sz w:val="24"/>
          <w:szCs w:val="20"/>
        </w:rPr>
      </w:pPr>
      <w:r>
        <w:rPr>
          <w:rFonts w:hint="eastAsia"/>
          <w:sz w:val="24"/>
          <w:szCs w:val="20"/>
        </w:rPr>
        <w:t>上述</w:t>
      </w:r>
      <w:r>
        <w:rPr>
          <w:sz w:val="24"/>
          <w:szCs w:val="20"/>
        </w:rPr>
        <w:t>“</w:t>
      </w:r>
      <w:r>
        <w:rPr>
          <w:rFonts w:hint="eastAsia"/>
          <w:sz w:val="24"/>
          <w:szCs w:val="20"/>
        </w:rPr>
        <w:t>一、基金费用的种类</w:t>
      </w:r>
      <w:r>
        <w:rPr>
          <w:sz w:val="24"/>
          <w:szCs w:val="20"/>
        </w:rPr>
        <w:t>”</w:t>
      </w:r>
      <w:r>
        <w:rPr>
          <w:rFonts w:hint="eastAsia"/>
          <w:sz w:val="24"/>
          <w:szCs w:val="20"/>
        </w:rPr>
        <w:t>中第</w:t>
      </w:r>
      <w:r>
        <w:rPr>
          <w:sz w:val="24"/>
          <w:szCs w:val="20"/>
        </w:rPr>
        <w:t>4</w:t>
      </w:r>
      <w:r>
        <w:rPr>
          <w:rFonts w:hint="eastAsia"/>
          <w:sz w:val="24"/>
          <w:szCs w:val="20"/>
        </w:rPr>
        <w:t>－</w:t>
      </w:r>
      <w:r>
        <w:rPr>
          <w:bCs/>
          <w:sz w:val="24"/>
          <w:szCs w:val="20"/>
        </w:rPr>
        <w:t>11</w:t>
      </w:r>
      <w:r>
        <w:rPr>
          <w:rFonts w:hint="eastAsia"/>
          <w:sz w:val="24"/>
          <w:szCs w:val="20"/>
        </w:rPr>
        <w:t>项费用，根据有关法规及相应协议规定，按费用实际支出金额列入当期费用，由基金托管人从基金财产中支付。</w:t>
      </w:r>
    </w:p>
    <w:p w:rsidR="00562FFD" w:rsidRDefault="003317D3">
      <w:pPr>
        <w:spacing w:line="360" w:lineRule="auto"/>
        <w:ind w:firstLineChars="200" w:firstLine="480"/>
        <w:rPr>
          <w:sz w:val="24"/>
          <w:szCs w:val="20"/>
        </w:rPr>
      </w:pPr>
      <w:r>
        <w:rPr>
          <w:rFonts w:hint="eastAsia"/>
          <w:sz w:val="24"/>
          <w:szCs w:val="20"/>
        </w:rPr>
        <w:t>三、不列入基金费用的项目</w:t>
      </w:r>
    </w:p>
    <w:p w:rsidR="00562FFD" w:rsidRDefault="003317D3">
      <w:pPr>
        <w:spacing w:line="360" w:lineRule="auto"/>
        <w:ind w:firstLineChars="200" w:firstLine="480"/>
        <w:rPr>
          <w:sz w:val="24"/>
          <w:szCs w:val="20"/>
        </w:rPr>
      </w:pPr>
      <w:r>
        <w:rPr>
          <w:rFonts w:hint="eastAsia"/>
          <w:sz w:val="24"/>
          <w:szCs w:val="20"/>
        </w:rPr>
        <w:t>下列费用不列入基金费用：</w:t>
      </w:r>
    </w:p>
    <w:p w:rsidR="00562FFD" w:rsidRDefault="003317D3">
      <w:pPr>
        <w:spacing w:line="360" w:lineRule="auto"/>
        <w:ind w:firstLineChars="200" w:firstLine="480"/>
        <w:rPr>
          <w:sz w:val="24"/>
          <w:szCs w:val="20"/>
        </w:rPr>
      </w:pPr>
      <w:r>
        <w:rPr>
          <w:sz w:val="24"/>
          <w:szCs w:val="20"/>
        </w:rPr>
        <w:t>1</w:t>
      </w:r>
      <w:r>
        <w:rPr>
          <w:rFonts w:hint="eastAsia"/>
          <w:sz w:val="24"/>
          <w:szCs w:val="20"/>
        </w:rPr>
        <w:t>、基金管理人和基金托管人因未履行或未完全履行义务导致的费用支出或基金财产的损失；</w:t>
      </w:r>
    </w:p>
    <w:p w:rsidR="00562FFD" w:rsidRDefault="003317D3">
      <w:pPr>
        <w:spacing w:line="360" w:lineRule="auto"/>
        <w:ind w:firstLineChars="200" w:firstLine="480"/>
        <w:rPr>
          <w:sz w:val="24"/>
          <w:szCs w:val="20"/>
        </w:rPr>
      </w:pPr>
      <w:r>
        <w:rPr>
          <w:sz w:val="24"/>
          <w:szCs w:val="20"/>
        </w:rPr>
        <w:t>2</w:t>
      </w:r>
      <w:r>
        <w:rPr>
          <w:rFonts w:hint="eastAsia"/>
          <w:sz w:val="24"/>
          <w:szCs w:val="20"/>
        </w:rPr>
        <w:t>、基金管理人和基金托管人处理与基金运作无关的事项发生的费用；</w:t>
      </w:r>
    </w:p>
    <w:p w:rsidR="00562FFD" w:rsidRDefault="003317D3">
      <w:pPr>
        <w:spacing w:line="360" w:lineRule="auto"/>
        <w:ind w:firstLineChars="200" w:firstLine="480"/>
        <w:rPr>
          <w:sz w:val="24"/>
          <w:szCs w:val="20"/>
        </w:rPr>
      </w:pPr>
      <w:r>
        <w:rPr>
          <w:sz w:val="24"/>
          <w:szCs w:val="20"/>
        </w:rPr>
        <w:t>3</w:t>
      </w:r>
      <w:r>
        <w:rPr>
          <w:rFonts w:hint="eastAsia"/>
          <w:sz w:val="24"/>
          <w:szCs w:val="20"/>
        </w:rPr>
        <w:t>、《基金合同》生效前的相关费用；</w:t>
      </w:r>
    </w:p>
    <w:p w:rsidR="00562FFD" w:rsidRDefault="003317D3">
      <w:pPr>
        <w:spacing w:line="360" w:lineRule="auto"/>
        <w:ind w:firstLineChars="200" w:firstLine="480"/>
        <w:rPr>
          <w:sz w:val="24"/>
          <w:szCs w:val="20"/>
        </w:rPr>
      </w:pPr>
      <w:r>
        <w:rPr>
          <w:sz w:val="24"/>
          <w:szCs w:val="20"/>
        </w:rPr>
        <w:t>4</w:t>
      </w:r>
      <w:r>
        <w:rPr>
          <w:rFonts w:hint="eastAsia"/>
          <w:sz w:val="24"/>
          <w:szCs w:val="20"/>
        </w:rPr>
        <w:t>、其他根据相关法律法规及中国证监会的有关规定不得列入基金费用的项</w:t>
      </w:r>
      <w:r>
        <w:rPr>
          <w:rFonts w:hint="eastAsia"/>
          <w:sz w:val="24"/>
          <w:szCs w:val="20"/>
        </w:rPr>
        <w:lastRenderedPageBreak/>
        <w:t>目。</w:t>
      </w:r>
    </w:p>
    <w:p w:rsidR="00562FFD" w:rsidRDefault="003317D3">
      <w:pPr>
        <w:spacing w:line="360" w:lineRule="auto"/>
        <w:ind w:firstLineChars="200" w:firstLine="480"/>
        <w:rPr>
          <w:rFonts w:ascii="宋体" w:hAnsi="宋体"/>
          <w:bCs/>
          <w:sz w:val="24"/>
        </w:rPr>
      </w:pPr>
      <w:r>
        <w:rPr>
          <w:rFonts w:ascii="宋体" w:hAnsi="宋体" w:hint="eastAsia"/>
          <w:bCs/>
          <w:sz w:val="24"/>
        </w:rPr>
        <w:t>四、实施</w:t>
      </w:r>
      <w:proofErr w:type="gramStart"/>
      <w:r>
        <w:rPr>
          <w:rFonts w:ascii="宋体" w:hAnsi="宋体" w:hint="eastAsia"/>
          <w:bCs/>
          <w:sz w:val="24"/>
        </w:rPr>
        <w:t>侧袋机制</w:t>
      </w:r>
      <w:proofErr w:type="gramEnd"/>
      <w:r>
        <w:rPr>
          <w:rFonts w:ascii="宋体" w:hAnsi="宋体" w:hint="eastAsia"/>
          <w:bCs/>
          <w:sz w:val="24"/>
        </w:rPr>
        <w:t>期间的基金费用</w:t>
      </w:r>
    </w:p>
    <w:p w:rsidR="00562FFD" w:rsidRDefault="003317D3">
      <w:pPr>
        <w:spacing w:line="360" w:lineRule="auto"/>
        <w:ind w:firstLineChars="200" w:firstLine="48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与侧袋账户</w:t>
      </w:r>
      <w:proofErr w:type="gramEnd"/>
      <w:r>
        <w:rPr>
          <w:rFonts w:ascii="宋体" w:hAnsi="宋体" w:hint="eastAsia"/>
          <w:bCs/>
          <w:sz w:val="24"/>
        </w:rPr>
        <w:t>有关的费用可以</w:t>
      </w:r>
      <w:proofErr w:type="gramStart"/>
      <w:r>
        <w:rPr>
          <w:rFonts w:ascii="宋体" w:hAnsi="宋体" w:hint="eastAsia"/>
          <w:bCs/>
          <w:sz w:val="24"/>
        </w:rPr>
        <w:t>从侧袋账户</w:t>
      </w:r>
      <w:proofErr w:type="gramEnd"/>
      <w:r>
        <w:rPr>
          <w:rFonts w:ascii="宋体" w:hAnsi="宋体" w:hint="eastAsia"/>
          <w:bCs/>
          <w:sz w:val="24"/>
        </w:rPr>
        <w:t>中列支，但应</w:t>
      </w:r>
      <w:proofErr w:type="gramStart"/>
      <w:r>
        <w:rPr>
          <w:rFonts w:ascii="宋体" w:hAnsi="宋体" w:hint="eastAsia"/>
          <w:bCs/>
          <w:sz w:val="24"/>
        </w:rPr>
        <w:t>待侧袋</w:t>
      </w:r>
      <w:proofErr w:type="gramEnd"/>
      <w:r>
        <w:rPr>
          <w:rFonts w:ascii="宋体" w:hAnsi="宋体" w:hint="eastAsia"/>
          <w:bCs/>
          <w:sz w:val="24"/>
        </w:rPr>
        <w:t>账户资产变现后方可列支，有关费用可酌情收取或减免，但不得收取管理费，详见本招募说明书“侧袋机制”章节或相关公告。</w:t>
      </w:r>
    </w:p>
    <w:p w:rsidR="00562FFD" w:rsidRDefault="003317D3">
      <w:pPr>
        <w:spacing w:line="360" w:lineRule="auto"/>
        <w:ind w:firstLineChars="200" w:firstLine="480"/>
        <w:rPr>
          <w:sz w:val="24"/>
          <w:szCs w:val="20"/>
        </w:rPr>
      </w:pPr>
      <w:r>
        <w:rPr>
          <w:rFonts w:hint="eastAsia"/>
          <w:sz w:val="24"/>
          <w:szCs w:val="20"/>
        </w:rPr>
        <w:t>五、基金税收</w:t>
      </w:r>
    </w:p>
    <w:p w:rsidR="00562FFD" w:rsidRDefault="003317D3">
      <w:pPr>
        <w:spacing w:line="360" w:lineRule="auto"/>
        <w:ind w:firstLineChars="200" w:firstLine="480"/>
        <w:rPr>
          <w:sz w:val="24"/>
          <w:szCs w:val="20"/>
        </w:rPr>
      </w:pPr>
      <w:r>
        <w:rPr>
          <w:rFonts w:hint="eastAsia"/>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62FFD" w:rsidRDefault="00562FFD">
      <w:pPr>
        <w:spacing w:line="360" w:lineRule="auto"/>
        <w:ind w:firstLineChars="200" w:firstLine="480"/>
        <w:rPr>
          <w:rFonts w:ascii="宋体" w:hAnsi="宋体"/>
          <w:bCs/>
          <w:sz w:val="24"/>
        </w:rPr>
      </w:pPr>
    </w:p>
    <w:p w:rsidR="00562FFD" w:rsidRDefault="003317D3">
      <w:pPr>
        <w:pStyle w:val="af0"/>
        <w:rPr>
          <w:rFonts w:hAnsi="宋体"/>
          <w:bCs/>
          <w:szCs w:val="28"/>
        </w:rPr>
      </w:pPr>
      <w:bookmarkStart w:id="65" w:name="_Hlt88827255"/>
      <w:bookmarkEnd w:id="65"/>
      <w:r>
        <w:rPr>
          <w:rFonts w:hAnsi="宋体"/>
          <w:bCs/>
          <w:sz w:val="24"/>
          <w:szCs w:val="24"/>
        </w:rPr>
        <w:br w:type="page"/>
      </w:r>
      <w:bookmarkStart w:id="66" w:name="_Toc34222306"/>
      <w:bookmarkStart w:id="67" w:name="_Toc56692697"/>
      <w:r>
        <w:rPr>
          <w:rFonts w:hint="eastAsia"/>
          <w:szCs w:val="28"/>
        </w:rPr>
        <w:lastRenderedPageBreak/>
        <w:t>第十四部分 基金的会计与审计</w:t>
      </w:r>
      <w:bookmarkEnd w:id="64"/>
      <w:bookmarkEnd w:id="66"/>
      <w:bookmarkEnd w:id="67"/>
    </w:p>
    <w:p w:rsidR="00562FFD" w:rsidRDefault="003317D3">
      <w:pPr>
        <w:spacing w:line="360" w:lineRule="auto"/>
        <w:ind w:firstLineChars="200" w:firstLine="480"/>
        <w:rPr>
          <w:sz w:val="24"/>
          <w:szCs w:val="20"/>
        </w:rPr>
      </w:pPr>
      <w:bookmarkStart w:id="68" w:name="_Toc164766396"/>
      <w:r>
        <w:rPr>
          <w:rFonts w:hint="eastAsia"/>
          <w:sz w:val="24"/>
          <w:szCs w:val="20"/>
        </w:rPr>
        <w:t>一、基金会计政策</w:t>
      </w:r>
    </w:p>
    <w:p w:rsidR="00562FFD" w:rsidRDefault="003317D3">
      <w:pPr>
        <w:spacing w:line="360" w:lineRule="auto"/>
        <w:ind w:firstLineChars="200" w:firstLine="480"/>
        <w:rPr>
          <w:sz w:val="24"/>
          <w:szCs w:val="20"/>
        </w:rPr>
      </w:pPr>
      <w:r>
        <w:rPr>
          <w:sz w:val="24"/>
          <w:szCs w:val="20"/>
        </w:rPr>
        <w:t>1</w:t>
      </w:r>
      <w:r>
        <w:rPr>
          <w:rFonts w:hint="eastAsia"/>
          <w:sz w:val="24"/>
          <w:szCs w:val="20"/>
        </w:rPr>
        <w:t>、基金管理人为本基金的基金会计责任方；</w:t>
      </w:r>
    </w:p>
    <w:p w:rsidR="00562FFD" w:rsidRDefault="003317D3">
      <w:pPr>
        <w:spacing w:line="360" w:lineRule="auto"/>
        <w:ind w:firstLineChars="200" w:firstLine="480"/>
        <w:rPr>
          <w:sz w:val="24"/>
          <w:szCs w:val="20"/>
        </w:rPr>
      </w:pPr>
      <w:r>
        <w:rPr>
          <w:sz w:val="24"/>
          <w:szCs w:val="20"/>
        </w:rPr>
        <w:t>2</w:t>
      </w:r>
      <w:r>
        <w:rPr>
          <w:rFonts w:hint="eastAsia"/>
          <w:sz w:val="24"/>
          <w:szCs w:val="20"/>
        </w:rPr>
        <w:t>、基金的会计年度为公历年度的</w:t>
      </w:r>
      <w:r>
        <w:rPr>
          <w:sz w:val="24"/>
          <w:szCs w:val="20"/>
        </w:rPr>
        <w:t>1</w:t>
      </w:r>
      <w:r>
        <w:rPr>
          <w:rFonts w:hint="eastAsia"/>
          <w:sz w:val="24"/>
          <w:szCs w:val="20"/>
        </w:rPr>
        <w:t>月</w:t>
      </w:r>
      <w:r>
        <w:rPr>
          <w:sz w:val="24"/>
          <w:szCs w:val="20"/>
        </w:rPr>
        <w:t>1</w:t>
      </w:r>
      <w:r>
        <w:rPr>
          <w:rFonts w:hint="eastAsia"/>
          <w:sz w:val="24"/>
          <w:szCs w:val="20"/>
        </w:rPr>
        <w:t>日至</w:t>
      </w:r>
      <w:r>
        <w:rPr>
          <w:sz w:val="24"/>
          <w:szCs w:val="20"/>
        </w:rPr>
        <w:t>12</w:t>
      </w:r>
      <w:r>
        <w:rPr>
          <w:rFonts w:hint="eastAsia"/>
          <w:sz w:val="24"/>
          <w:szCs w:val="20"/>
        </w:rPr>
        <w:t>月</w:t>
      </w:r>
      <w:r>
        <w:rPr>
          <w:sz w:val="24"/>
          <w:szCs w:val="20"/>
        </w:rPr>
        <w:t>31</w:t>
      </w:r>
      <w:r>
        <w:rPr>
          <w:rFonts w:hint="eastAsia"/>
          <w:sz w:val="24"/>
          <w:szCs w:val="20"/>
        </w:rPr>
        <w:t>日；基金首次募集的会计年度按如下原则：如果《基金合同》生效少于</w:t>
      </w:r>
      <w:r>
        <w:rPr>
          <w:sz w:val="24"/>
          <w:szCs w:val="20"/>
        </w:rPr>
        <w:t>2</w:t>
      </w:r>
      <w:r>
        <w:rPr>
          <w:rFonts w:hint="eastAsia"/>
          <w:sz w:val="24"/>
          <w:szCs w:val="20"/>
        </w:rPr>
        <w:t>个月，可以并入下一个会计年度</w:t>
      </w:r>
      <w:r>
        <w:rPr>
          <w:rFonts w:hint="eastAsia"/>
          <w:bCs/>
          <w:sz w:val="24"/>
          <w:szCs w:val="20"/>
        </w:rPr>
        <w:t>披露</w:t>
      </w:r>
      <w:r>
        <w:rPr>
          <w:rFonts w:hint="eastAsia"/>
          <w:sz w:val="24"/>
          <w:szCs w:val="20"/>
        </w:rPr>
        <w:t>；</w:t>
      </w:r>
    </w:p>
    <w:p w:rsidR="00562FFD" w:rsidRDefault="003317D3">
      <w:pPr>
        <w:spacing w:line="360" w:lineRule="auto"/>
        <w:ind w:firstLineChars="200" w:firstLine="480"/>
        <w:rPr>
          <w:sz w:val="24"/>
          <w:szCs w:val="20"/>
        </w:rPr>
      </w:pPr>
      <w:r>
        <w:rPr>
          <w:sz w:val="24"/>
          <w:szCs w:val="20"/>
        </w:rPr>
        <w:t>3</w:t>
      </w:r>
      <w:r>
        <w:rPr>
          <w:rFonts w:hint="eastAsia"/>
          <w:sz w:val="24"/>
          <w:szCs w:val="20"/>
        </w:rPr>
        <w:t>、基金核算以人民币为记账本位币，以人民币元为记账单位；</w:t>
      </w:r>
    </w:p>
    <w:p w:rsidR="00562FFD" w:rsidRDefault="003317D3">
      <w:pPr>
        <w:spacing w:line="360" w:lineRule="auto"/>
        <w:ind w:firstLineChars="200" w:firstLine="480"/>
        <w:rPr>
          <w:sz w:val="24"/>
          <w:szCs w:val="20"/>
        </w:rPr>
      </w:pPr>
      <w:r>
        <w:rPr>
          <w:sz w:val="24"/>
          <w:szCs w:val="20"/>
        </w:rPr>
        <w:t>4</w:t>
      </w:r>
      <w:r>
        <w:rPr>
          <w:rFonts w:hint="eastAsia"/>
          <w:sz w:val="24"/>
          <w:szCs w:val="20"/>
        </w:rPr>
        <w:t>、会计制度执行国家有关会计制度；</w:t>
      </w:r>
    </w:p>
    <w:p w:rsidR="00562FFD" w:rsidRDefault="003317D3">
      <w:pPr>
        <w:spacing w:line="360" w:lineRule="auto"/>
        <w:ind w:firstLineChars="200" w:firstLine="480"/>
        <w:rPr>
          <w:sz w:val="24"/>
          <w:szCs w:val="20"/>
        </w:rPr>
      </w:pPr>
      <w:r>
        <w:rPr>
          <w:sz w:val="24"/>
          <w:szCs w:val="20"/>
        </w:rPr>
        <w:t>5</w:t>
      </w:r>
      <w:r>
        <w:rPr>
          <w:rFonts w:hint="eastAsia"/>
          <w:sz w:val="24"/>
          <w:szCs w:val="20"/>
        </w:rPr>
        <w:t>、本基金独立建账、独立核算；</w:t>
      </w:r>
    </w:p>
    <w:p w:rsidR="00562FFD" w:rsidRDefault="003317D3">
      <w:pPr>
        <w:spacing w:line="360" w:lineRule="auto"/>
        <w:ind w:firstLineChars="200" w:firstLine="480"/>
        <w:rPr>
          <w:sz w:val="24"/>
          <w:szCs w:val="20"/>
        </w:rPr>
      </w:pPr>
      <w:r>
        <w:rPr>
          <w:sz w:val="24"/>
          <w:szCs w:val="20"/>
        </w:rPr>
        <w:t>6</w:t>
      </w:r>
      <w:r>
        <w:rPr>
          <w:rFonts w:hint="eastAsia"/>
          <w:sz w:val="24"/>
          <w:szCs w:val="20"/>
        </w:rPr>
        <w:t>、基金管理人及基金托管人各自保留完整的会计账目、凭证并进行日常的会计核算，按照有关规定编制基金会计报表；</w:t>
      </w:r>
    </w:p>
    <w:p w:rsidR="00562FFD" w:rsidRDefault="003317D3">
      <w:pPr>
        <w:spacing w:line="360" w:lineRule="auto"/>
        <w:ind w:firstLineChars="200" w:firstLine="480"/>
        <w:rPr>
          <w:sz w:val="24"/>
          <w:szCs w:val="20"/>
        </w:rPr>
      </w:pPr>
      <w:r>
        <w:rPr>
          <w:sz w:val="24"/>
          <w:szCs w:val="20"/>
        </w:rPr>
        <w:t>7</w:t>
      </w:r>
      <w:r>
        <w:rPr>
          <w:rFonts w:hint="eastAsia"/>
          <w:sz w:val="24"/>
          <w:szCs w:val="20"/>
        </w:rPr>
        <w:t>、基金托管人每月与基金管理人就基金的会计核算、报表编制等进行核对并以书面方式确认。</w:t>
      </w:r>
    </w:p>
    <w:p w:rsidR="00562FFD" w:rsidRDefault="003317D3">
      <w:pPr>
        <w:spacing w:line="360" w:lineRule="auto"/>
        <w:ind w:firstLineChars="200" w:firstLine="480"/>
        <w:rPr>
          <w:sz w:val="24"/>
          <w:szCs w:val="20"/>
        </w:rPr>
      </w:pPr>
      <w:r>
        <w:rPr>
          <w:rFonts w:hint="eastAsia"/>
          <w:sz w:val="24"/>
          <w:szCs w:val="20"/>
        </w:rPr>
        <w:t>二、基金的年度审计</w:t>
      </w:r>
    </w:p>
    <w:p w:rsidR="00562FFD" w:rsidRDefault="003317D3">
      <w:pPr>
        <w:spacing w:line="360" w:lineRule="auto"/>
        <w:ind w:firstLineChars="200" w:firstLine="480"/>
        <w:rPr>
          <w:sz w:val="24"/>
          <w:szCs w:val="20"/>
        </w:rPr>
      </w:pPr>
      <w:r>
        <w:rPr>
          <w:sz w:val="24"/>
          <w:szCs w:val="20"/>
        </w:rPr>
        <w:t>1</w:t>
      </w:r>
      <w:r>
        <w:rPr>
          <w:rFonts w:hint="eastAsia"/>
          <w:sz w:val="24"/>
          <w:szCs w:val="20"/>
        </w:rPr>
        <w:t>、基金管理人聘请与基金管理人、基金托管人相互独立的符合《证券法》规定的会计师事务所及其注册会计师对本基金的年度财务报表进行审计。</w:t>
      </w:r>
    </w:p>
    <w:p w:rsidR="00562FFD" w:rsidRDefault="003317D3">
      <w:pPr>
        <w:spacing w:line="360" w:lineRule="auto"/>
        <w:ind w:firstLineChars="200" w:firstLine="480"/>
        <w:rPr>
          <w:sz w:val="24"/>
          <w:szCs w:val="20"/>
        </w:rPr>
      </w:pPr>
      <w:r>
        <w:rPr>
          <w:sz w:val="24"/>
          <w:szCs w:val="20"/>
        </w:rPr>
        <w:t>2</w:t>
      </w:r>
      <w:r>
        <w:rPr>
          <w:rFonts w:hint="eastAsia"/>
          <w:sz w:val="24"/>
          <w:szCs w:val="20"/>
        </w:rPr>
        <w:t>、会计师事务所更换经办注册会计师，应事先征得基金管理人同意。</w:t>
      </w:r>
    </w:p>
    <w:p w:rsidR="00562FFD" w:rsidRDefault="003317D3">
      <w:pPr>
        <w:spacing w:line="360" w:lineRule="auto"/>
        <w:ind w:firstLineChars="200" w:firstLine="480"/>
        <w:rPr>
          <w:sz w:val="24"/>
          <w:szCs w:val="20"/>
        </w:rPr>
      </w:pPr>
      <w:r>
        <w:rPr>
          <w:sz w:val="24"/>
          <w:szCs w:val="20"/>
        </w:rPr>
        <w:t>3</w:t>
      </w:r>
      <w:r>
        <w:rPr>
          <w:rFonts w:hint="eastAsia"/>
          <w:sz w:val="24"/>
          <w:szCs w:val="20"/>
        </w:rPr>
        <w:t>、基金管理人认为有充足理由更换会计师事务所，须通报基金托管人。更换会计师事务所需</w:t>
      </w:r>
      <w:r>
        <w:rPr>
          <w:rFonts w:ascii="宋体" w:hAnsi="宋体" w:hint="eastAsia"/>
          <w:bCs/>
          <w:sz w:val="24"/>
          <w:szCs w:val="20"/>
        </w:rPr>
        <w:t>按规定</w:t>
      </w:r>
      <w:r>
        <w:rPr>
          <w:rFonts w:hint="eastAsia"/>
          <w:sz w:val="24"/>
          <w:szCs w:val="20"/>
        </w:rPr>
        <w:t>在规定媒介公告。</w:t>
      </w:r>
    </w:p>
    <w:p w:rsidR="00562FFD" w:rsidRDefault="00562FFD">
      <w:pPr>
        <w:spacing w:line="360" w:lineRule="auto"/>
        <w:ind w:firstLineChars="200" w:firstLine="480"/>
        <w:rPr>
          <w:rFonts w:ascii="宋体" w:hAnsi="宋体"/>
          <w:bCs/>
          <w:sz w:val="24"/>
        </w:rPr>
      </w:pPr>
    </w:p>
    <w:p w:rsidR="00562FFD" w:rsidRDefault="003317D3">
      <w:pPr>
        <w:pStyle w:val="af0"/>
        <w:rPr>
          <w:rFonts w:hAnsi="宋体"/>
          <w:bCs/>
          <w:szCs w:val="28"/>
        </w:rPr>
      </w:pPr>
      <w:bookmarkStart w:id="69" w:name="_Hlt4221115"/>
      <w:bookmarkEnd w:id="69"/>
      <w:r>
        <w:rPr>
          <w:rFonts w:hAnsi="宋体"/>
          <w:bCs/>
          <w:sz w:val="24"/>
        </w:rPr>
        <w:br w:type="page"/>
      </w:r>
      <w:bookmarkStart w:id="70" w:name="_Toc56692698"/>
      <w:bookmarkStart w:id="71" w:name="_Toc34222307"/>
      <w:r>
        <w:rPr>
          <w:rFonts w:hint="eastAsia"/>
          <w:szCs w:val="28"/>
        </w:rPr>
        <w:lastRenderedPageBreak/>
        <w:t>第十五部分 基金的信息披露</w:t>
      </w:r>
      <w:bookmarkEnd w:id="68"/>
      <w:bookmarkEnd w:id="70"/>
      <w:bookmarkEnd w:id="71"/>
    </w:p>
    <w:p w:rsidR="00562FFD" w:rsidRDefault="003317D3">
      <w:pPr>
        <w:spacing w:line="360" w:lineRule="auto"/>
        <w:ind w:firstLineChars="200" w:firstLine="480"/>
        <w:rPr>
          <w:rFonts w:ascii="宋体" w:hAnsi="宋体"/>
          <w:bCs/>
          <w:sz w:val="24"/>
          <w:szCs w:val="20"/>
        </w:rPr>
      </w:pPr>
      <w:r>
        <w:rPr>
          <w:rFonts w:ascii="宋体" w:hAnsi="宋体" w:hint="eastAsia"/>
          <w:sz w:val="24"/>
          <w:szCs w:val="20"/>
        </w:rPr>
        <w:t>一、本基金的信息披露应符合《基金法》、《运作办法》、《信息披露办法》、</w:t>
      </w:r>
      <w:r>
        <w:rPr>
          <w:rFonts w:ascii="宋体" w:hAnsi="宋体" w:hint="eastAsia"/>
          <w:bCs/>
          <w:sz w:val="24"/>
          <w:szCs w:val="20"/>
        </w:rPr>
        <w:t>《流动性风险管理规定》、</w:t>
      </w:r>
      <w:r>
        <w:rPr>
          <w:rFonts w:ascii="宋体" w:hAnsi="宋体" w:hint="eastAsia"/>
          <w:sz w:val="24"/>
          <w:szCs w:val="20"/>
        </w:rPr>
        <w:t>《基金合同》及其他有关规定。相关法律法规关于信息披露的规定发生变化时，本基金从其最新规定。</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二、信息披露义务人</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本基金信息披露义务人包括基金管理人、基金托管人、召集基金份额持有人大会的基金份额持有人等法律法规和中国证监会规定的自然人、法人和</w:t>
      </w:r>
      <w:r>
        <w:rPr>
          <w:rFonts w:ascii="宋体" w:hAnsi="宋体"/>
          <w:bCs/>
          <w:sz w:val="24"/>
          <w:szCs w:val="20"/>
        </w:rPr>
        <w:t>非法人</w:t>
      </w:r>
      <w:r>
        <w:rPr>
          <w:rFonts w:ascii="宋体" w:hAnsi="宋体" w:hint="eastAsia"/>
          <w:sz w:val="24"/>
          <w:szCs w:val="20"/>
        </w:rPr>
        <w:t>组织。</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本基金信息披露义务人</w:t>
      </w:r>
      <w:r>
        <w:rPr>
          <w:rFonts w:ascii="宋体" w:hAnsi="宋体" w:hint="eastAsia"/>
          <w:bCs/>
          <w:sz w:val="24"/>
          <w:szCs w:val="20"/>
        </w:rPr>
        <w:t>以保护基金份额持有人利益为根本出发点，</w:t>
      </w:r>
      <w:r>
        <w:rPr>
          <w:rFonts w:ascii="宋体" w:hAnsi="宋体" w:hint="eastAsia"/>
          <w:sz w:val="24"/>
          <w:szCs w:val="20"/>
        </w:rPr>
        <w:t>按照法律法规和中国证监会的规定披露基金信息，并保证所披露信息的真实性、准确性</w:t>
      </w:r>
      <w:r>
        <w:rPr>
          <w:rFonts w:ascii="宋体" w:hAnsi="宋体" w:hint="eastAsia"/>
          <w:bCs/>
          <w:sz w:val="24"/>
          <w:szCs w:val="20"/>
        </w:rPr>
        <w:t>、</w:t>
      </w:r>
      <w:r>
        <w:rPr>
          <w:rFonts w:ascii="宋体" w:hAnsi="宋体" w:hint="eastAsia"/>
          <w:sz w:val="24"/>
          <w:szCs w:val="20"/>
        </w:rPr>
        <w:t>完整性</w:t>
      </w:r>
      <w:r>
        <w:rPr>
          <w:rFonts w:ascii="宋体" w:hAnsi="宋体" w:hint="eastAsia"/>
          <w:bCs/>
          <w:sz w:val="24"/>
          <w:szCs w:val="20"/>
        </w:rPr>
        <w:t>、及时性、简明性和易得性</w:t>
      </w:r>
      <w:r>
        <w:rPr>
          <w:rFonts w:ascii="宋体" w:hAnsi="宋体" w:hint="eastAsia"/>
          <w:sz w:val="24"/>
          <w:szCs w:val="20"/>
        </w:rPr>
        <w:t>。</w:t>
      </w:r>
    </w:p>
    <w:p w:rsidR="00562FFD" w:rsidRDefault="003317D3">
      <w:pPr>
        <w:spacing w:line="360" w:lineRule="auto"/>
        <w:ind w:firstLineChars="200" w:firstLine="480"/>
        <w:rPr>
          <w:rFonts w:ascii="宋体" w:hAnsi="宋体"/>
          <w:bCs/>
          <w:sz w:val="24"/>
          <w:szCs w:val="20"/>
        </w:rPr>
      </w:pPr>
      <w:r>
        <w:rPr>
          <w:rFonts w:ascii="宋体" w:hAnsi="宋体" w:hint="eastAsia"/>
          <w:sz w:val="24"/>
          <w:szCs w:val="20"/>
        </w:rPr>
        <w:t>本基金信息披露义务人应当在中国证监会规定时间内，将应予披露的基金信息通过符合中国证监会规定条件的</w:t>
      </w:r>
      <w:r>
        <w:rPr>
          <w:rFonts w:ascii="宋体" w:hAnsi="宋体" w:hint="eastAsia"/>
          <w:bCs/>
          <w:sz w:val="24"/>
          <w:szCs w:val="20"/>
        </w:rPr>
        <w:t>全国性报刊（以下简称“规定报刊”）及《信息披露办法》规定的互联网网站（以下简称“规定网站”）</w:t>
      </w:r>
      <w:r>
        <w:rPr>
          <w:rFonts w:ascii="宋体" w:hAnsi="宋体"/>
          <w:bCs/>
          <w:sz w:val="24"/>
          <w:szCs w:val="20"/>
        </w:rPr>
        <w:t>等</w:t>
      </w:r>
      <w:r>
        <w:rPr>
          <w:rFonts w:ascii="宋体" w:hAnsi="宋体" w:hint="eastAsia"/>
          <w:sz w:val="24"/>
          <w:szCs w:val="20"/>
        </w:rPr>
        <w:t>媒介披露，并保证基金投资者能够按照《基金合同》约定的时间和方式查阅或者复制公开披露的信息资料。</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三、本基金信息披露义务人承诺公开披露的基金信息，不得有下列行为：</w:t>
      </w:r>
    </w:p>
    <w:p w:rsidR="00562FFD" w:rsidRDefault="003317D3">
      <w:pPr>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、虚假记载、误导性陈述或者重大遗漏；</w:t>
      </w:r>
    </w:p>
    <w:p w:rsidR="00562FFD" w:rsidRDefault="003317D3">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、对证券投资业绩进行预测；</w:t>
      </w:r>
    </w:p>
    <w:p w:rsidR="00562FFD" w:rsidRDefault="003317D3">
      <w:pPr>
        <w:spacing w:line="360" w:lineRule="auto"/>
        <w:ind w:firstLineChars="200" w:firstLine="480"/>
        <w:rPr>
          <w:rFonts w:ascii="宋体" w:hAnsi="宋体"/>
          <w:sz w:val="24"/>
          <w:szCs w:val="20"/>
        </w:rPr>
      </w:pPr>
      <w:r>
        <w:rPr>
          <w:rFonts w:ascii="宋体" w:hAnsi="宋体"/>
          <w:sz w:val="24"/>
          <w:szCs w:val="20"/>
        </w:rPr>
        <w:t>3</w:t>
      </w:r>
      <w:r>
        <w:rPr>
          <w:rFonts w:ascii="宋体" w:hAnsi="宋体" w:hint="eastAsia"/>
          <w:sz w:val="24"/>
          <w:szCs w:val="20"/>
        </w:rPr>
        <w:t>、违规承诺收益或者承担损失；</w:t>
      </w:r>
    </w:p>
    <w:p w:rsidR="00562FFD" w:rsidRDefault="003317D3">
      <w:pPr>
        <w:spacing w:line="360" w:lineRule="auto"/>
        <w:ind w:firstLineChars="200" w:firstLine="480"/>
        <w:rPr>
          <w:rFonts w:ascii="宋体" w:hAnsi="宋体"/>
          <w:sz w:val="24"/>
          <w:szCs w:val="20"/>
        </w:rPr>
      </w:pPr>
      <w:r>
        <w:rPr>
          <w:rFonts w:ascii="宋体" w:hAnsi="宋体"/>
          <w:sz w:val="24"/>
          <w:szCs w:val="20"/>
        </w:rPr>
        <w:t>4</w:t>
      </w:r>
      <w:r>
        <w:rPr>
          <w:rFonts w:ascii="宋体" w:hAnsi="宋体" w:hint="eastAsia"/>
          <w:sz w:val="24"/>
          <w:szCs w:val="20"/>
        </w:rPr>
        <w:t>、诋毁其他基金管理人、基金托管人或者基金销售机构；</w:t>
      </w:r>
    </w:p>
    <w:p w:rsidR="00562FFD" w:rsidRDefault="003317D3">
      <w:pPr>
        <w:spacing w:line="360" w:lineRule="auto"/>
        <w:ind w:firstLineChars="200" w:firstLine="480"/>
        <w:rPr>
          <w:rFonts w:ascii="宋体" w:hAnsi="宋体"/>
          <w:sz w:val="24"/>
          <w:szCs w:val="20"/>
        </w:rPr>
      </w:pPr>
      <w:r>
        <w:rPr>
          <w:rFonts w:ascii="宋体" w:hAnsi="宋体"/>
          <w:sz w:val="24"/>
          <w:szCs w:val="20"/>
        </w:rPr>
        <w:t>5</w:t>
      </w:r>
      <w:r>
        <w:rPr>
          <w:rFonts w:ascii="宋体" w:hAnsi="宋体" w:hint="eastAsia"/>
          <w:sz w:val="24"/>
          <w:szCs w:val="20"/>
        </w:rPr>
        <w:t>、登载任何自然人、法人</w:t>
      </w:r>
      <w:r>
        <w:rPr>
          <w:rFonts w:ascii="宋体" w:hAnsi="宋体" w:hint="eastAsia"/>
          <w:bCs/>
          <w:sz w:val="24"/>
          <w:szCs w:val="20"/>
        </w:rPr>
        <w:t>和</w:t>
      </w:r>
      <w:r>
        <w:rPr>
          <w:rFonts w:ascii="宋体" w:hAnsi="宋体"/>
          <w:bCs/>
          <w:sz w:val="24"/>
          <w:szCs w:val="20"/>
        </w:rPr>
        <w:t>非法人</w:t>
      </w:r>
      <w:r>
        <w:rPr>
          <w:rFonts w:ascii="宋体" w:hAnsi="宋体" w:hint="eastAsia"/>
          <w:sz w:val="24"/>
          <w:szCs w:val="20"/>
        </w:rPr>
        <w:t>组织的祝贺性、恭维性或推荐性的文字；</w:t>
      </w:r>
    </w:p>
    <w:p w:rsidR="00562FFD" w:rsidRDefault="003317D3">
      <w:pPr>
        <w:spacing w:line="360" w:lineRule="auto"/>
        <w:ind w:firstLineChars="200" w:firstLine="480"/>
        <w:rPr>
          <w:rFonts w:ascii="宋体" w:hAnsi="宋体"/>
          <w:bCs/>
          <w:sz w:val="24"/>
          <w:szCs w:val="20"/>
        </w:rPr>
      </w:pPr>
      <w:r>
        <w:rPr>
          <w:rFonts w:ascii="宋体" w:hAnsi="宋体"/>
          <w:sz w:val="24"/>
          <w:szCs w:val="20"/>
        </w:rPr>
        <w:t>6</w:t>
      </w:r>
      <w:r>
        <w:rPr>
          <w:rFonts w:ascii="宋体" w:hAnsi="宋体" w:hint="eastAsia"/>
          <w:sz w:val="24"/>
          <w:szCs w:val="20"/>
        </w:rPr>
        <w:t>、中国证监会禁止的其他行为。</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四、本基金公开披露的信息应采用中文文本。如同时采用外文文本的，基金信息披露义务人应保证</w:t>
      </w:r>
      <w:r>
        <w:rPr>
          <w:rFonts w:ascii="宋体" w:hAnsi="宋体" w:hint="eastAsia"/>
          <w:bCs/>
          <w:sz w:val="24"/>
          <w:szCs w:val="20"/>
        </w:rPr>
        <w:t>不同</w:t>
      </w:r>
      <w:r>
        <w:rPr>
          <w:rFonts w:ascii="宋体" w:hAnsi="宋体" w:hint="eastAsia"/>
          <w:sz w:val="24"/>
          <w:szCs w:val="20"/>
        </w:rPr>
        <w:t>文本的内容一致。</w:t>
      </w:r>
      <w:r>
        <w:rPr>
          <w:rFonts w:ascii="宋体" w:hAnsi="宋体" w:hint="eastAsia"/>
          <w:bCs/>
          <w:sz w:val="24"/>
          <w:szCs w:val="20"/>
        </w:rPr>
        <w:t>不同</w:t>
      </w:r>
      <w:r>
        <w:rPr>
          <w:rFonts w:ascii="宋体" w:hAnsi="宋体" w:hint="eastAsia"/>
          <w:sz w:val="24"/>
          <w:szCs w:val="20"/>
        </w:rPr>
        <w:t>文本</w:t>
      </w:r>
      <w:r>
        <w:rPr>
          <w:rFonts w:ascii="宋体" w:hAnsi="宋体" w:hint="eastAsia"/>
          <w:bCs/>
          <w:sz w:val="24"/>
          <w:szCs w:val="20"/>
        </w:rPr>
        <w:t>之间</w:t>
      </w:r>
      <w:r>
        <w:rPr>
          <w:rFonts w:ascii="宋体" w:hAnsi="宋体" w:hint="eastAsia"/>
          <w:sz w:val="24"/>
          <w:szCs w:val="20"/>
        </w:rPr>
        <w:t>发生歧义的，以中文文本为准。</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本基金公开披露的信息采用阿拉伯数字；除特别说明外，货币单位为人民币元。</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五、公开披露的基金信息</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lastRenderedPageBreak/>
        <w:t>公开披露的基金信息包括：</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（一）基金招募说明书、《基金合同》、基金托管协议</w:t>
      </w:r>
      <w:r>
        <w:rPr>
          <w:rFonts w:ascii="宋体" w:hAnsi="宋体" w:hint="eastAsia"/>
          <w:bCs/>
          <w:sz w:val="24"/>
          <w:szCs w:val="20"/>
        </w:rPr>
        <w:t>、基金产品资料概要</w:t>
      </w:r>
    </w:p>
    <w:p w:rsidR="00562FFD" w:rsidRDefault="003317D3">
      <w:pPr>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、《基金合同》是界定《基金合同》当事人的各项权利、义务关系，明确基金份额持有人大会召开的规则及具体程序，说明基金产品的特性等涉及基金投资者重大利益的事项的法律文件。</w:t>
      </w:r>
    </w:p>
    <w:p w:rsidR="00562FFD" w:rsidRDefault="003317D3">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基金招募说明书应当最大限度地披露影响基金投资者决策的全部事项，说明基金认购、申购和赎回安排、基金投资、基金产品特性、风险揭示、信息披露及基金份额持有人服务等内容。《基金合同》生效后，基金</w:t>
      </w:r>
      <w:r>
        <w:rPr>
          <w:rFonts w:ascii="宋体" w:hAnsi="宋体" w:hint="eastAsia"/>
          <w:bCs/>
          <w:sz w:val="24"/>
          <w:szCs w:val="20"/>
        </w:rPr>
        <w:t>招募说明书的信息发生重大变更的，基金</w:t>
      </w:r>
      <w:r>
        <w:rPr>
          <w:rFonts w:ascii="宋体" w:hAnsi="宋体" w:hint="eastAsia"/>
          <w:sz w:val="24"/>
          <w:szCs w:val="20"/>
        </w:rPr>
        <w:t>管理人</w:t>
      </w:r>
      <w:r>
        <w:rPr>
          <w:rFonts w:ascii="宋体" w:hAnsi="宋体" w:hint="eastAsia"/>
          <w:bCs/>
          <w:sz w:val="24"/>
          <w:szCs w:val="20"/>
        </w:rPr>
        <w:t>应当</w:t>
      </w:r>
      <w:r>
        <w:rPr>
          <w:rFonts w:ascii="宋体" w:hAnsi="宋体" w:hint="eastAsia"/>
          <w:sz w:val="24"/>
          <w:szCs w:val="20"/>
        </w:rPr>
        <w:t>在</w:t>
      </w:r>
      <w:r>
        <w:rPr>
          <w:rFonts w:ascii="宋体" w:hAnsi="宋体" w:hint="eastAsia"/>
          <w:bCs/>
          <w:sz w:val="24"/>
          <w:szCs w:val="20"/>
        </w:rPr>
        <w:t>三个工作日内</w:t>
      </w:r>
      <w:r>
        <w:rPr>
          <w:rFonts w:ascii="宋体" w:hAnsi="宋体" w:hint="eastAsia"/>
          <w:sz w:val="24"/>
          <w:szCs w:val="20"/>
        </w:rPr>
        <w:t>，更新</w:t>
      </w:r>
      <w:r>
        <w:rPr>
          <w:rFonts w:ascii="宋体" w:hAnsi="宋体" w:hint="eastAsia"/>
          <w:bCs/>
          <w:sz w:val="24"/>
          <w:szCs w:val="20"/>
        </w:rPr>
        <w:t>基金</w:t>
      </w:r>
      <w:r>
        <w:rPr>
          <w:rFonts w:ascii="宋体" w:hAnsi="宋体" w:hint="eastAsia"/>
          <w:sz w:val="24"/>
          <w:szCs w:val="20"/>
        </w:rPr>
        <w:t>招募说明书并登载在</w:t>
      </w:r>
      <w:r>
        <w:rPr>
          <w:rFonts w:ascii="宋体" w:hAnsi="宋体" w:hint="eastAsia"/>
          <w:bCs/>
          <w:sz w:val="24"/>
          <w:szCs w:val="20"/>
        </w:rPr>
        <w:t>规定网站</w:t>
      </w:r>
      <w:r>
        <w:rPr>
          <w:rFonts w:ascii="宋体" w:hAnsi="宋体" w:hint="eastAsia"/>
          <w:sz w:val="24"/>
          <w:szCs w:val="20"/>
        </w:rPr>
        <w:t>上</w:t>
      </w:r>
      <w:r>
        <w:rPr>
          <w:rFonts w:ascii="宋体" w:hAnsi="宋体" w:hint="eastAsia"/>
          <w:bCs/>
          <w:sz w:val="24"/>
          <w:szCs w:val="20"/>
        </w:rPr>
        <w:t>；基金</w:t>
      </w:r>
      <w:r>
        <w:rPr>
          <w:rFonts w:ascii="宋体" w:hAnsi="宋体" w:hint="eastAsia"/>
          <w:sz w:val="24"/>
          <w:szCs w:val="20"/>
        </w:rPr>
        <w:t>招募说明书</w:t>
      </w:r>
      <w:r>
        <w:rPr>
          <w:rFonts w:ascii="宋体" w:hAnsi="宋体" w:hint="eastAsia"/>
          <w:bCs/>
          <w:sz w:val="24"/>
          <w:szCs w:val="20"/>
        </w:rPr>
        <w:t>其他信息发生变更的，</w:t>
      </w:r>
      <w:r>
        <w:rPr>
          <w:rFonts w:ascii="宋体" w:hAnsi="宋体" w:hint="eastAsia"/>
          <w:sz w:val="24"/>
          <w:szCs w:val="20"/>
        </w:rPr>
        <w:t>基金管理人</w:t>
      </w:r>
      <w:r>
        <w:rPr>
          <w:rFonts w:ascii="宋体" w:hAnsi="宋体" w:hint="eastAsia"/>
          <w:bCs/>
          <w:sz w:val="24"/>
          <w:szCs w:val="20"/>
        </w:rPr>
        <w:t>至少每年更新一次。基金终止运作的，基金管理人不再</w:t>
      </w:r>
      <w:r>
        <w:rPr>
          <w:rFonts w:ascii="宋体" w:hAnsi="宋体" w:hint="eastAsia"/>
          <w:sz w:val="24"/>
          <w:szCs w:val="20"/>
        </w:rPr>
        <w:t>更新</w:t>
      </w:r>
      <w:r>
        <w:rPr>
          <w:rFonts w:ascii="宋体" w:hAnsi="宋体" w:hint="eastAsia"/>
          <w:bCs/>
          <w:sz w:val="24"/>
          <w:szCs w:val="20"/>
        </w:rPr>
        <w:t>基金</w:t>
      </w:r>
      <w:r>
        <w:rPr>
          <w:rFonts w:ascii="宋体" w:hAnsi="宋体" w:hint="eastAsia"/>
          <w:sz w:val="24"/>
          <w:szCs w:val="20"/>
        </w:rPr>
        <w:t>招募说明书。</w:t>
      </w:r>
    </w:p>
    <w:p w:rsidR="00562FFD" w:rsidRDefault="003317D3">
      <w:pPr>
        <w:spacing w:line="360" w:lineRule="auto"/>
        <w:ind w:firstLineChars="200" w:firstLine="480"/>
        <w:rPr>
          <w:rFonts w:ascii="宋体" w:hAnsi="宋体"/>
          <w:sz w:val="24"/>
          <w:szCs w:val="20"/>
        </w:rPr>
      </w:pPr>
      <w:r>
        <w:rPr>
          <w:rFonts w:ascii="宋体" w:hAnsi="宋体"/>
          <w:sz w:val="24"/>
          <w:szCs w:val="20"/>
        </w:rPr>
        <w:t>3</w:t>
      </w:r>
      <w:r>
        <w:rPr>
          <w:rFonts w:ascii="宋体" w:hAnsi="宋体" w:hint="eastAsia"/>
          <w:sz w:val="24"/>
          <w:szCs w:val="20"/>
        </w:rPr>
        <w:t>、基金托管协议是界定基金托管人和基金管理人在基金财产保管及基金运作监督等活动中的权利、义务关系的法律文件。</w:t>
      </w:r>
    </w:p>
    <w:p w:rsidR="00562FFD" w:rsidRDefault="003317D3">
      <w:pPr>
        <w:spacing w:line="360" w:lineRule="auto"/>
        <w:ind w:firstLineChars="200" w:firstLine="480"/>
        <w:rPr>
          <w:rFonts w:ascii="宋体" w:hAnsi="宋体"/>
          <w:bCs/>
          <w:sz w:val="24"/>
          <w:szCs w:val="20"/>
        </w:rPr>
      </w:pPr>
      <w:r>
        <w:rPr>
          <w:rFonts w:ascii="宋体" w:hAnsi="宋体"/>
          <w:bCs/>
          <w:sz w:val="24"/>
          <w:szCs w:val="20"/>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ascii="宋体" w:hAnsi="宋体" w:hint="eastAsia"/>
          <w:bCs/>
          <w:sz w:val="24"/>
          <w:szCs w:val="20"/>
        </w:rPr>
        <w:t>规定网站及基金销售机构网站或营业网点；基金产品资料概要其他信息发生变更的，基金管理人至少每年更新一次。基金终止运作的，基金管理人不再更新基金产品资料概要。</w:t>
      </w:r>
    </w:p>
    <w:p w:rsidR="00562FFD" w:rsidRDefault="003317D3">
      <w:pPr>
        <w:spacing w:line="360" w:lineRule="auto"/>
        <w:ind w:firstLineChars="200" w:firstLine="480"/>
        <w:rPr>
          <w:rFonts w:ascii="宋体" w:hAnsi="宋体"/>
          <w:sz w:val="24"/>
          <w:szCs w:val="20"/>
        </w:rPr>
      </w:pPr>
      <w:r>
        <w:rPr>
          <w:rFonts w:ascii="宋体" w:hAnsi="宋体"/>
          <w:sz w:val="24"/>
          <w:szCs w:val="20"/>
        </w:rPr>
        <w:t>5、</w:t>
      </w:r>
      <w:r>
        <w:rPr>
          <w:rFonts w:ascii="宋体" w:hAnsi="宋体" w:hint="eastAsia"/>
          <w:sz w:val="24"/>
          <w:szCs w:val="20"/>
        </w:rPr>
        <w:t>基金募集申请经中国证监会注册后，基金管理人应在基金份额发售的</w:t>
      </w:r>
      <w:r>
        <w:rPr>
          <w:rFonts w:ascii="宋体" w:hAnsi="宋体"/>
          <w:sz w:val="24"/>
          <w:szCs w:val="20"/>
        </w:rPr>
        <w:t>3</w:t>
      </w:r>
      <w:r>
        <w:rPr>
          <w:rFonts w:ascii="宋体" w:hAnsi="宋体" w:hint="eastAsia"/>
          <w:sz w:val="24"/>
          <w:szCs w:val="20"/>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（二）基金份额发售公告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基金管理人应当就基金份额发售的具体事宜编制基金份额发售公告，并在披露招募说明书的当日登载于规定媒介上。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（三）《基金合同》生效公告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lastRenderedPageBreak/>
        <w:t>基金管理人应当在收到中国证监会确认文件的次日在规定报刊和规定网站上登载《基金合同》生效公告。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（四）基金净值</w:t>
      </w:r>
      <w:r>
        <w:rPr>
          <w:rFonts w:ascii="宋体" w:hAnsi="宋体" w:hint="eastAsia"/>
          <w:bCs/>
          <w:sz w:val="24"/>
          <w:szCs w:val="20"/>
        </w:rPr>
        <w:t>信息</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《基金合同》生效后，在开始办理基金份额申购或者赎回前，基金管理人应当至少每周在规定网站披露一次各类基金份额的基金份额净值和基金份额累计净值。</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合同》生效后，在开始办理基金份额申购或者赎回后，基金管理人应当在不晚于每个开放日的次日，通过规定网站、基金销售机构网站或者营业网点披露开放日的各类基金份额的基金份额净值和基金份额累计净值。</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基金管理人应当在不晚于半年度和年度最后一日的次日，在规定网站公告半年度和年度最后一日各类基金份额的基金份额净值和基金份额累计净值。</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（五）基金份额申购、赎回价格</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基金管理人应当在《基金合同》、招募说明书等信息披露文件上载</w:t>
      </w:r>
      <w:proofErr w:type="gramStart"/>
      <w:r>
        <w:rPr>
          <w:rFonts w:ascii="宋体" w:hAnsi="宋体" w:hint="eastAsia"/>
          <w:sz w:val="24"/>
          <w:szCs w:val="20"/>
        </w:rPr>
        <w:t>明基金</w:t>
      </w:r>
      <w:proofErr w:type="gramEnd"/>
      <w:r>
        <w:rPr>
          <w:rFonts w:ascii="宋体" w:hAnsi="宋体" w:hint="eastAsia"/>
          <w:sz w:val="24"/>
          <w:szCs w:val="20"/>
        </w:rPr>
        <w:t>份额申购、赎回价格的计算方式及有关申购、赎回费率，并保证投资者能够在基金</w:t>
      </w:r>
      <w:r>
        <w:rPr>
          <w:rFonts w:ascii="宋体" w:hAnsi="宋体" w:hint="eastAsia"/>
          <w:bCs/>
          <w:sz w:val="24"/>
          <w:szCs w:val="20"/>
        </w:rPr>
        <w:t>销售机构网站或营业</w:t>
      </w:r>
      <w:r>
        <w:rPr>
          <w:rFonts w:ascii="宋体" w:hAnsi="宋体" w:hint="eastAsia"/>
          <w:sz w:val="24"/>
          <w:szCs w:val="20"/>
        </w:rPr>
        <w:t>网点查阅或者复制前述信息资料。</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（六）基金定期报告，包括基金年度报告、基金</w:t>
      </w:r>
      <w:r>
        <w:rPr>
          <w:rFonts w:ascii="宋体" w:hAnsi="宋体" w:hint="eastAsia"/>
          <w:bCs/>
          <w:sz w:val="24"/>
          <w:szCs w:val="20"/>
        </w:rPr>
        <w:t>中期</w:t>
      </w:r>
      <w:r>
        <w:rPr>
          <w:rFonts w:ascii="宋体" w:hAnsi="宋体" w:hint="eastAsia"/>
          <w:sz w:val="24"/>
          <w:szCs w:val="20"/>
        </w:rPr>
        <w:t>报告和基金季度报告（含资产组合季度报告）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基金管理人应当在每年结束之日起</w:t>
      </w:r>
      <w:r>
        <w:rPr>
          <w:rFonts w:ascii="宋体" w:hAnsi="宋体" w:hint="eastAsia"/>
          <w:bCs/>
          <w:sz w:val="24"/>
          <w:szCs w:val="20"/>
        </w:rPr>
        <w:t>三个月内</w:t>
      </w:r>
      <w:r>
        <w:rPr>
          <w:rFonts w:ascii="宋体" w:hAnsi="宋体" w:hint="eastAsia"/>
          <w:sz w:val="24"/>
          <w:szCs w:val="20"/>
        </w:rPr>
        <w:t>，编制完成基金年度报告，</w:t>
      </w:r>
      <w:r>
        <w:rPr>
          <w:rFonts w:ascii="宋体" w:hAnsi="宋体" w:hint="eastAsia"/>
          <w:bCs/>
          <w:sz w:val="24"/>
          <w:szCs w:val="20"/>
        </w:rPr>
        <w:t>将年度报告登载在规定网站上，</w:t>
      </w:r>
      <w:r>
        <w:rPr>
          <w:rFonts w:ascii="宋体" w:hAnsi="宋体" w:hint="eastAsia"/>
          <w:sz w:val="24"/>
          <w:szCs w:val="20"/>
        </w:rPr>
        <w:t>并将年度报告</w:t>
      </w:r>
      <w:r>
        <w:rPr>
          <w:rFonts w:ascii="宋体" w:hAnsi="宋体" w:hint="eastAsia"/>
          <w:bCs/>
          <w:sz w:val="24"/>
          <w:szCs w:val="20"/>
        </w:rPr>
        <w:t>提示性公告</w:t>
      </w:r>
      <w:r>
        <w:rPr>
          <w:rFonts w:ascii="宋体" w:hAnsi="宋体" w:hint="eastAsia"/>
          <w:sz w:val="24"/>
          <w:szCs w:val="20"/>
        </w:rPr>
        <w:t>登载在规定报刊上。基金年度报告</w:t>
      </w:r>
      <w:r>
        <w:rPr>
          <w:rFonts w:ascii="宋体" w:hAnsi="宋体" w:hint="eastAsia"/>
          <w:bCs/>
          <w:sz w:val="24"/>
          <w:szCs w:val="20"/>
        </w:rPr>
        <w:t>中</w:t>
      </w:r>
      <w:r>
        <w:rPr>
          <w:rFonts w:ascii="宋体" w:hAnsi="宋体" w:hint="eastAsia"/>
          <w:sz w:val="24"/>
          <w:szCs w:val="20"/>
        </w:rPr>
        <w:t>的财务会计报告应当经过符合《证券法》规定的</w:t>
      </w:r>
      <w:r>
        <w:rPr>
          <w:rFonts w:ascii="宋体" w:hAnsi="宋体" w:hint="eastAsia"/>
          <w:bCs/>
          <w:sz w:val="24"/>
          <w:szCs w:val="20"/>
        </w:rPr>
        <w:t>会计师事务所</w:t>
      </w:r>
      <w:r>
        <w:rPr>
          <w:rFonts w:ascii="宋体" w:hAnsi="宋体" w:hint="eastAsia"/>
          <w:sz w:val="24"/>
          <w:szCs w:val="20"/>
        </w:rPr>
        <w:t>审计。</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基金管理人应当在上半年结束之日起</w:t>
      </w:r>
      <w:r>
        <w:rPr>
          <w:rFonts w:ascii="宋体" w:hAnsi="宋体" w:hint="eastAsia"/>
          <w:bCs/>
          <w:sz w:val="24"/>
          <w:szCs w:val="20"/>
        </w:rPr>
        <w:t>两个</w:t>
      </w:r>
      <w:r>
        <w:rPr>
          <w:rFonts w:ascii="宋体" w:hAnsi="宋体"/>
          <w:bCs/>
          <w:sz w:val="24"/>
          <w:szCs w:val="20"/>
        </w:rPr>
        <w:t>月</w:t>
      </w:r>
      <w:r>
        <w:rPr>
          <w:rFonts w:ascii="宋体" w:hAnsi="宋体" w:hint="eastAsia"/>
          <w:bCs/>
          <w:sz w:val="24"/>
          <w:szCs w:val="20"/>
        </w:rPr>
        <w:t>内</w:t>
      </w:r>
      <w:r>
        <w:rPr>
          <w:rFonts w:ascii="宋体" w:hAnsi="宋体" w:hint="eastAsia"/>
          <w:sz w:val="24"/>
          <w:szCs w:val="20"/>
        </w:rPr>
        <w:t>，编制完成基金</w:t>
      </w:r>
      <w:r>
        <w:rPr>
          <w:rFonts w:ascii="宋体" w:hAnsi="宋体" w:hint="eastAsia"/>
          <w:bCs/>
          <w:sz w:val="24"/>
          <w:szCs w:val="20"/>
        </w:rPr>
        <w:t>中期</w:t>
      </w:r>
      <w:r>
        <w:rPr>
          <w:rFonts w:ascii="宋体" w:hAnsi="宋体" w:hint="eastAsia"/>
          <w:sz w:val="24"/>
          <w:szCs w:val="20"/>
        </w:rPr>
        <w:t>报告，将</w:t>
      </w:r>
      <w:r>
        <w:rPr>
          <w:rFonts w:ascii="宋体" w:hAnsi="宋体" w:hint="eastAsia"/>
          <w:bCs/>
          <w:sz w:val="24"/>
          <w:szCs w:val="20"/>
        </w:rPr>
        <w:t>中期</w:t>
      </w:r>
      <w:r>
        <w:rPr>
          <w:rFonts w:ascii="宋体" w:hAnsi="宋体" w:hint="eastAsia"/>
          <w:sz w:val="24"/>
          <w:szCs w:val="20"/>
        </w:rPr>
        <w:t>报告登载在</w:t>
      </w:r>
      <w:r>
        <w:rPr>
          <w:rFonts w:ascii="宋体" w:hAnsi="宋体" w:hint="eastAsia"/>
          <w:bCs/>
          <w:sz w:val="24"/>
          <w:szCs w:val="20"/>
        </w:rPr>
        <w:t>规定网站</w:t>
      </w:r>
      <w:r>
        <w:rPr>
          <w:rFonts w:ascii="宋体" w:hAnsi="宋体" w:hint="eastAsia"/>
          <w:sz w:val="24"/>
          <w:szCs w:val="20"/>
        </w:rPr>
        <w:t>上，</w:t>
      </w:r>
      <w:r>
        <w:rPr>
          <w:rFonts w:ascii="宋体" w:hAnsi="宋体" w:hint="eastAsia"/>
          <w:bCs/>
          <w:sz w:val="24"/>
          <w:szCs w:val="20"/>
        </w:rPr>
        <w:t>并</w:t>
      </w:r>
      <w:r>
        <w:rPr>
          <w:rFonts w:ascii="宋体" w:hAnsi="宋体" w:hint="eastAsia"/>
          <w:sz w:val="24"/>
          <w:szCs w:val="20"/>
        </w:rPr>
        <w:t>将</w:t>
      </w:r>
      <w:r>
        <w:rPr>
          <w:rFonts w:ascii="宋体" w:hAnsi="宋体" w:hint="eastAsia"/>
          <w:bCs/>
          <w:sz w:val="24"/>
          <w:szCs w:val="20"/>
        </w:rPr>
        <w:t>中期</w:t>
      </w:r>
      <w:r>
        <w:rPr>
          <w:rFonts w:ascii="宋体" w:hAnsi="宋体" w:hint="eastAsia"/>
          <w:sz w:val="24"/>
          <w:szCs w:val="20"/>
        </w:rPr>
        <w:t>报告</w:t>
      </w:r>
      <w:r>
        <w:rPr>
          <w:rFonts w:ascii="宋体" w:hAnsi="宋体" w:hint="eastAsia"/>
          <w:bCs/>
          <w:sz w:val="24"/>
          <w:szCs w:val="20"/>
        </w:rPr>
        <w:t>提示性公告</w:t>
      </w:r>
      <w:r>
        <w:rPr>
          <w:rFonts w:ascii="宋体" w:hAnsi="宋体" w:hint="eastAsia"/>
          <w:sz w:val="24"/>
          <w:szCs w:val="20"/>
        </w:rPr>
        <w:t>登载在规定报刊上。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w:t>
      </w:r>
      <w:r>
        <w:rPr>
          <w:rFonts w:ascii="宋体" w:hAnsi="宋体" w:hint="eastAsia"/>
          <w:bCs/>
          <w:sz w:val="24"/>
          <w:szCs w:val="20"/>
        </w:rPr>
        <w:t>季度</w:t>
      </w:r>
      <w:r>
        <w:rPr>
          <w:rFonts w:ascii="宋体" w:hAnsi="宋体" w:hint="eastAsia"/>
          <w:sz w:val="24"/>
          <w:szCs w:val="20"/>
        </w:rPr>
        <w:t>结束之日起</w:t>
      </w:r>
      <w:r>
        <w:rPr>
          <w:rFonts w:ascii="宋体" w:hAnsi="宋体"/>
          <w:sz w:val="24"/>
          <w:szCs w:val="20"/>
        </w:rPr>
        <w:t>15</w:t>
      </w:r>
      <w:r>
        <w:rPr>
          <w:rFonts w:ascii="宋体" w:hAnsi="宋体" w:hint="eastAsia"/>
          <w:sz w:val="24"/>
          <w:szCs w:val="20"/>
        </w:rPr>
        <w:t>个工作日内，编制完成基金季度报告，</w:t>
      </w:r>
      <w:r>
        <w:rPr>
          <w:rFonts w:ascii="宋体" w:hAnsi="宋体" w:hint="eastAsia"/>
          <w:bCs/>
          <w:sz w:val="24"/>
          <w:szCs w:val="20"/>
        </w:rPr>
        <w:t>将季度报告登载在规定网站上，</w:t>
      </w:r>
      <w:r>
        <w:rPr>
          <w:rFonts w:ascii="宋体" w:hAnsi="宋体" w:hint="eastAsia"/>
          <w:sz w:val="24"/>
          <w:szCs w:val="20"/>
        </w:rPr>
        <w:t>并将季度报告</w:t>
      </w:r>
      <w:r>
        <w:rPr>
          <w:rFonts w:ascii="宋体" w:hAnsi="宋体" w:hint="eastAsia"/>
          <w:bCs/>
          <w:sz w:val="24"/>
          <w:szCs w:val="20"/>
        </w:rPr>
        <w:t>提示性公告</w:t>
      </w:r>
      <w:r>
        <w:rPr>
          <w:rFonts w:ascii="宋体" w:hAnsi="宋体" w:hint="eastAsia"/>
          <w:sz w:val="24"/>
          <w:szCs w:val="20"/>
        </w:rPr>
        <w:t>登载在规定报刊上。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《基金合同》生效不足</w:t>
      </w:r>
      <w:r>
        <w:rPr>
          <w:rFonts w:ascii="宋体" w:hAnsi="宋体"/>
          <w:sz w:val="24"/>
          <w:szCs w:val="20"/>
        </w:rPr>
        <w:t>2</w:t>
      </w:r>
      <w:r>
        <w:rPr>
          <w:rFonts w:ascii="宋体" w:hAnsi="宋体" w:hint="eastAsia"/>
          <w:sz w:val="24"/>
          <w:szCs w:val="20"/>
        </w:rPr>
        <w:t>个月的，基金管理人可以不编制当期季度报告、</w:t>
      </w:r>
      <w:r>
        <w:rPr>
          <w:rFonts w:ascii="宋体" w:hAnsi="宋体" w:hint="eastAsia"/>
          <w:bCs/>
          <w:sz w:val="24"/>
          <w:szCs w:val="20"/>
        </w:rPr>
        <w:t>中期</w:t>
      </w:r>
      <w:r>
        <w:rPr>
          <w:rFonts w:ascii="宋体" w:hAnsi="宋体" w:hint="eastAsia"/>
          <w:sz w:val="24"/>
          <w:szCs w:val="20"/>
        </w:rPr>
        <w:t>报告或者年度报告。</w:t>
      </w:r>
    </w:p>
    <w:p w:rsidR="00562FFD" w:rsidRDefault="003317D3">
      <w:pPr>
        <w:spacing w:line="360" w:lineRule="auto"/>
        <w:ind w:firstLineChars="200" w:firstLine="480"/>
        <w:rPr>
          <w:rFonts w:ascii="宋体" w:hAnsi="宋体"/>
          <w:sz w:val="24"/>
          <w:szCs w:val="20"/>
        </w:rPr>
      </w:pPr>
      <w:r>
        <w:rPr>
          <w:rFonts w:ascii="宋体" w:hAnsi="宋体" w:hint="eastAsia"/>
          <w:bCs/>
          <w:sz w:val="24"/>
          <w:szCs w:val="20"/>
        </w:rPr>
        <w:t>如</w:t>
      </w:r>
      <w:r>
        <w:rPr>
          <w:rFonts w:ascii="宋体" w:hAnsi="宋体" w:hint="eastAsia"/>
          <w:sz w:val="24"/>
          <w:szCs w:val="20"/>
        </w:rPr>
        <w:t>报告期内出现单一投资者持有基金份额达到或超过基金总份额</w:t>
      </w:r>
      <w:r>
        <w:rPr>
          <w:rFonts w:ascii="宋体" w:hAnsi="宋体"/>
          <w:sz w:val="24"/>
          <w:szCs w:val="20"/>
        </w:rPr>
        <w:t>20%</w:t>
      </w:r>
      <w:r>
        <w:rPr>
          <w:rFonts w:ascii="宋体" w:hAnsi="宋体" w:hint="eastAsia"/>
          <w:sz w:val="24"/>
          <w:szCs w:val="20"/>
        </w:rPr>
        <w:t>的情形，为保障其他投资者的权益，基金管理人至少应当在定期报告“影响投资者决策的其他重要信息”项下披露该投资者的类别、报告期末持有份额及占比、报告</w:t>
      </w:r>
      <w:r>
        <w:rPr>
          <w:rFonts w:ascii="宋体" w:hAnsi="宋体" w:hint="eastAsia"/>
          <w:sz w:val="24"/>
          <w:szCs w:val="20"/>
        </w:rPr>
        <w:lastRenderedPageBreak/>
        <w:t>期内持有份额变化情况及本基金的特有风险，中国证监会认定的特殊情形除外。</w:t>
      </w:r>
    </w:p>
    <w:p w:rsidR="00562FFD" w:rsidRDefault="003317D3">
      <w:pPr>
        <w:spacing w:line="360" w:lineRule="auto"/>
        <w:ind w:firstLineChars="200" w:firstLine="480"/>
        <w:rPr>
          <w:rFonts w:ascii="宋体" w:hAnsi="宋体"/>
          <w:bCs/>
          <w:sz w:val="24"/>
          <w:szCs w:val="20"/>
        </w:rPr>
      </w:pPr>
      <w:r>
        <w:rPr>
          <w:rFonts w:ascii="宋体" w:hAnsi="宋体" w:hint="eastAsia"/>
          <w:sz w:val="24"/>
          <w:szCs w:val="20"/>
        </w:rPr>
        <w:t>基金管理</w:t>
      </w:r>
      <w:r>
        <w:rPr>
          <w:rFonts w:ascii="宋体" w:hAnsi="宋体" w:hint="eastAsia"/>
          <w:bCs/>
          <w:sz w:val="24"/>
          <w:szCs w:val="20"/>
        </w:rPr>
        <w:t>人</w:t>
      </w:r>
      <w:r>
        <w:rPr>
          <w:rFonts w:ascii="宋体" w:hAnsi="宋体" w:hint="eastAsia"/>
          <w:sz w:val="24"/>
          <w:szCs w:val="20"/>
        </w:rPr>
        <w:t>应当</w:t>
      </w:r>
      <w:r>
        <w:rPr>
          <w:rFonts w:ascii="宋体" w:hAnsi="宋体" w:hint="eastAsia"/>
          <w:bCs/>
          <w:sz w:val="24"/>
          <w:szCs w:val="20"/>
        </w:rPr>
        <w:t>在基金年度报告和中期</w:t>
      </w:r>
      <w:r>
        <w:rPr>
          <w:rFonts w:ascii="宋体" w:hAnsi="宋体" w:hint="eastAsia"/>
          <w:sz w:val="24"/>
          <w:szCs w:val="20"/>
        </w:rPr>
        <w:t>报告</w:t>
      </w:r>
      <w:r>
        <w:rPr>
          <w:rFonts w:ascii="宋体" w:hAnsi="宋体" w:hint="eastAsia"/>
          <w:bCs/>
          <w:sz w:val="24"/>
          <w:szCs w:val="20"/>
        </w:rPr>
        <w:t>中披露基金组合资产情况及其流动性风险分析等</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（七）临时报告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本基金发生重大事件，有关信息披露义务人应当</w:t>
      </w:r>
      <w:r>
        <w:rPr>
          <w:rFonts w:ascii="宋体" w:hAnsi="宋体" w:hint="eastAsia"/>
          <w:bCs/>
          <w:sz w:val="24"/>
          <w:szCs w:val="20"/>
        </w:rPr>
        <w:t>按规定</w:t>
      </w:r>
      <w:r>
        <w:rPr>
          <w:rFonts w:ascii="宋体" w:hAnsi="宋体" w:hint="eastAsia"/>
          <w:sz w:val="24"/>
          <w:szCs w:val="20"/>
        </w:rPr>
        <w:t>编制临时报告书，并</w:t>
      </w:r>
      <w:r>
        <w:rPr>
          <w:rFonts w:ascii="宋体" w:hAnsi="宋体" w:hint="eastAsia"/>
          <w:bCs/>
          <w:sz w:val="24"/>
          <w:szCs w:val="20"/>
        </w:rPr>
        <w:t>登载在规定报刊</w:t>
      </w:r>
      <w:r>
        <w:rPr>
          <w:rFonts w:ascii="宋体" w:hAnsi="宋体" w:hint="eastAsia"/>
          <w:sz w:val="24"/>
          <w:szCs w:val="20"/>
        </w:rPr>
        <w:t>和</w:t>
      </w:r>
      <w:r>
        <w:rPr>
          <w:rFonts w:ascii="宋体" w:hAnsi="宋体" w:hint="eastAsia"/>
          <w:bCs/>
          <w:sz w:val="24"/>
          <w:szCs w:val="20"/>
        </w:rPr>
        <w:t>规定网站上</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前款所称重大事件，是指可能对基金份额持有人权益或者基金份额的价格产生重大影响的下列事件：</w:t>
      </w:r>
    </w:p>
    <w:p w:rsidR="00562FFD" w:rsidRDefault="003317D3">
      <w:pPr>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、基金份额持有人大会的召开</w:t>
      </w:r>
      <w:r>
        <w:rPr>
          <w:rFonts w:ascii="宋体" w:hAnsi="宋体"/>
          <w:bCs/>
          <w:sz w:val="24"/>
          <w:szCs w:val="20"/>
        </w:rPr>
        <w:t>及决定的事项</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、《基金合同》</w:t>
      </w:r>
      <w:r>
        <w:rPr>
          <w:rFonts w:ascii="宋体" w:hAnsi="宋体"/>
          <w:bCs/>
          <w:sz w:val="24"/>
          <w:szCs w:val="20"/>
        </w:rPr>
        <w:t>终止</w:t>
      </w:r>
      <w:r>
        <w:rPr>
          <w:rFonts w:ascii="宋体" w:hAnsi="宋体" w:hint="eastAsia"/>
          <w:bCs/>
          <w:sz w:val="24"/>
          <w:szCs w:val="20"/>
        </w:rPr>
        <w:t>、</w:t>
      </w:r>
      <w:r>
        <w:rPr>
          <w:rFonts w:ascii="宋体" w:hAnsi="宋体"/>
          <w:bCs/>
          <w:sz w:val="24"/>
          <w:szCs w:val="20"/>
        </w:rPr>
        <w:t>基金清算</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sz w:val="24"/>
          <w:szCs w:val="20"/>
        </w:rPr>
        <w:t>3</w:t>
      </w:r>
      <w:r>
        <w:rPr>
          <w:rFonts w:ascii="宋体" w:hAnsi="宋体" w:hint="eastAsia"/>
          <w:sz w:val="24"/>
          <w:szCs w:val="20"/>
        </w:rPr>
        <w:t>、转换基金运作方式</w:t>
      </w:r>
      <w:r>
        <w:rPr>
          <w:rFonts w:ascii="宋体" w:hAnsi="宋体" w:hint="eastAsia"/>
          <w:bCs/>
          <w:sz w:val="24"/>
          <w:szCs w:val="20"/>
        </w:rPr>
        <w:t>、</w:t>
      </w:r>
      <w:r>
        <w:rPr>
          <w:rFonts w:ascii="宋体" w:hAnsi="宋体"/>
          <w:bCs/>
          <w:sz w:val="24"/>
          <w:szCs w:val="20"/>
        </w:rPr>
        <w:t>基金合并</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sz w:val="24"/>
          <w:szCs w:val="20"/>
        </w:rPr>
        <w:t>4</w:t>
      </w:r>
      <w:r>
        <w:rPr>
          <w:rFonts w:ascii="宋体" w:hAnsi="宋体" w:hint="eastAsia"/>
          <w:sz w:val="24"/>
          <w:szCs w:val="20"/>
        </w:rPr>
        <w:t>、更换基金管理人、基金托管人</w:t>
      </w:r>
      <w:r>
        <w:rPr>
          <w:rFonts w:ascii="宋体" w:hAnsi="宋体" w:hint="eastAsia"/>
          <w:bCs/>
          <w:sz w:val="24"/>
          <w:szCs w:val="20"/>
        </w:rPr>
        <w:t>、基金份额登记机构，基金改聘会计师事务所</w:t>
      </w:r>
      <w:r>
        <w:rPr>
          <w:rFonts w:ascii="宋体" w:hAnsi="宋体" w:hint="eastAsia"/>
          <w:sz w:val="24"/>
          <w:szCs w:val="20"/>
        </w:rPr>
        <w:t>；</w:t>
      </w:r>
    </w:p>
    <w:p w:rsidR="00562FFD" w:rsidRDefault="003317D3">
      <w:pPr>
        <w:spacing w:line="360" w:lineRule="auto"/>
        <w:ind w:firstLineChars="200" w:firstLine="480"/>
        <w:rPr>
          <w:rFonts w:ascii="宋体" w:hAnsi="宋体"/>
          <w:bCs/>
          <w:sz w:val="24"/>
          <w:szCs w:val="20"/>
        </w:rPr>
      </w:pPr>
      <w:r>
        <w:rPr>
          <w:rFonts w:ascii="宋体" w:hAnsi="宋体"/>
          <w:sz w:val="24"/>
          <w:szCs w:val="20"/>
        </w:rPr>
        <w:t>5</w:t>
      </w:r>
      <w:r>
        <w:rPr>
          <w:rFonts w:ascii="宋体" w:hAnsi="宋体" w:hint="eastAsia"/>
          <w:sz w:val="24"/>
          <w:szCs w:val="20"/>
        </w:rPr>
        <w:t>、基金管理人</w:t>
      </w:r>
      <w:r>
        <w:rPr>
          <w:rFonts w:ascii="宋体" w:hAnsi="宋体" w:hint="eastAsia"/>
          <w:bCs/>
          <w:sz w:val="24"/>
          <w:szCs w:val="20"/>
        </w:rPr>
        <w:t>委托基金服务机构代为办理基金的份额登记、核算、估值等事项，基金托管人委托基金服务机构代为办理基金的核算、估值、复核等事项；</w:t>
      </w:r>
    </w:p>
    <w:p w:rsidR="00562FFD" w:rsidRDefault="003317D3">
      <w:pPr>
        <w:spacing w:line="360" w:lineRule="auto"/>
        <w:ind w:firstLineChars="200" w:firstLine="480"/>
        <w:rPr>
          <w:rFonts w:ascii="宋体" w:hAnsi="宋体"/>
          <w:sz w:val="24"/>
          <w:szCs w:val="20"/>
        </w:rPr>
      </w:pPr>
      <w:r>
        <w:rPr>
          <w:rFonts w:ascii="宋体" w:hAnsi="宋体"/>
          <w:bCs/>
          <w:sz w:val="24"/>
          <w:szCs w:val="20"/>
        </w:rPr>
        <w:t>6</w:t>
      </w:r>
      <w:r>
        <w:rPr>
          <w:rFonts w:ascii="宋体" w:hAnsi="宋体" w:hint="eastAsia"/>
          <w:bCs/>
          <w:sz w:val="24"/>
          <w:szCs w:val="20"/>
        </w:rPr>
        <w:t>、基金管理人</w:t>
      </w:r>
      <w:r>
        <w:rPr>
          <w:rFonts w:ascii="宋体" w:hAnsi="宋体" w:hint="eastAsia"/>
          <w:sz w:val="24"/>
          <w:szCs w:val="20"/>
        </w:rPr>
        <w:t>、基金托管人的法定名称、住所发生变更；</w:t>
      </w:r>
    </w:p>
    <w:p w:rsidR="00562FFD" w:rsidRDefault="003317D3">
      <w:pPr>
        <w:spacing w:line="360" w:lineRule="auto"/>
        <w:ind w:firstLineChars="200" w:firstLine="480"/>
        <w:rPr>
          <w:rFonts w:ascii="宋体" w:hAnsi="宋体"/>
          <w:sz w:val="24"/>
          <w:szCs w:val="20"/>
        </w:rPr>
      </w:pPr>
      <w:r>
        <w:rPr>
          <w:rFonts w:ascii="宋体" w:hAnsi="宋体"/>
          <w:bCs/>
          <w:sz w:val="24"/>
          <w:szCs w:val="20"/>
        </w:rPr>
        <w:t>7</w:t>
      </w:r>
      <w:r>
        <w:rPr>
          <w:rFonts w:ascii="宋体" w:hAnsi="宋体" w:hint="eastAsia"/>
          <w:sz w:val="24"/>
          <w:szCs w:val="20"/>
        </w:rPr>
        <w:t>、基金管理人变更</w:t>
      </w:r>
      <w:r>
        <w:rPr>
          <w:rFonts w:ascii="宋体" w:hAnsi="宋体" w:hint="eastAsia"/>
          <w:bCs/>
          <w:sz w:val="24"/>
          <w:szCs w:val="20"/>
        </w:rPr>
        <w:t>持有百分之五以上股权的股东、变更基金管理人的实际控制人；</w:t>
      </w:r>
    </w:p>
    <w:p w:rsidR="00562FFD" w:rsidRDefault="003317D3">
      <w:pPr>
        <w:spacing w:line="360" w:lineRule="auto"/>
        <w:ind w:firstLineChars="200" w:firstLine="480"/>
        <w:rPr>
          <w:rFonts w:ascii="宋体" w:hAnsi="宋体"/>
          <w:sz w:val="24"/>
          <w:szCs w:val="20"/>
        </w:rPr>
      </w:pPr>
      <w:r>
        <w:rPr>
          <w:rFonts w:ascii="宋体" w:hAnsi="宋体"/>
          <w:bCs/>
          <w:sz w:val="24"/>
          <w:szCs w:val="20"/>
        </w:rPr>
        <w:t>8</w:t>
      </w:r>
      <w:r>
        <w:rPr>
          <w:rFonts w:ascii="宋体" w:hAnsi="宋体" w:hint="eastAsia"/>
          <w:sz w:val="24"/>
          <w:szCs w:val="20"/>
        </w:rPr>
        <w:t>、基金募集期延长</w:t>
      </w:r>
      <w:r>
        <w:rPr>
          <w:rFonts w:ascii="宋体" w:hAnsi="宋体" w:hint="eastAsia"/>
          <w:bCs/>
          <w:sz w:val="24"/>
          <w:szCs w:val="20"/>
        </w:rPr>
        <w:t>或提前结束募集</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sz w:val="24"/>
          <w:szCs w:val="20"/>
        </w:rPr>
        <w:t>9</w:t>
      </w:r>
      <w:r>
        <w:rPr>
          <w:rFonts w:ascii="宋体" w:hAnsi="宋体" w:hint="eastAsia"/>
          <w:sz w:val="24"/>
          <w:szCs w:val="20"/>
        </w:rPr>
        <w:t>、基金管理人的</w:t>
      </w:r>
      <w:r>
        <w:rPr>
          <w:rFonts w:ascii="宋体" w:hAnsi="宋体" w:hint="eastAsia"/>
          <w:bCs/>
          <w:sz w:val="24"/>
          <w:szCs w:val="20"/>
        </w:rPr>
        <w:t>高级管理人员、基金经理</w:t>
      </w:r>
      <w:r>
        <w:rPr>
          <w:rFonts w:ascii="宋体" w:hAnsi="宋体"/>
          <w:bCs/>
          <w:sz w:val="24"/>
          <w:szCs w:val="20"/>
        </w:rPr>
        <w:t>和基金托管人</w:t>
      </w:r>
      <w:r>
        <w:rPr>
          <w:rFonts w:ascii="宋体" w:hAnsi="宋体" w:hint="eastAsia"/>
          <w:bCs/>
          <w:sz w:val="24"/>
          <w:szCs w:val="20"/>
        </w:rPr>
        <w:t>专门基金托管部门负责人发生变动</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sz w:val="24"/>
          <w:szCs w:val="20"/>
        </w:rPr>
        <w:t>10</w:t>
      </w:r>
      <w:r>
        <w:rPr>
          <w:rFonts w:ascii="宋体" w:hAnsi="宋体" w:hint="eastAsia"/>
          <w:sz w:val="24"/>
          <w:szCs w:val="20"/>
        </w:rPr>
        <w:t>、基金管理人</w:t>
      </w:r>
      <w:r>
        <w:rPr>
          <w:rFonts w:ascii="宋体" w:hAnsi="宋体" w:hint="eastAsia"/>
          <w:bCs/>
          <w:sz w:val="24"/>
          <w:szCs w:val="20"/>
        </w:rPr>
        <w:t>的董事在最近</w:t>
      </w:r>
      <w:r>
        <w:rPr>
          <w:rFonts w:ascii="宋体" w:hAnsi="宋体"/>
          <w:bCs/>
          <w:sz w:val="24"/>
          <w:szCs w:val="20"/>
        </w:rPr>
        <w:t>12个月</w:t>
      </w:r>
      <w:r>
        <w:rPr>
          <w:rFonts w:ascii="宋体" w:hAnsi="宋体" w:hint="eastAsia"/>
          <w:bCs/>
          <w:sz w:val="24"/>
          <w:szCs w:val="20"/>
        </w:rPr>
        <w:t>内变更超过百分之五十，基金管理人</w:t>
      </w:r>
      <w:r>
        <w:rPr>
          <w:rFonts w:ascii="宋体" w:hAnsi="宋体" w:hint="eastAsia"/>
          <w:sz w:val="24"/>
          <w:szCs w:val="20"/>
        </w:rPr>
        <w:t>、基金托管人</w:t>
      </w:r>
      <w:r>
        <w:rPr>
          <w:rFonts w:ascii="宋体" w:hAnsi="宋体" w:hint="eastAsia"/>
          <w:bCs/>
          <w:sz w:val="24"/>
          <w:szCs w:val="20"/>
        </w:rPr>
        <w:t>专门</w:t>
      </w:r>
      <w:r>
        <w:rPr>
          <w:rFonts w:ascii="宋体" w:hAnsi="宋体" w:hint="eastAsia"/>
          <w:sz w:val="24"/>
          <w:szCs w:val="20"/>
        </w:rPr>
        <w:t>基金托管部门的主要业务人员在</w:t>
      </w:r>
      <w:r>
        <w:rPr>
          <w:rFonts w:ascii="宋体" w:hAnsi="宋体" w:hint="eastAsia"/>
          <w:bCs/>
          <w:sz w:val="24"/>
          <w:szCs w:val="20"/>
        </w:rPr>
        <w:t>最近</w:t>
      </w:r>
      <w:r>
        <w:rPr>
          <w:rFonts w:ascii="宋体" w:hAnsi="宋体"/>
          <w:bCs/>
          <w:sz w:val="24"/>
          <w:szCs w:val="20"/>
        </w:rPr>
        <w:t>12个月</w:t>
      </w:r>
      <w:r>
        <w:rPr>
          <w:rFonts w:ascii="宋体" w:hAnsi="宋体" w:hint="eastAsia"/>
          <w:bCs/>
          <w:sz w:val="24"/>
          <w:szCs w:val="20"/>
        </w:rPr>
        <w:t>内</w:t>
      </w:r>
      <w:r>
        <w:rPr>
          <w:rFonts w:ascii="宋体" w:hAnsi="宋体" w:hint="eastAsia"/>
          <w:sz w:val="24"/>
          <w:szCs w:val="20"/>
        </w:rPr>
        <w:t>变动超过百分之三十；</w:t>
      </w:r>
    </w:p>
    <w:p w:rsidR="00562FFD" w:rsidRDefault="003317D3">
      <w:pPr>
        <w:spacing w:line="360" w:lineRule="auto"/>
        <w:ind w:firstLineChars="200" w:firstLine="480"/>
        <w:rPr>
          <w:rFonts w:ascii="宋体" w:hAnsi="宋体"/>
          <w:sz w:val="24"/>
          <w:szCs w:val="20"/>
        </w:rPr>
      </w:pPr>
      <w:r>
        <w:rPr>
          <w:rFonts w:ascii="宋体" w:hAnsi="宋体"/>
          <w:sz w:val="24"/>
          <w:szCs w:val="20"/>
        </w:rPr>
        <w:t>11</w:t>
      </w:r>
      <w:r>
        <w:rPr>
          <w:rFonts w:ascii="宋体" w:hAnsi="宋体" w:hint="eastAsia"/>
          <w:sz w:val="24"/>
          <w:szCs w:val="20"/>
        </w:rPr>
        <w:t>、涉及基金管理业务、基金财产、基金托管业务的诉讼或仲裁；</w:t>
      </w:r>
    </w:p>
    <w:p w:rsidR="00562FFD" w:rsidRDefault="003317D3">
      <w:pPr>
        <w:spacing w:line="360" w:lineRule="auto"/>
        <w:ind w:firstLineChars="200" w:firstLine="480"/>
        <w:rPr>
          <w:rFonts w:ascii="宋体" w:hAnsi="宋体"/>
          <w:sz w:val="24"/>
          <w:szCs w:val="20"/>
        </w:rPr>
      </w:pPr>
      <w:r>
        <w:rPr>
          <w:rFonts w:ascii="宋体" w:hAnsi="宋体"/>
          <w:sz w:val="24"/>
          <w:szCs w:val="20"/>
        </w:rPr>
        <w:t>12</w:t>
      </w:r>
      <w:r>
        <w:rPr>
          <w:rFonts w:ascii="宋体" w:hAnsi="宋体" w:hint="eastAsia"/>
          <w:sz w:val="24"/>
          <w:szCs w:val="20"/>
        </w:rPr>
        <w:t>、基金管理人</w:t>
      </w:r>
      <w:r>
        <w:rPr>
          <w:rFonts w:ascii="宋体" w:hAnsi="宋体" w:hint="eastAsia"/>
          <w:bCs/>
          <w:sz w:val="24"/>
          <w:szCs w:val="20"/>
        </w:rPr>
        <w:t>或其</w:t>
      </w:r>
      <w:r>
        <w:rPr>
          <w:rFonts w:ascii="宋体" w:hAnsi="宋体" w:hint="eastAsia"/>
          <w:sz w:val="24"/>
          <w:szCs w:val="20"/>
        </w:rPr>
        <w:t>高级管理人员、基金经理</w:t>
      </w:r>
      <w:r>
        <w:rPr>
          <w:rFonts w:ascii="宋体" w:hAnsi="宋体" w:hint="eastAsia"/>
          <w:bCs/>
          <w:sz w:val="24"/>
          <w:szCs w:val="20"/>
        </w:rPr>
        <w:t>因基金管理业务相关行为</w:t>
      </w:r>
      <w:r>
        <w:rPr>
          <w:rFonts w:ascii="宋体" w:hAnsi="宋体" w:hint="eastAsia"/>
          <w:sz w:val="24"/>
          <w:szCs w:val="20"/>
        </w:rPr>
        <w:t>受到</w:t>
      </w:r>
      <w:r>
        <w:rPr>
          <w:rFonts w:ascii="宋体" w:hAnsi="宋体" w:hint="eastAsia"/>
          <w:bCs/>
          <w:sz w:val="24"/>
          <w:szCs w:val="20"/>
        </w:rPr>
        <w:t>重大</w:t>
      </w:r>
      <w:r>
        <w:rPr>
          <w:rFonts w:ascii="宋体" w:hAnsi="宋体" w:hint="eastAsia"/>
          <w:sz w:val="24"/>
          <w:szCs w:val="20"/>
        </w:rPr>
        <w:t>行政处罚</w:t>
      </w:r>
      <w:r>
        <w:rPr>
          <w:rFonts w:ascii="宋体" w:hAnsi="宋体" w:hint="eastAsia"/>
          <w:bCs/>
          <w:sz w:val="24"/>
          <w:szCs w:val="20"/>
        </w:rPr>
        <w:t>、刑事处罚</w:t>
      </w:r>
      <w:r>
        <w:rPr>
          <w:rFonts w:ascii="宋体" w:hAnsi="宋体" w:hint="eastAsia"/>
          <w:sz w:val="24"/>
          <w:szCs w:val="20"/>
        </w:rPr>
        <w:t>，基金托管人</w:t>
      </w:r>
      <w:r>
        <w:rPr>
          <w:rFonts w:ascii="宋体" w:hAnsi="宋体" w:hint="eastAsia"/>
          <w:bCs/>
          <w:sz w:val="24"/>
          <w:szCs w:val="20"/>
        </w:rPr>
        <w:t>或其专门</w:t>
      </w:r>
      <w:r>
        <w:rPr>
          <w:rFonts w:ascii="宋体" w:hAnsi="宋体" w:hint="eastAsia"/>
          <w:sz w:val="24"/>
          <w:szCs w:val="20"/>
        </w:rPr>
        <w:t>基金托管部门负责人</w:t>
      </w:r>
      <w:r>
        <w:rPr>
          <w:rFonts w:ascii="宋体" w:hAnsi="宋体" w:hint="eastAsia"/>
          <w:bCs/>
          <w:sz w:val="24"/>
          <w:szCs w:val="20"/>
        </w:rPr>
        <w:t>因基金托管业务相关行为</w:t>
      </w:r>
      <w:r>
        <w:rPr>
          <w:rFonts w:ascii="宋体" w:hAnsi="宋体" w:hint="eastAsia"/>
          <w:sz w:val="24"/>
          <w:szCs w:val="20"/>
        </w:rPr>
        <w:t>受到</w:t>
      </w:r>
      <w:r>
        <w:rPr>
          <w:rFonts w:ascii="宋体" w:hAnsi="宋体" w:hint="eastAsia"/>
          <w:bCs/>
          <w:sz w:val="24"/>
          <w:szCs w:val="20"/>
        </w:rPr>
        <w:t>重大</w:t>
      </w:r>
      <w:r>
        <w:rPr>
          <w:rFonts w:ascii="宋体" w:hAnsi="宋体" w:hint="eastAsia"/>
          <w:sz w:val="24"/>
          <w:szCs w:val="20"/>
        </w:rPr>
        <w:t>行政处罚</w:t>
      </w:r>
      <w:r>
        <w:rPr>
          <w:rFonts w:ascii="宋体" w:hAnsi="宋体" w:hint="eastAsia"/>
          <w:bCs/>
          <w:sz w:val="24"/>
          <w:szCs w:val="20"/>
        </w:rPr>
        <w:t>、刑事处罚</w:t>
      </w:r>
      <w:r>
        <w:rPr>
          <w:rFonts w:ascii="宋体" w:hAnsi="宋体" w:hint="eastAsia"/>
          <w:sz w:val="24"/>
          <w:szCs w:val="20"/>
        </w:rPr>
        <w:t>；</w:t>
      </w:r>
    </w:p>
    <w:p w:rsidR="00562FFD" w:rsidRDefault="003317D3">
      <w:pPr>
        <w:spacing w:line="360" w:lineRule="auto"/>
        <w:ind w:firstLineChars="200" w:firstLine="480"/>
        <w:rPr>
          <w:rFonts w:ascii="宋体" w:hAnsi="宋体"/>
          <w:bCs/>
          <w:sz w:val="24"/>
          <w:szCs w:val="20"/>
        </w:rPr>
      </w:pPr>
      <w:r>
        <w:rPr>
          <w:rFonts w:ascii="宋体" w:hAnsi="宋体"/>
          <w:bCs/>
          <w:sz w:val="24"/>
          <w:szCs w:val="20"/>
        </w:rPr>
        <w:t>13、</w:t>
      </w:r>
      <w:r>
        <w:rPr>
          <w:rFonts w:ascii="宋体" w:hAnsi="宋体" w:hint="eastAsia"/>
          <w:bCs/>
          <w:sz w:val="24"/>
          <w:szCs w:val="20"/>
        </w:rPr>
        <w:t>基金管理人运用基金财产买卖基金管理人、基金托管人及其控股股东、</w:t>
      </w:r>
      <w:r>
        <w:rPr>
          <w:rFonts w:ascii="宋体" w:hAnsi="宋体" w:hint="eastAsia"/>
          <w:bCs/>
          <w:sz w:val="24"/>
          <w:szCs w:val="20"/>
        </w:rPr>
        <w:lastRenderedPageBreak/>
        <w:t>实际控制人或者与其有重大利害关系的公司发行的证券或者承销期内承销的证券，或者从事其他</w:t>
      </w:r>
      <w:r>
        <w:rPr>
          <w:rFonts w:ascii="宋体" w:hAnsi="宋体"/>
          <w:bCs/>
          <w:sz w:val="24"/>
          <w:szCs w:val="20"/>
        </w:rPr>
        <w:t>重大关联交易事项</w:t>
      </w:r>
      <w:r>
        <w:rPr>
          <w:rFonts w:ascii="宋体" w:hAnsi="宋体" w:hint="eastAsia"/>
          <w:bCs/>
          <w:sz w:val="24"/>
          <w:szCs w:val="20"/>
        </w:rPr>
        <w:t>，但中国证监会另有规定的除外；</w:t>
      </w:r>
    </w:p>
    <w:p w:rsidR="00562FFD" w:rsidRDefault="003317D3">
      <w:pPr>
        <w:spacing w:line="360" w:lineRule="auto"/>
        <w:ind w:firstLineChars="200" w:firstLine="480"/>
        <w:rPr>
          <w:rFonts w:ascii="宋体" w:hAnsi="宋体"/>
          <w:sz w:val="24"/>
          <w:szCs w:val="20"/>
        </w:rPr>
      </w:pPr>
      <w:r>
        <w:rPr>
          <w:rFonts w:ascii="宋体" w:hAnsi="宋体"/>
          <w:sz w:val="24"/>
          <w:szCs w:val="20"/>
        </w:rPr>
        <w:t>14</w:t>
      </w:r>
      <w:r>
        <w:rPr>
          <w:rFonts w:ascii="宋体" w:hAnsi="宋体" w:hint="eastAsia"/>
          <w:sz w:val="24"/>
          <w:szCs w:val="20"/>
        </w:rPr>
        <w:t>、基金收益分配事项；</w:t>
      </w:r>
    </w:p>
    <w:p w:rsidR="00562FFD" w:rsidRDefault="003317D3">
      <w:pPr>
        <w:spacing w:line="360" w:lineRule="auto"/>
        <w:ind w:firstLineChars="200" w:firstLine="480"/>
        <w:rPr>
          <w:rFonts w:ascii="宋体" w:hAnsi="宋体"/>
          <w:sz w:val="24"/>
          <w:szCs w:val="20"/>
        </w:rPr>
      </w:pPr>
      <w:r>
        <w:rPr>
          <w:rFonts w:ascii="宋体" w:hAnsi="宋体"/>
          <w:bCs/>
          <w:sz w:val="24"/>
          <w:szCs w:val="20"/>
        </w:rPr>
        <w:t>15</w:t>
      </w:r>
      <w:r>
        <w:rPr>
          <w:rFonts w:ascii="宋体" w:hAnsi="宋体" w:hint="eastAsia"/>
          <w:bCs/>
          <w:sz w:val="24"/>
          <w:szCs w:val="20"/>
        </w:rPr>
        <w:t>、基金</w:t>
      </w:r>
      <w:r>
        <w:rPr>
          <w:rFonts w:ascii="宋体" w:hAnsi="宋体" w:hint="eastAsia"/>
          <w:sz w:val="24"/>
          <w:szCs w:val="20"/>
        </w:rPr>
        <w:t>管理费、</w:t>
      </w:r>
      <w:r>
        <w:rPr>
          <w:rFonts w:ascii="宋体" w:hAnsi="宋体" w:hint="eastAsia"/>
          <w:bCs/>
          <w:sz w:val="24"/>
          <w:szCs w:val="20"/>
        </w:rPr>
        <w:t>基金</w:t>
      </w:r>
      <w:r>
        <w:rPr>
          <w:rFonts w:ascii="宋体" w:hAnsi="宋体" w:hint="eastAsia"/>
          <w:sz w:val="24"/>
          <w:szCs w:val="20"/>
        </w:rPr>
        <w:t>托管</w:t>
      </w:r>
      <w:r>
        <w:rPr>
          <w:rFonts w:ascii="宋体" w:hAnsi="宋体" w:hint="eastAsia"/>
          <w:bCs/>
          <w:sz w:val="24"/>
          <w:szCs w:val="20"/>
        </w:rPr>
        <w:t>费、销售服务费、申购费、赎回</w:t>
      </w:r>
      <w:r>
        <w:rPr>
          <w:rFonts w:ascii="宋体" w:hAnsi="宋体" w:hint="eastAsia"/>
          <w:sz w:val="24"/>
          <w:szCs w:val="20"/>
        </w:rPr>
        <w:t>费等费用计提标准、计提方式和费率发生变更；</w:t>
      </w:r>
    </w:p>
    <w:p w:rsidR="00562FFD" w:rsidRDefault="003317D3">
      <w:pPr>
        <w:spacing w:line="360" w:lineRule="auto"/>
        <w:ind w:firstLineChars="200" w:firstLine="480"/>
        <w:rPr>
          <w:rFonts w:ascii="宋体" w:hAnsi="宋体"/>
          <w:bCs/>
          <w:sz w:val="24"/>
          <w:szCs w:val="20"/>
        </w:rPr>
      </w:pPr>
      <w:r>
        <w:rPr>
          <w:rFonts w:ascii="宋体" w:hAnsi="宋体"/>
          <w:bCs/>
          <w:sz w:val="24"/>
          <w:szCs w:val="20"/>
        </w:rPr>
        <w:t>16</w:t>
      </w:r>
      <w:r>
        <w:rPr>
          <w:rFonts w:ascii="宋体" w:hAnsi="宋体" w:hint="eastAsia"/>
          <w:bCs/>
          <w:sz w:val="24"/>
          <w:szCs w:val="20"/>
        </w:rPr>
        <w:t>、任一类基金份额净值计价错误达该类基金份额净值百分之零点五；</w:t>
      </w:r>
    </w:p>
    <w:p w:rsidR="00562FFD" w:rsidRDefault="003317D3">
      <w:pPr>
        <w:spacing w:line="360" w:lineRule="auto"/>
        <w:ind w:firstLineChars="200" w:firstLine="480"/>
        <w:rPr>
          <w:bCs/>
          <w:sz w:val="24"/>
          <w:szCs w:val="20"/>
        </w:rPr>
      </w:pPr>
      <w:r>
        <w:rPr>
          <w:rFonts w:ascii="宋体" w:hAnsi="宋体"/>
          <w:sz w:val="24"/>
          <w:szCs w:val="20"/>
        </w:rPr>
        <w:t>17</w:t>
      </w:r>
      <w:r>
        <w:rPr>
          <w:rFonts w:ascii="宋体" w:hAnsi="宋体" w:hint="eastAsia"/>
          <w:sz w:val="24"/>
          <w:szCs w:val="20"/>
        </w:rPr>
        <w:t>、本基金</w:t>
      </w:r>
      <w:r>
        <w:rPr>
          <w:rFonts w:hint="eastAsia"/>
          <w:bCs/>
          <w:sz w:val="24"/>
          <w:szCs w:val="20"/>
        </w:rPr>
        <w:t>开始办理申购、赎回；</w:t>
      </w:r>
    </w:p>
    <w:p w:rsidR="00562FFD" w:rsidRDefault="003317D3">
      <w:pPr>
        <w:spacing w:line="360" w:lineRule="auto"/>
        <w:ind w:firstLineChars="200" w:firstLine="480"/>
        <w:rPr>
          <w:rFonts w:ascii="宋体" w:hAnsi="宋体"/>
          <w:bCs/>
          <w:sz w:val="24"/>
          <w:szCs w:val="20"/>
        </w:rPr>
      </w:pPr>
      <w:r>
        <w:rPr>
          <w:rFonts w:ascii="宋体" w:hAnsi="宋体"/>
          <w:sz w:val="24"/>
          <w:szCs w:val="20"/>
        </w:rPr>
        <w:t>18</w:t>
      </w:r>
      <w:r>
        <w:rPr>
          <w:rFonts w:ascii="宋体" w:hAnsi="宋体" w:hint="eastAsia"/>
          <w:sz w:val="24"/>
          <w:szCs w:val="20"/>
        </w:rPr>
        <w:t>、本基金发生巨额赎回并延期办理</w:t>
      </w:r>
      <w:r>
        <w:rPr>
          <w:rFonts w:ascii="宋体" w:hAnsi="宋体" w:hint="eastAsia"/>
          <w:bCs/>
          <w:sz w:val="24"/>
          <w:szCs w:val="20"/>
        </w:rPr>
        <w:t>；</w:t>
      </w:r>
    </w:p>
    <w:p w:rsidR="00562FFD" w:rsidRDefault="003317D3">
      <w:pPr>
        <w:spacing w:line="360" w:lineRule="auto"/>
        <w:ind w:firstLineChars="200" w:firstLine="480"/>
        <w:rPr>
          <w:rFonts w:ascii="宋体" w:hAnsi="宋体"/>
          <w:bCs/>
          <w:sz w:val="24"/>
          <w:szCs w:val="20"/>
        </w:rPr>
      </w:pPr>
      <w:r>
        <w:rPr>
          <w:rFonts w:ascii="宋体" w:hAnsi="宋体"/>
          <w:bCs/>
          <w:sz w:val="24"/>
          <w:szCs w:val="20"/>
        </w:rPr>
        <w:t>19</w:t>
      </w:r>
      <w:r>
        <w:rPr>
          <w:rFonts w:ascii="宋体" w:hAnsi="宋体" w:hint="eastAsia"/>
          <w:bCs/>
          <w:sz w:val="24"/>
          <w:szCs w:val="20"/>
        </w:rPr>
        <w:t>、本基金暂停接受申购、赎回申请或重新接受申购、赎回</w:t>
      </w:r>
      <w:r>
        <w:rPr>
          <w:rFonts w:ascii="宋体" w:hAnsi="宋体"/>
          <w:bCs/>
          <w:sz w:val="24"/>
          <w:szCs w:val="20"/>
        </w:rPr>
        <w:t>申请</w:t>
      </w:r>
      <w:r>
        <w:rPr>
          <w:rFonts w:ascii="宋体" w:hAnsi="宋体" w:hint="eastAsia"/>
          <w:bCs/>
          <w:sz w:val="24"/>
          <w:szCs w:val="20"/>
        </w:rPr>
        <w:t>；</w:t>
      </w:r>
    </w:p>
    <w:p w:rsidR="00562FFD" w:rsidRDefault="003317D3">
      <w:pPr>
        <w:spacing w:line="360" w:lineRule="auto"/>
        <w:ind w:firstLineChars="200" w:firstLine="480"/>
        <w:rPr>
          <w:rFonts w:ascii="宋体" w:hAnsi="宋体"/>
          <w:bCs/>
          <w:sz w:val="24"/>
          <w:szCs w:val="20"/>
        </w:rPr>
      </w:pPr>
      <w:r>
        <w:rPr>
          <w:rFonts w:ascii="宋体" w:hAnsi="宋体"/>
          <w:bCs/>
          <w:sz w:val="24"/>
          <w:szCs w:val="20"/>
        </w:rPr>
        <w:t>20</w:t>
      </w:r>
      <w:r>
        <w:rPr>
          <w:rFonts w:ascii="宋体" w:hAnsi="宋体" w:hint="eastAsia"/>
          <w:bCs/>
          <w:sz w:val="24"/>
          <w:szCs w:val="20"/>
        </w:rPr>
        <w:t>、</w:t>
      </w:r>
      <w:r>
        <w:rPr>
          <w:rFonts w:ascii="宋体" w:hAnsi="宋体"/>
          <w:bCs/>
          <w:sz w:val="24"/>
          <w:szCs w:val="20"/>
        </w:rPr>
        <w:t>本基金连续发生巨额赎回并暂停接受赎回申请</w:t>
      </w:r>
      <w:r>
        <w:rPr>
          <w:rFonts w:ascii="宋体" w:hAnsi="宋体" w:hint="eastAsia"/>
          <w:bCs/>
          <w:sz w:val="24"/>
          <w:szCs w:val="20"/>
        </w:rPr>
        <w:t>或延缓支付赎回款项</w:t>
      </w:r>
      <w:r>
        <w:rPr>
          <w:rFonts w:ascii="宋体" w:hAnsi="宋体"/>
          <w:bCs/>
          <w:sz w:val="24"/>
          <w:szCs w:val="20"/>
        </w:rPr>
        <w:t>；</w:t>
      </w:r>
    </w:p>
    <w:p w:rsidR="00562FFD" w:rsidRDefault="003317D3">
      <w:pPr>
        <w:spacing w:line="360" w:lineRule="auto"/>
        <w:ind w:firstLineChars="200" w:firstLine="480"/>
        <w:rPr>
          <w:rFonts w:ascii="宋体" w:hAnsi="宋体"/>
          <w:sz w:val="24"/>
          <w:szCs w:val="20"/>
        </w:rPr>
      </w:pPr>
      <w:r>
        <w:rPr>
          <w:rFonts w:ascii="宋体" w:hAnsi="宋体"/>
          <w:bCs/>
          <w:sz w:val="24"/>
          <w:szCs w:val="20"/>
        </w:rPr>
        <w:t>21</w:t>
      </w:r>
      <w:r>
        <w:rPr>
          <w:rFonts w:ascii="宋体" w:hAnsi="宋体" w:hint="eastAsia"/>
          <w:sz w:val="24"/>
          <w:szCs w:val="20"/>
        </w:rPr>
        <w:t>、发生涉及基金申购、赎回事项调整或潜在影响投资者赎回等重大事项</w:t>
      </w:r>
      <w:r>
        <w:rPr>
          <w:rFonts w:ascii="宋体" w:hAnsi="宋体" w:hint="eastAsia"/>
          <w:bCs/>
          <w:sz w:val="24"/>
          <w:szCs w:val="20"/>
        </w:rPr>
        <w:t>时</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bCs/>
          <w:sz w:val="24"/>
          <w:szCs w:val="20"/>
        </w:rPr>
        <w:t>22</w:t>
      </w:r>
      <w:r>
        <w:rPr>
          <w:rFonts w:ascii="宋体" w:hAnsi="宋体" w:hint="eastAsia"/>
          <w:sz w:val="24"/>
          <w:szCs w:val="20"/>
        </w:rPr>
        <w:t>、基金管理人采用摆动定价机制进行估值；</w:t>
      </w:r>
    </w:p>
    <w:p w:rsidR="00562FFD" w:rsidRDefault="003317D3">
      <w:pPr>
        <w:spacing w:line="360" w:lineRule="auto"/>
        <w:ind w:firstLineChars="200" w:firstLine="480"/>
        <w:rPr>
          <w:rFonts w:ascii="宋体" w:hAnsi="宋体"/>
          <w:sz w:val="24"/>
          <w:szCs w:val="20"/>
        </w:rPr>
      </w:pPr>
      <w:r>
        <w:rPr>
          <w:rFonts w:ascii="宋体" w:hAnsi="宋体"/>
          <w:bCs/>
          <w:sz w:val="24"/>
          <w:szCs w:val="20"/>
        </w:rPr>
        <w:t>23</w:t>
      </w:r>
      <w:r>
        <w:rPr>
          <w:rFonts w:ascii="宋体" w:hAnsi="宋体" w:hint="eastAsia"/>
          <w:bCs/>
          <w:sz w:val="24"/>
          <w:szCs w:val="20"/>
        </w:rPr>
        <w:t>、</w:t>
      </w:r>
      <w:r>
        <w:rPr>
          <w:rFonts w:ascii="宋体" w:hAnsi="宋体" w:hint="eastAsia"/>
          <w:sz w:val="24"/>
          <w:szCs w:val="20"/>
        </w:rPr>
        <w:t>调整本基金份额类别设置；</w:t>
      </w:r>
    </w:p>
    <w:p w:rsidR="00562FFD" w:rsidRDefault="003317D3">
      <w:pPr>
        <w:spacing w:line="360" w:lineRule="auto"/>
        <w:ind w:firstLineChars="200" w:firstLine="480"/>
        <w:rPr>
          <w:rFonts w:ascii="宋体" w:hAnsi="宋体"/>
          <w:sz w:val="24"/>
          <w:szCs w:val="20"/>
        </w:rPr>
      </w:pPr>
      <w:r>
        <w:rPr>
          <w:rFonts w:ascii="宋体" w:hAnsi="宋体"/>
          <w:sz w:val="24"/>
          <w:szCs w:val="20"/>
        </w:rPr>
        <w:t>24</w:t>
      </w:r>
      <w:r>
        <w:rPr>
          <w:rFonts w:ascii="宋体" w:hAnsi="宋体" w:hint="eastAsia"/>
          <w:sz w:val="24"/>
          <w:szCs w:val="20"/>
        </w:rPr>
        <w:t>、本基金推出新业务或新服务；</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25、</w:t>
      </w:r>
      <w:r>
        <w:rPr>
          <w:rFonts w:ascii="宋体" w:hAnsi="宋体" w:hint="eastAsia"/>
          <w:bCs/>
          <w:sz w:val="24"/>
          <w:szCs w:val="20"/>
        </w:rPr>
        <w:t>基金信息披露义务人认为可能对基金份额持有人权益或者基金份额的价格产生重大影响的其他事项或</w:t>
      </w:r>
      <w:r>
        <w:rPr>
          <w:rFonts w:ascii="宋体" w:hAnsi="宋体" w:hint="eastAsia"/>
          <w:sz w:val="24"/>
          <w:szCs w:val="20"/>
        </w:rPr>
        <w:t>中国证监会规定的其他事项。</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（八）澄清公告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在《基金合同》存续期限内，任何公共</w:t>
      </w:r>
      <w:r>
        <w:rPr>
          <w:rFonts w:ascii="宋体" w:hAnsi="宋体" w:hint="eastAsia"/>
          <w:bCs/>
          <w:sz w:val="24"/>
          <w:szCs w:val="20"/>
        </w:rPr>
        <w:t>媒体</w:t>
      </w:r>
      <w:r>
        <w:rPr>
          <w:rFonts w:ascii="宋体" w:hAnsi="宋体" w:hint="eastAsia"/>
          <w:sz w:val="24"/>
          <w:szCs w:val="20"/>
        </w:rPr>
        <w:t>中出现的或者在市场上流传的消息可能对基金份额价格产生误导性影响或者引起较大波动</w:t>
      </w:r>
      <w:r>
        <w:rPr>
          <w:rFonts w:ascii="宋体" w:hAnsi="宋体" w:hint="eastAsia"/>
          <w:bCs/>
          <w:sz w:val="24"/>
          <w:szCs w:val="20"/>
        </w:rPr>
        <w:t>，以及可能损害基金份额持有人权益</w:t>
      </w:r>
      <w:r>
        <w:rPr>
          <w:rFonts w:ascii="宋体" w:hAnsi="宋体" w:hint="eastAsia"/>
          <w:sz w:val="24"/>
          <w:szCs w:val="20"/>
        </w:rPr>
        <w:t>的，相关信息披露义务人知悉后应当立即对该消息进行公开澄清。</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（九）基金份额持有人大会决议</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基金份额持有人大会决定的事项，应当依法报中国证监会备案，并予以公告。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（十）基金投资股指期货、股票期权、国债期货的信息披露</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基金管理人应当在季度报告、</w:t>
      </w:r>
      <w:r>
        <w:rPr>
          <w:rFonts w:ascii="宋体" w:hAnsi="宋体"/>
          <w:sz w:val="24"/>
          <w:szCs w:val="20"/>
        </w:rPr>
        <w:t>中期</w:t>
      </w:r>
      <w:r>
        <w:rPr>
          <w:rFonts w:ascii="宋体" w:hAnsi="宋体" w:hint="eastAsia"/>
          <w:sz w:val="24"/>
          <w:szCs w:val="20"/>
        </w:rPr>
        <w:t>报告、年度报告等定期报告和招募说明书（更新）等文件中披露股指期货、股票期权、国债期货交易情况，包括投资政策、持仓情况、损益情况、风险指标等，并充分揭示股指期货、股票期权、国债期货交易对基金总体风险的影响以及是否符合既定的投资政策和投资目标等。</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（十一）基金投资资产支持证券的信息披露</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基金管理人应在基金</w:t>
      </w:r>
      <w:r>
        <w:rPr>
          <w:rFonts w:ascii="宋体" w:hAnsi="宋体"/>
          <w:sz w:val="24"/>
          <w:szCs w:val="20"/>
        </w:rPr>
        <w:t>年度报告</w:t>
      </w:r>
      <w:r>
        <w:rPr>
          <w:rFonts w:ascii="宋体" w:hAnsi="宋体" w:hint="eastAsia"/>
          <w:sz w:val="24"/>
          <w:szCs w:val="20"/>
        </w:rPr>
        <w:t>及</w:t>
      </w:r>
      <w:r>
        <w:rPr>
          <w:rFonts w:ascii="宋体" w:hAnsi="宋体"/>
          <w:sz w:val="24"/>
          <w:szCs w:val="20"/>
        </w:rPr>
        <w:t>中期报告</w:t>
      </w:r>
      <w:r>
        <w:rPr>
          <w:rFonts w:ascii="宋体" w:hAnsi="宋体" w:hint="eastAsia"/>
          <w:sz w:val="24"/>
          <w:szCs w:val="20"/>
        </w:rPr>
        <w:t>中披露其持有的资产支持证券总</w:t>
      </w:r>
      <w:r>
        <w:rPr>
          <w:rFonts w:ascii="宋体" w:hAnsi="宋体" w:hint="eastAsia"/>
          <w:sz w:val="24"/>
          <w:szCs w:val="20"/>
        </w:rPr>
        <w:lastRenderedPageBreak/>
        <w:t>额、资产支持证券市值占基金净资产的比例和报告期内所有的资产支持证券明细。</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基金管理人应在基金季度报告中披露其持有的资产支持证券总额、资产支持证券市值占基金净资产的比例和报告期末按市值占基金净资产比例大小排序的前</w:t>
      </w:r>
      <w:r>
        <w:rPr>
          <w:rFonts w:ascii="宋体" w:hAnsi="宋体"/>
          <w:sz w:val="24"/>
          <w:szCs w:val="20"/>
        </w:rPr>
        <w:t>10</w:t>
      </w:r>
      <w:r>
        <w:rPr>
          <w:rFonts w:ascii="宋体" w:hAnsi="宋体" w:hint="eastAsia"/>
          <w:sz w:val="24"/>
          <w:szCs w:val="20"/>
        </w:rPr>
        <w:t>名资产支持证券明细。</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（十二）基金投资证券公司短期公司债券的信息披露</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基金管理人应当在本基金投资证券公司短期公司债后</w:t>
      </w:r>
      <w:r>
        <w:rPr>
          <w:rFonts w:ascii="宋体" w:hAnsi="宋体"/>
          <w:sz w:val="24"/>
          <w:szCs w:val="20"/>
        </w:rPr>
        <w:t>2</w:t>
      </w:r>
      <w:r>
        <w:rPr>
          <w:rFonts w:ascii="宋体" w:hAnsi="宋体" w:hint="eastAsia"/>
          <w:sz w:val="24"/>
          <w:szCs w:val="20"/>
        </w:rPr>
        <w:t>个交易日内，在中国证监会规定媒介披露所投资证券公司短期公司债的名称、数量、期限、收益率等信息。</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基金管理人应当在基金季度报告、基金</w:t>
      </w:r>
      <w:r>
        <w:rPr>
          <w:rFonts w:ascii="宋体" w:hAnsi="宋体"/>
          <w:sz w:val="24"/>
          <w:szCs w:val="20"/>
        </w:rPr>
        <w:t>中期</w:t>
      </w:r>
      <w:r>
        <w:rPr>
          <w:rFonts w:ascii="宋体" w:hAnsi="宋体" w:hint="eastAsia"/>
          <w:sz w:val="24"/>
          <w:szCs w:val="20"/>
        </w:rPr>
        <w:t>报告和基金年度报告等定期报告和招募说明书（更新）等文件中披露证券公司短期公司债券的投资情况。</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（十三）基金投资港股通标的股票的信息披露</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基金管理人应当在季度报告、中期报告、年度报告等定期报告和招募说明书（更新）等文件中披露参与港股通标的股票交易的相关情况。</w:t>
      </w:r>
    </w:p>
    <w:p w:rsidR="00562FFD" w:rsidRDefault="003317D3">
      <w:pPr>
        <w:spacing w:line="360" w:lineRule="auto"/>
        <w:ind w:firstLineChars="200" w:firstLine="480"/>
        <w:rPr>
          <w:bCs/>
          <w:sz w:val="24"/>
          <w:szCs w:val="20"/>
        </w:rPr>
      </w:pPr>
      <w:r>
        <w:rPr>
          <w:rFonts w:ascii="宋体" w:hAnsi="宋体" w:hint="eastAsia"/>
          <w:sz w:val="24"/>
          <w:szCs w:val="20"/>
        </w:rPr>
        <w:t>（十四）</w:t>
      </w:r>
      <w:r>
        <w:rPr>
          <w:rFonts w:hint="eastAsia"/>
          <w:bCs/>
          <w:sz w:val="24"/>
          <w:szCs w:val="20"/>
        </w:rPr>
        <w:t>清算报告</w:t>
      </w:r>
    </w:p>
    <w:p w:rsidR="00562FFD" w:rsidRDefault="003317D3">
      <w:pPr>
        <w:spacing w:line="360" w:lineRule="auto"/>
        <w:ind w:firstLineChars="200" w:firstLine="480"/>
        <w:rPr>
          <w:rFonts w:ascii="宋体" w:hAnsi="宋体"/>
          <w:sz w:val="24"/>
          <w:szCs w:val="20"/>
        </w:rPr>
      </w:pPr>
      <w:r>
        <w:rPr>
          <w:rFonts w:hint="eastAsia"/>
          <w:bCs/>
          <w:sz w:val="24"/>
          <w:szCs w:val="20"/>
        </w:rPr>
        <w:t>基金终止运作的，基金管理人应当依法组织基金财产清算小组对基金财产进行清算并</w:t>
      </w:r>
      <w:proofErr w:type="gramStart"/>
      <w:r>
        <w:rPr>
          <w:rFonts w:hint="eastAsia"/>
          <w:bCs/>
          <w:sz w:val="24"/>
          <w:szCs w:val="20"/>
        </w:rPr>
        <w:t>作出</w:t>
      </w:r>
      <w:proofErr w:type="gramEnd"/>
      <w:r>
        <w:rPr>
          <w:rFonts w:hint="eastAsia"/>
          <w:bCs/>
          <w:sz w:val="24"/>
          <w:szCs w:val="20"/>
        </w:rPr>
        <w:t>清算报告。基金财产清算小组应当将清算报告登载在规定网站上，并将清算报告提示性公告登载在规定报刊上。</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w:t>
      </w:r>
      <w:r>
        <w:rPr>
          <w:rFonts w:ascii="宋体" w:hAnsi="宋体" w:hint="eastAsia"/>
          <w:bCs/>
          <w:sz w:val="24"/>
          <w:szCs w:val="20"/>
        </w:rPr>
        <w:t>十五</w:t>
      </w:r>
      <w:r>
        <w:rPr>
          <w:rFonts w:ascii="宋体" w:hAnsi="宋体" w:hint="eastAsia"/>
          <w:sz w:val="24"/>
          <w:szCs w:val="20"/>
        </w:rPr>
        <w:t>）基金投资流通受限证券的信息披露</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基金管理人应在基金年报及中期报中披露其持有的流通受限证券总额、流通受限证券市值占基金净资产的比例和报告期内所有的流通受限证券明细。</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基金管理人应在基金季度报告中披露其持有的流通受限证券总额、流通受限证券市值占基金净资产的比例和报告期末按市值占基金净资产比例大小排序的前10名流通受限证券明细。</w:t>
      </w:r>
    </w:p>
    <w:p w:rsidR="00562FFD" w:rsidRDefault="003317D3">
      <w:pPr>
        <w:spacing w:line="360" w:lineRule="auto"/>
        <w:ind w:firstLineChars="200" w:firstLine="480"/>
        <w:rPr>
          <w:rFonts w:cs="宋体"/>
          <w:bCs/>
          <w:sz w:val="24"/>
          <w:szCs w:val="23"/>
        </w:rPr>
      </w:pPr>
      <w:r>
        <w:rPr>
          <w:rFonts w:hint="eastAsia"/>
          <w:bCs/>
          <w:sz w:val="24"/>
          <w:szCs w:val="20"/>
        </w:rPr>
        <w:t>（十六）</w:t>
      </w:r>
      <w:bookmarkStart w:id="72" w:name="_Hlk43456123"/>
      <w:r>
        <w:rPr>
          <w:rFonts w:hint="eastAsia"/>
          <w:bCs/>
          <w:sz w:val="24"/>
          <w:szCs w:val="20"/>
        </w:rPr>
        <w:t>基金投资</w:t>
      </w:r>
      <w:r>
        <w:rPr>
          <w:rFonts w:cs="宋体" w:hint="eastAsia"/>
          <w:bCs/>
          <w:sz w:val="24"/>
          <w:szCs w:val="23"/>
        </w:rPr>
        <w:t>信用衍生品的信息披露</w:t>
      </w:r>
      <w:bookmarkEnd w:id="72"/>
    </w:p>
    <w:p w:rsidR="00562FFD" w:rsidRDefault="003317D3">
      <w:pPr>
        <w:spacing w:line="360" w:lineRule="auto"/>
        <w:ind w:firstLineChars="200" w:firstLine="480"/>
        <w:rPr>
          <w:bCs/>
          <w:sz w:val="24"/>
          <w:szCs w:val="21"/>
        </w:rPr>
      </w:pPr>
      <w:r>
        <w:rPr>
          <w:rFonts w:hint="eastAsia"/>
          <w:bCs/>
          <w:sz w:val="24"/>
          <w:szCs w:val="21"/>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rsidR="00562FFD" w:rsidRDefault="003317D3">
      <w:pPr>
        <w:spacing w:line="360" w:lineRule="auto"/>
        <w:ind w:firstLineChars="200" w:firstLine="480"/>
        <w:rPr>
          <w:sz w:val="24"/>
          <w:szCs w:val="20"/>
        </w:rPr>
      </w:pPr>
      <w:r>
        <w:rPr>
          <w:rFonts w:hint="eastAsia"/>
          <w:sz w:val="24"/>
          <w:szCs w:val="20"/>
        </w:rPr>
        <w:t>（十七）实施</w:t>
      </w:r>
      <w:proofErr w:type="gramStart"/>
      <w:r>
        <w:rPr>
          <w:rFonts w:hint="eastAsia"/>
          <w:sz w:val="24"/>
          <w:szCs w:val="20"/>
        </w:rPr>
        <w:t>侧袋机制</w:t>
      </w:r>
      <w:proofErr w:type="gramEnd"/>
      <w:r>
        <w:rPr>
          <w:rFonts w:hint="eastAsia"/>
          <w:sz w:val="24"/>
          <w:szCs w:val="20"/>
        </w:rPr>
        <w:t>期间的信息披露</w:t>
      </w:r>
    </w:p>
    <w:p w:rsidR="00562FFD" w:rsidRDefault="003317D3">
      <w:pPr>
        <w:spacing w:line="360" w:lineRule="auto"/>
        <w:ind w:firstLineChars="200" w:firstLine="480"/>
        <w:rPr>
          <w:sz w:val="24"/>
          <w:szCs w:val="20"/>
        </w:rPr>
      </w:pPr>
      <w:r>
        <w:rPr>
          <w:rFonts w:hint="eastAsia"/>
          <w:sz w:val="24"/>
          <w:szCs w:val="20"/>
        </w:rPr>
        <w:lastRenderedPageBreak/>
        <w:t>本基金实施</w:t>
      </w:r>
      <w:proofErr w:type="gramStart"/>
      <w:r>
        <w:rPr>
          <w:rFonts w:hint="eastAsia"/>
          <w:sz w:val="24"/>
          <w:szCs w:val="20"/>
        </w:rPr>
        <w:t>侧袋机制</w:t>
      </w:r>
      <w:proofErr w:type="gramEnd"/>
      <w:r>
        <w:rPr>
          <w:rFonts w:hint="eastAsia"/>
          <w:sz w:val="24"/>
          <w:szCs w:val="20"/>
        </w:rPr>
        <w:t>的，相关信息披露义务人应当根据法律法规、基金合同和招募说明书的规定进行信息披露，详见招募说明书的规定。</w:t>
      </w:r>
    </w:p>
    <w:p w:rsidR="00562FFD" w:rsidRDefault="003317D3">
      <w:pPr>
        <w:spacing w:line="360" w:lineRule="auto"/>
        <w:ind w:firstLineChars="200" w:firstLine="480"/>
        <w:rPr>
          <w:rFonts w:ascii="宋体" w:hAnsi="宋体"/>
          <w:bCs/>
          <w:sz w:val="24"/>
          <w:szCs w:val="20"/>
        </w:rPr>
      </w:pPr>
      <w:r>
        <w:rPr>
          <w:rFonts w:ascii="宋体" w:hAnsi="宋体" w:hint="eastAsia"/>
          <w:sz w:val="24"/>
          <w:szCs w:val="20"/>
        </w:rPr>
        <w:t>（</w:t>
      </w:r>
      <w:r>
        <w:rPr>
          <w:rFonts w:ascii="宋体" w:hAnsi="宋体" w:hint="eastAsia"/>
          <w:bCs/>
          <w:sz w:val="24"/>
          <w:szCs w:val="20"/>
        </w:rPr>
        <w:t>十八</w:t>
      </w:r>
      <w:r>
        <w:rPr>
          <w:rFonts w:ascii="宋体" w:hAnsi="宋体" w:hint="eastAsia"/>
          <w:sz w:val="24"/>
          <w:szCs w:val="20"/>
        </w:rPr>
        <w:t>）中国证监会规定的其他信息。</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六、信息披露事务管理</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基金管理人、基金托管人应当建立健全信息披露管理制度，指定</w:t>
      </w:r>
      <w:r>
        <w:rPr>
          <w:rFonts w:ascii="宋体" w:hAnsi="宋体" w:hint="eastAsia"/>
          <w:bCs/>
          <w:sz w:val="24"/>
          <w:szCs w:val="20"/>
        </w:rPr>
        <w:t>专门部门及高级管理人员</w:t>
      </w:r>
      <w:r>
        <w:rPr>
          <w:rFonts w:ascii="宋体" w:hAnsi="宋体" w:hint="eastAsia"/>
          <w:sz w:val="24"/>
          <w:szCs w:val="20"/>
        </w:rPr>
        <w:t>负责管理信息披露事务。</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基金信息披露义务人公开披露基金信息，应当符合中国证监会相关基金信息披露内容与格式准则</w:t>
      </w:r>
      <w:r>
        <w:rPr>
          <w:rFonts w:ascii="宋体" w:hAnsi="宋体"/>
          <w:bCs/>
          <w:sz w:val="24"/>
          <w:szCs w:val="20"/>
        </w:rPr>
        <w:t>等法规</w:t>
      </w:r>
      <w:r>
        <w:rPr>
          <w:rFonts w:ascii="宋体" w:hAnsi="宋体" w:hint="eastAsia"/>
          <w:sz w:val="24"/>
          <w:szCs w:val="20"/>
        </w:rPr>
        <w:t>的规定。</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基金托管人应当按照相关法律法规、中国证监会的规定和《基金合同》的约定，对基金管理人编制的基金资产净值、基金份额申购赎回价格、各类基金份额净值、基金定期报告</w:t>
      </w:r>
      <w:r>
        <w:rPr>
          <w:rFonts w:ascii="宋体" w:hAnsi="宋体" w:hint="eastAsia"/>
          <w:bCs/>
          <w:sz w:val="24"/>
          <w:szCs w:val="20"/>
        </w:rPr>
        <w:t>、</w:t>
      </w:r>
      <w:r>
        <w:rPr>
          <w:rFonts w:ascii="宋体" w:hAnsi="宋体" w:hint="eastAsia"/>
          <w:sz w:val="24"/>
          <w:szCs w:val="20"/>
        </w:rPr>
        <w:t>更新的招募说明书</w:t>
      </w:r>
      <w:r>
        <w:rPr>
          <w:rFonts w:ascii="宋体" w:hAnsi="宋体" w:hint="eastAsia"/>
          <w:bCs/>
          <w:sz w:val="24"/>
          <w:szCs w:val="20"/>
        </w:rPr>
        <w:t>、基金产品资料概要、基金清算报告</w:t>
      </w:r>
      <w:r>
        <w:rPr>
          <w:rFonts w:ascii="宋体" w:hAnsi="宋体" w:hint="eastAsia"/>
          <w:sz w:val="24"/>
          <w:szCs w:val="20"/>
        </w:rPr>
        <w:t>等相关基金信息进行复核、审查，并向基金管理人</w:t>
      </w:r>
      <w:r>
        <w:rPr>
          <w:rFonts w:ascii="宋体" w:hAnsi="宋体" w:hint="eastAsia"/>
          <w:bCs/>
          <w:sz w:val="24"/>
          <w:szCs w:val="20"/>
        </w:rPr>
        <w:t>进行</w:t>
      </w:r>
      <w:r>
        <w:rPr>
          <w:rFonts w:ascii="宋体" w:hAnsi="宋体" w:hint="eastAsia"/>
          <w:sz w:val="24"/>
          <w:szCs w:val="20"/>
        </w:rPr>
        <w:t>书面</w:t>
      </w:r>
      <w:r>
        <w:rPr>
          <w:rFonts w:ascii="宋体" w:hAnsi="宋体" w:hint="eastAsia"/>
          <w:bCs/>
          <w:sz w:val="24"/>
          <w:szCs w:val="20"/>
        </w:rPr>
        <w:t>或电子</w:t>
      </w:r>
      <w:r>
        <w:rPr>
          <w:rFonts w:ascii="宋体" w:hAnsi="宋体" w:hint="eastAsia"/>
          <w:sz w:val="24"/>
          <w:szCs w:val="20"/>
        </w:rPr>
        <w:t>确认。</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基金管理人、基金托管人应当在规定报刊</w:t>
      </w:r>
      <w:r>
        <w:rPr>
          <w:rFonts w:ascii="宋体" w:hAnsi="宋体" w:hint="eastAsia"/>
          <w:bCs/>
          <w:sz w:val="24"/>
          <w:szCs w:val="20"/>
        </w:rPr>
        <w:t>中选择一家报刊披露本基金的信息。基金管理人、基金托管人应当向中国证监会基金电子披露网站报送拟披露的基金信息，并保证相关报送信息的真实、准确、完整、及时</w:t>
      </w:r>
      <w:r>
        <w:rPr>
          <w:rFonts w:ascii="宋体" w:hAnsi="宋体" w:hint="eastAsia"/>
          <w:sz w:val="24"/>
          <w:szCs w:val="20"/>
        </w:rPr>
        <w:t>。</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基金管理人、基金托管人除按法律法规要求披露信息外，也可着眼于为投资者决策提供有用信息的角度，在保证公平对待投资者、</w:t>
      </w:r>
      <w:proofErr w:type="gramStart"/>
      <w:r>
        <w:rPr>
          <w:rFonts w:ascii="宋体" w:hAnsi="宋体" w:hint="eastAsia"/>
          <w:sz w:val="24"/>
          <w:szCs w:val="20"/>
        </w:rPr>
        <w:t>不</w:t>
      </w:r>
      <w:proofErr w:type="gramEnd"/>
      <w:r>
        <w:rPr>
          <w:rFonts w:ascii="宋体" w:hAnsi="宋体" w:hint="eastAsia"/>
          <w:sz w:val="24"/>
          <w:szCs w:val="20"/>
        </w:rPr>
        <w:t>误导投资者、不影响基金正常投资操作的前提下，自主提升信息披露服务的质量。具体要求应当符合中国证监会相关规定。前述自主披露如产生信息披露费用，该费用不得从基金财产中列支。</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基金管理人、基金托管人除依法在规定媒介上披露信息外，还可以根据需要在其他公共媒介披露信息，但是其他公共媒介不得早于规定媒介披露信息，并且在不同媒介上披露同一信息的内容应当一致。</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为基金信息披露义务人公开披露的基金信息出具审计报告、法律意见书的专业机构，应当制作工作底稿，并将相关档案至少保存到《基金合同》终止后</w:t>
      </w:r>
      <w:r>
        <w:rPr>
          <w:rFonts w:ascii="宋体" w:hAnsi="宋体"/>
          <w:sz w:val="24"/>
          <w:szCs w:val="20"/>
        </w:rPr>
        <w:t>10</w:t>
      </w:r>
      <w:r>
        <w:rPr>
          <w:rFonts w:ascii="宋体" w:hAnsi="宋体" w:hint="eastAsia"/>
          <w:sz w:val="24"/>
          <w:szCs w:val="20"/>
        </w:rPr>
        <w:t>年。</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t>七、信息披露文件的存放与查阅</w:t>
      </w:r>
    </w:p>
    <w:p w:rsidR="00562FFD" w:rsidRDefault="003317D3">
      <w:pPr>
        <w:spacing w:line="360" w:lineRule="auto"/>
        <w:ind w:firstLineChars="200" w:firstLine="480"/>
        <w:rPr>
          <w:rFonts w:ascii="宋体" w:hAnsi="宋体"/>
          <w:sz w:val="24"/>
          <w:szCs w:val="20"/>
        </w:rPr>
      </w:pPr>
      <w:r>
        <w:rPr>
          <w:rFonts w:ascii="宋体" w:hAnsi="宋体" w:hint="eastAsia"/>
          <w:bCs/>
          <w:sz w:val="24"/>
          <w:szCs w:val="20"/>
        </w:rPr>
        <w:t>依法必须披露的信息发布</w:t>
      </w:r>
      <w:r>
        <w:rPr>
          <w:rFonts w:ascii="宋体" w:hAnsi="宋体" w:hint="eastAsia"/>
          <w:sz w:val="24"/>
          <w:szCs w:val="20"/>
        </w:rPr>
        <w:t>后，基金管理人、基金托管</w:t>
      </w:r>
      <w:r>
        <w:rPr>
          <w:rFonts w:ascii="宋体" w:hAnsi="宋体" w:hint="eastAsia"/>
          <w:bCs/>
          <w:sz w:val="24"/>
          <w:szCs w:val="20"/>
        </w:rPr>
        <w:t>人应当按照相关法律法规规定将信息置备于各自</w:t>
      </w:r>
      <w:r>
        <w:rPr>
          <w:rFonts w:ascii="宋体" w:hAnsi="宋体" w:hint="eastAsia"/>
          <w:sz w:val="24"/>
          <w:szCs w:val="20"/>
        </w:rPr>
        <w:t>住所，供</w:t>
      </w:r>
      <w:r>
        <w:rPr>
          <w:rFonts w:ascii="宋体" w:hAnsi="宋体" w:hint="eastAsia"/>
          <w:bCs/>
          <w:sz w:val="24"/>
          <w:szCs w:val="20"/>
        </w:rPr>
        <w:t>社会</w:t>
      </w:r>
      <w:r>
        <w:rPr>
          <w:rFonts w:ascii="宋体" w:hAnsi="宋体" w:hint="eastAsia"/>
          <w:sz w:val="24"/>
          <w:szCs w:val="20"/>
        </w:rPr>
        <w:t>公众查阅、复制。</w:t>
      </w:r>
    </w:p>
    <w:p w:rsidR="00562FFD" w:rsidRDefault="003317D3">
      <w:pPr>
        <w:spacing w:line="360" w:lineRule="auto"/>
        <w:ind w:firstLineChars="200" w:firstLine="480"/>
        <w:rPr>
          <w:rFonts w:ascii="宋体" w:hAnsi="宋体"/>
          <w:sz w:val="24"/>
          <w:szCs w:val="20"/>
        </w:rPr>
      </w:pPr>
      <w:r>
        <w:rPr>
          <w:rFonts w:ascii="宋体" w:hAnsi="宋体" w:hint="eastAsia"/>
          <w:sz w:val="24"/>
          <w:szCs w:val="20"/>
        </w:rPr>
        <w:lastRenderedPageBreak/>
        <w:t>八、当出现下述情况时，基金管理人和基金托管人可暂停或延迟披露基金相关信息：</w:t>
      </w:r>
    </w:p>
    <w:p w:rsidR="00562FFD" w:rsidRDefault="003317D3">
      <w:pPr>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发生暂停估值的情形；</w:t>
      </w:r>
    </w:p>
    <w:p w:rsidR="00562FFD" w:rsidRDefault="003317D3">
      <w:pPr>
        <w:spacing w:line="360" w:lineRule="auto"/>
        <w:ind w:firstLineChars="200" w:firstLine="480"/>
        <w:rPr>
          <w:rFonts w:ascii="宋体" w:hAnsi="宋体"/>
          <w:sz w:val="24"/>
          <w:szCs w:val="20"/>
        </w:rPr>
      </w:pPr>
      <w:r>
        <w:rPr>
          <w:rFonts w:ascii="宋体" w:hAnsi="宋体"/>
          <w:sz w:val="24"/>
          <w:szCs w:val="20"/>
        </w:rPr>
        <w:t>2、因不可抗力或其他情形致使基金管理人、基金托管人无法准确评估基金</w:t>
      </w:r>
      <w:r>
        <w:rPr>
          <w:rFonts w:ascii="宋体" w:hAnsi="宋体" w:hint="eastAsia"/>
          <w:sz w:val="24"/>
          <w:szCs w:val="20"/>
        </w:rPr>
        <w:t>资产价值时；</w:t>
      </w:r>
    </w:p>
    <w:p w:rsidR="00562FFD" w:rsidRDefault="003317D3">
      <w:pPr>
        <w:spacing w:line="360" w:lineRule="auto"/>
        <w:ind w:firstLineChars="200" w:firstLine="480"/>
        <w:rPr>
          <w:rFonts w:ascii="宋体" w:hAnsi="宋体"/>
          <w:sz w:val="24"/>
          <w:szCs w:val="20"/>
        </w:rPr>
      </w:pPr>
      <w:r>
        <w:rPr>
          <w:rFonts w:ascii="宋体" w:hAnsi="宋体"/>
          <w:sz w:val="24"/>
          <w:szCs w:val="20"/>
        </w:rPr>
        <w:t>3</w:t>
      </w:r>
      <w:r>
        <w:rPr>
          <w:rFonts w:ascii="宋体" w:hAnsi="宋体" w:hint="eastAsia"/>
          <w:sz w:val="24"/>
          <w:szCs w:val="20"/>
        </w:rPr>
        <w:t>、法律法规规定、中国证监会或《基金合同》认定的其他情形。</w:t>
      </w:r>
    </w:p>
    <w:p w:rsidR="00562FFD" w:rsidRDefault="00562FFD">
      <w:pPr>
        <w:spacing w:line="360" w:lineRule="auto"/>
        <w:ind w:firstLineChars="200" w:firstLine="480"/>
        <w:rPr>
          <w:rFonts w:ascii="宋体" w:hAnsi="宋体"/>
          <w:bCs/>
          <w:sz w:val="24"/>
        </w:rPr>
      </w:pPr>
    </w:p>
    <w:p w:rsidR="00562FFD" w:rsidRDefault="003317D3">
      <w:pPr>
        <w:spacing w:line="360" w:lineRule="auto"/>
        <w:ind w:firstLineChars="200" w:firstLine="480"/>
        <w:rPr>
          <w:rFonts w:hAnsi="宋体"/>
          <w:b/>
          <w:sz w:val="24"/>
        </w:rPr>
      </w:pPr>
      <w:r>
        <w:rPr>
          <w:rFonts w:hAnsi="宋体"/>
          <w:sz w:val="24"/>
        </w:rPr>
        <w:br w:type="page"/>
      </w:r>
      <w:bookmarkStart w:id="73" w:name="_Toc164766397"/>
      <w:bookmarkStart w:id="74" w:name="_Toc34222309"/>
    </w:p>
    <w:p w:rsidR="00562FFD" w:rsidRDefault="003317D3">
      <w:pPr>
        <w:pStyle w:val="af0"/>
        <w:rPr>
          <w:b w:val="0"/>
          <w:szCs w:val="28"/>
        </w:rPr>
      </w:pPr>
      <w:bookmarkStart w:id="75" w:name="_Toc56692699"/>
      <w:r>
        <w:rPr>
          <w:rFonts w:hint="eastAsia"/>
          <w:szCs w:val="28"/>
        </w:rPr>
        <w:lastRenderedPageBreak/>
        <w:t xml:space="preserve">第十六部分 </w:t>
      </w:r>
      <w:proofErr w:type="gramStart"/>
      <w:r>
        <w:rPr>
          <w:rFonts w:hint="eastAsia"/>
          <w:szCs w:val="28"/>
        </w:rPr>
        <w:t>侧袋机制</w:t>
      </w:r>
      <w:bookmarkEnd w:id="75"/>
      <w:proofErr w:type="gramEnd"/>
    </w:p>
    <w:p w:rsidR="00562FFD" w:rsidRDefault="003317D3">
      <w:pPr>
        <w:spacing w:line="360" w:lineRule="auto"/>
        <w:ind w:firstLineChars="200" w:firstLine="480"/>
        <w:rPr>
          <w:rFonts w:ascii="宋体" w:hAnsi="宋体"/>
          <w:sz w:val="24"/>
        </w:rPr>
      </w:pPr>
      <w:r>
        <w:rPr>
          <w:rFonts w:ascii="宋体" w:hAnsi="宋体" w:hint="eastAsia"/>
          <w:sz w:val="24"/>
        </w:rPr>
        <w:t>一、</w:t>
      </w:r>
      <w:proofErr w:type="gramStart"/>
      <w:r>
        <w:rPr>
          <w:rFonts w:ascii="宋体" w:hAnsi="宋体" w:hint="eastAsia"/>
          <w:sz w:val="24"/>
        </w:rPr>
        <w:t>侧袋机制</w:t>
      </w:r>
      <w:proofErr w:type="gramEnd"/>
      <w:r>
        <w:rPr>
          <w:rFonts w:ascii="宋体" w:hAnsi="宋体" w:hint="eastAsia"/>
          <w:sz w:val="24"/>
        </w:rPr>
        <w:t xml:space="preserve">的实施条件、实施程序和特定资产范围 </w:t>
      </w:r>
    </w:p>
    <w:p w:rsidR="00562FFD" w:rsidRDefault="003317D3">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，无需召开基金份额持有人大会。基金管理人应当在启用</w:t>
      </w:r>
      <w:proofErr w:type="gramStart"/>
      <w:r>
        <w:rPr>
          <w:rFonts w:ascii="宋体" w:hAnsi="宋体" w:hint="eastAsia"/>
          <w:sz w:val="24"/>
        </w:rPr>
        <w:t>侧袋机制当</w:t>
      </w:r>
      <w:proofErr w:type="gramEnd"/>
      <w:r>
        <w:rPr>
          <w:rFonts w:ascii="宋体" w:hAnsi="宋体" w:hint="eastAsia"/>
          <w:sz w:val="24"/>
        </w:rPr>
        <w:t>日报中国证监会及公司所在地中国证监会派出机构备案。</w:t>
      </w:r>
    </w:p>
    <w:p w:rsidR="00562FFD" w:rsidRDefault="003317D3">
      <w:pPr>
        <w:spacing w:line="360" w:lineRule="auto"/>
        <w:ind w:firstLineChars="200" w:firstLine="480"/>
        <w:rPr>
          <w:rFonts w:ascii="宋体" w:hAnsi="宋体"/>
          <w:sz w:val="24"/>
        </w:rPr>
      </w:pPr>
      <w:r>
        <w:rPr>
          <w:rFonts w:ascii="宋体" w:hAnsi="宋体" w:hint="eastAsia"/>
          <w:sz w:val="24"/>
        </w:rPr>
        <w:t>特定资产包括：（1）无可参考的活跃市场价格且采用估值技术</w:t>
      </w:r>
      <w:proofErr w:type="gramStart"/>
      <w:r>
        <w:rPr>
          <w:rFonts w:ascii="宋体" w:hAnsi="宋体" w:hint="eastAsia"/>
          <w:sz w:val="24"/>
        </w:rPr>
        <w:t>仍导致</w:t>
      </w:r>
      <w:proofErr w:type="gramEnd"/>
      <w:r>
        <w:rPr>
          <w:rFonts w:ascii="宋体" w:hAnsi="宋体" w:hint="eastAsia"/>
          <w:sz w:val="24"/>
        </w:rPr>
        <w:t>公允价值存在重大不确定性的资产；（2）</w:t>
      </w:r>
      <w:proofErr w:type="gramStart"/>
      <w:r>
        <w:rPr>
          <w:rFonts w:ascii="宋体" w:hAnsi="宋体" w:hint="eastAsia"/>
          <w:sz w:val="24"/>
        </w:rPr>
        <w:t>按摊余成本</w:t>
      </w:r>
      <w:proofErr w:type="gramEnd"/>
      <w:r>
        <w:rPr>
          <w:rFonts w:ascii="宋体" w:hAnsi="宋体" w:hint="eastAsia"/>
          <w:sz w:val="24"/>
        </w:rPr>
        <w:t>计量且计提资产减值</w:t>
      </w:r>
      <w:proofErr w:type="gramStart"/>
      <w:r>
        <w:rPr>
          <w:rFonts w:ascii="宋体" w:hAnsi="宋体" w:hint="eastAsia"/>
          <w:sz w:val="24"/>
        </w:rPr>
        <w:t>准备仍导致</w:t>
      </w:r>
      <w:proofErr w:type="gramEnd"/>
      <w:r>
        <w:rPr>
          <w:rFonts w:ascii="宋体" w:hAnsi="宋体" w:hint="eastAsia"/>
          <w:sz w:val="24"/>
        </w:rPr>
        <w:t>资产价值存在重大不确定性的资产；（3）其他资产价值存在重大不确定性的资产。</w:t>
      </w:r>
    </w:p>
    <w:p w:rsidR="00562FFD" w:rsidRDefault="003317D3">
      <w:pPr>
        <w:spacing w:line="360" w:lineRule="auto"/>
        <w:ind w:firstLineChars="200" w:firstLine="480"/>
        <w:rPr>
          <w:rFonts w:ascii="宋体" w:hAnsi="宋体"/>
          <w:sz w:val="24"/>
        </w:rPr>
      </w:pPr>
      <w:r>
        <w:rPr>
          <w:rFonts w:ascii="宋体" w:hAnsi="宋体" w:hint="eastAsia"/>
          <w:sz w:val="24"/>
        </w:rPr>
        <w:t>二、</w:t>
      </w:r>
      <w:proofErr w:type="gramStart"/>
      <w:r>
        <w:rPr>
          <w:rFonts w:ascii="宋体" w:hAnsi="宋体" w:hint="eastAsia"/>
          <w:sz w:val="24"/>
        </w:rPr>
        <w:t>侧袋机制</w:t>
      </w:r>
      <w:proofErr w:type="gramEnd"/>
      <w:r>
        <w:rPr>
          <w:rFonts w:ascii="宋体" w:hAnsi="宋体" w:hint="eastAsia"/>
          <w:sz w:val="24"/>
        </w:rPr>
        <w:t>实施期间的基金运作安排</w:t>
      </w:r>
    </w:p>
    <w:p w:rsidR="00562FFD" w:rsidRDefault="003317D3">
      <w:pPr>
        <w:spacing w:line="360" w:lineRule="auto"/>
        <w:ind w:firstLineChars="200" w:firstLine="480"/>
        <w:rPr>
          <w:rFonts w:ascii="宋体" w:hAnsi="宋体"/>
          <w:sz w:val="24"/>
        </w:rPr>
      </w:pPr>
      <w:r>
        <w:rPr>
          <w:rFonts w:ascii="宋体" w:hAnsi="宋体" w:hint="eastAsia"/>
          <w:sz w:val="24"/>
        </w:rPr>
        <w:t>（一）基金份额的申购与赎回</w:t>
      </w:r>
    </w:p>
    <w:p w:rsidR="00562FFD" w:rsidRDefault="003317D3">
      <w:pPr>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侧袋机制</w:t>
      </w:r>
      <w:proofErr w:type="gramEnd"/>
      <w:r>
        <w:rPr>
          <w:rFonts w:ascii="宋体" w:hAnsi="宋体" w:hint="eastAsia"/>
          <w:sz w:val="24"/>
        </w:rPr>
        <w:t>实施期间，基金管理人不</w:t>
      </w:r>
      <w:proofErr w:type="gramStart"/>
      <w:r>
        <w:rPr>
          <w:rFonts w:ascii="宋体" w:hAnsi="宋体" w:hint="eastAsia"/>
          <w:sz w:val="24"/>
        </w:rPr>
        <w:t>办理侧袋账户</w:t>
      </w:r>
      <w:proofErr w:type="gramEnd"/>
      <w:r>
        <w:rPr>
          <w:rFonts w:ascii="宋体" w:hAnsi="宋体" w:hint="eastAsia"/>
          <w:sz w:val="24"/>
        </w:rPr>
        <w:t>的申购、赎回和转换。基金份额持有人申请申购、赎回或转换侧袋账户基金份额的，该申购、赎回或转换申请将被拒绝。</w:t>
      </w:r>
    </w:p>
    <w:p w:rsidR="00562FFD" w:rsidRDefault="003317D3">
      <w:pPr>
        <w:spacing w:line="360" w:lineRule="auto"/>
        <w:ind w:firstLineChars="200" w:firstLine="480"/>
        <w:rPr>
          <w:rFonts w:ascii="宋体" w:hAnsi="宋体"/>
          <w:sz w:val="24"/>
        </w:rPr>
      </w:pPr>
      <w:r>
        <w:rPr>
          <w:rFonts w:ascii="宋体" w:hAnsi="宋体" w:hint="eastAsia"/>
          <w:sz w:val="24"/>
        </w:rPr>
        <w:t>2、当特定资产占前一估值日基金资产净值50%以上的，经与基金托管人协商确认后，基金管理人应当暂停基金估值，并暂停接受基金申购赎回申请或延缓支付赎回款项。</w:t>
      </w:r>
    </w:p>
    <w:p w:rsidR="00562FFD" w:rsidRDefault="003317D3">
      <w:pPr>
        <w:spacing w:line="360" w:lineRule="auto"/>
        <w:ind w:firstLineChars="200" w:firstLine="480"/>
        <w:rPr>
          <w:rFonts w:ascii="宋体" w:hAnsi="宋体"/>
          <w:sz w:val="24"/>
        </w:rPr>
      </w:pPr>
      <w:r>
        <w:rPr>
          <w:rFonts w:ascii="宋体" w:hAnsi="宋体" w:hint="eastAsia"/>
          <w:sz w:val="24"/>
        </w:rPr>
        <w:t>3、基金管理人依法</w:t>
      </w:r>
      <w:proofErr w:type="gramStart"/>
      <w:r>
        <w:rPr>
          <w:rFonts w:ascii="宋体" w:hAnsi="宋体" w:hint="eastAsia"/>
          <w:sz w:val="24"/>
        </w:rPr>
        <w:t>保障主袋账户</w:t>
      </w:r>
      <w:proofErr w:type="gramEnd"/>
      <w:r>
        <w:rPr>
          <w:rFonts w:ascii="宋体" w:hAnsi="宋体" w:hint="eastAsia"/>
          <w:sz w:val="24"/>
        </w:rPr>
        <w:t>份额持有人享有基金合同约定的赎回权利，并</w:t>
      </w:r>
      <w:proofErr w:type="gramStart"/>
      <w:r>
        <w:rPr>
          <w:rFonts w:ascii="宋体" w:hAnsi="宋体" w:hint="eastAsia"/>
          <w:sz w:val="24"/>
        </w:rPr>
        <w:t>根据主袋账户</w:t>
      </w:r>
      <w:proofErr w:type="gramEnd"/>
      <w:r>
        <w:rPr>
          <w:rFonts w:ascii="宋体" w:hAnsi="宋体" w:hint="eastAsia"/>
          <w:sz w:val="24"/>
        </w:rPr>
        <w:t>运作情况合理确定申购事项，具体事项届时由基金管理人在相关公告中规定。</w:t>
      </w:r>
    </w:p>
    <w:p w:rsidR="00562FFD" w:rsidRDefault="003317D3">
      <w:pPr>
        <w:spacing w:line="360" w:lineRule="auto"/>
        <w:ind w:firstLineChars="200" w:firstLine="480"/>
        <w:rPr>
          <w:rFonts w:ascii="宋体" w:hAnsi="宋体"/>
          <w:sz w:val="24"/>
        </w:rPr>
      </w:pPr>
      <w:r>
        <w:rPr>
          <w:rFonts w:ascii="宋体" w:hAnsi="宋体" w:hint="eastAsia"/>
          <w:sz w:val="24"/>
        </w:rPr>
        <w:t>对于启用</w:t>
      </w:r>
      <w:proofErr w:type="gramStart"/>
      <w:r>
        <w:rPr>
          <w:rFonts w:ascii="宋体" w:hAnsi="宋体" w:hint="eastAsia"/>
          <w:sz w:val="24"/>
        </w:rPr>
        <w:t>侧袋机制</w:t>
      </w:r>
      <w:proofErr w:type="gramEnd"/>
      <w:r>
        <w:rPr>
          <w:rFonts w:ascii="宋体" w:hAnsi="宋体" w:hint="eastAsia"/>
          <w:sz w:val="24"/>
        </w:rPr>
        <w:t>当日收到的赎回申请，基金管理人仅</w:t>
      </w:r>
      <w:proofErr w:type="gramStart"/>
      <w:r>
        <w:rPr>
          <w:rFonts w:ascii="宋体" w:hAnsi="宋体" w:hint="eastAsia"/>
          <w:sz w:val="24"/>
        </w:rPr>
        <w:t>办理主袋账户</w:t>
      </w:r>
      <w:proofErr w:type="gramEnd"/>
      <w:r>
        <w:rPr>
          <w:rFonts w:ascii="宋体" w:hAnsi="宋体" w:hint="eastAsia"/>
          <w:sz w:val="24"/>
        </w:rPr>
        <w:t>的赎回申请并支付赎回款项。在启用</w:t>
      </w:r>
      <w:proofErr w:type="gramStart"/>
      <w:r>
        <w:rPr>
          <w:rFonts w:ascii="宋体" w:hAnsi="宋体" w:hint="eastAsia"/>
          <w:sz w:val="24"/>
        </w:rPr>
        <w:t>侧袋机制</w:t>
      </w:r>
      <w:proofErr w:type="gramEnd"/>
      <w:r>
        <w:rPr>
          <w:rFonts w:ascii="宋体" w:hAnsi="宋体" w:hint="eastAsia"/>
          <w:sz w:val="24"/>
        </w:rPr>
        <w:t>当日收到的申购申请，视为投资者对侧</w:t>
      </w:r>
      <w:proofErr w:type="gramStart"/>
      <w:r>
        <w:rPr>
          <w:rFonts w:ascii="宋体" w:hAnsi="宋体" w:hint="eastAsia"/>
          <w:sz w:val="24"/>
        </w:rPr>
        <w:t>袋机制</w:t>
      </w:r>
      <w:proofErr w:type="gramEnd"/>
      <w:r>
        <w:rPr>
          <w:rFonts w:ascii="宋体" w:hAnsi="宋体" w:hint="eastAsia"/>
          <w:sz w:val="24"/>
        </w:rPr>
        <w:t>启用后</w:t>
      </w:r>
      <w:proofErr w:type="gramStart"/>
      <w:r>
        <w:rPr>
          <w:rFonts w:ascii="宋体" w:hAnsi="宋体" w:hint="eastAsia"/>
          <w:sz w:val="24"/>
        </w:rPr>
        <w:t>的主袋账户</w:t>
      </w:r>
      <w:proofErr w:type="gramEnd"/>
      <w:r>
        <w:rPr>
          <w:rFonts w:ascii="宋体" w:hAnsi="宋体" w:hint="eastAsia"/>
          <w:sz w:val="24"/>
        </w:rPr>
        <w:t>提交的申购申请。</w:t>
      </w:r>
    </w:p>
    <w:p w:rsidR="00562FFD" w:rsidRDefault="003317D3">
      <w:pPr>
        <w:spacing w:line="360" w:lineRule="auto"/>
        <w:ind w:firstLineChars="200" w:firstLine="480"/>
        <w:rPr>
          <w:rFonts w:ascii="宋体" w:hAnsi="宋体"/>
          <w:sz w:val="24"/>
        </w:rPr>
      </w:pPr>
      <w:r>
        <w:rPr>
          <w:rFonts w:ascii="宋体" w:hAnsi="宋体" w:hint="eastAsia"/>
          <w:sz w:val="24"/>
        </w:rPr>
        <w:t>（二）基金份额的登记</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实施期间，基金管理人对侧袋账户份额实行独立管理，</w:t>
      </w:r>
      <w:proofErr w:type="gramStart"/>
      <w:r>
        <w:rPr>
          <w:rFonts w:ascii="宋体" w:hAnsi="宋体" w:hint="eastAsia"/>
          <w:sz w:val="24"/>
        </w:rPr>
        <w:t>主袋账户</w:t>
      </w:r>
      <w:proofErr w:type="gramEnd"/>
      <w:r>
        <w:rPr>
          <w:rFonts w:ascii="宋体" w:hAnsi="宋体" w:hint="eastAsia"/>
          <w:sz w:val="24"/>
        </w:rPr>
        <w:t>沿用</w:t>
      </w:r>
      <w:proofErr w:type="gramStart"/>
      <w:r>
        <w:rPr>
          <w:rFonts w:ascii="宋体" w:hAnsi="宋体" w:hint="eastAsia"/>
          <w:sz w:val="24"/>
        </w:rPr>
        <w:t>原基金</w:t>
      </w:r>
      <w:proofErr w:type="gramEnd"/>
      <w:r>
        <w:rPr>
          <w:rFonts w:ascii="宋体" w:hAnsi="宋体" w:hint="eastAsia"/>
          <w:sz w:val="24"/>
        </w:rPr>
        <w:t>代码，</w:t>
      </w:r>
      <w:proofErr w:type="gramStart"/>
      <w:r>
        <w:rPr>
          <w:rFonts w:ascii="宋体" w:hAnsi="宋体" w:hint="eastAsia"/>
          <w:sz w:val="24"/>
        </w:rPr>
        <w:t>侧袋账户</w:t>
      </w:r>
      <w:proofErr w:type="gramEnd"/>
      <w:r>
        <w:rPr>
          <w:rFonts w:ascii="宋体" w:hAnsi="宋体" w:hint="eastAsia"/>
          <w:sz w:val="24"/>
        </w:rPr>
        <w:t>使用独立的基金代码。</w:t>
      </w:r>
      <w:proofErr w:type="gramStart"/>
      <w:r>
        <w:rPr>
          <w:rFonts w:ascii="宋体" w:hAnsi="宋体" w:hint="eastAsia"/>
          <w:sz w:val="24"/>
        </w:rPr>
        <w:t>侧袋账户</w:t>
      </w:r>
      <w:proofErr w:type="gramEnd"/>
      <w:r>
        <w:rPr>
          <w:rFonts w:ascii="宋体" w:hAnsi="宋体" w:hint="eastAsia"/>
          <w:sz w:val="24"/>
        </w:rPr>
        <w:t>份额的名称以“基金简称+侧袋标识S+侧袋账户建立日期”格式设定，</w:t>
      </w:r>
      <w:proofErr w:type="gramStart"/>
      <w:r>
        <w:rPr>
          <w:rFonts w:ascii="宋体" w:hAnsi="宋体" w:hint="eastAsia"/>
          <w:sz w:val="24"/>
        </w:rPr>
        <w:t>同时主袋账户</w:t>
      </w:r>
      <w:proofErr w:type="gramEnd"/>
      <w:r>
        <w:rPr>
          <w:rFonts w:ascii="宋体" w:hAnsi="宋体" w:hint="eastAsia"/>
          <w:sz w:val="24"/>
        </w:rPr>
        <w:t>份额的名称增加大写字母M标识作为后缀。基金</w:t>
      </w:r>
      <w:proofErr w:type="gramStart"/>
      <w:r>
        <w:rPr>
          <w:rFonts w:ascii="宋体" w:hAnsi="宋体" w:hint="eastAsia"/>
          <w:sz w:val="24"/>
        </w:rPr>
        <w:t>所有侧袋账户</w:t>
      </w:r>
      <w:proofErr w:type="gramEnd"/>
      <w:r>
        <w:rPr>
          <w:rFonts w:ascii="宋体" w:hAnsi="宋体" w:hint="eastAsia"/>
          <w:sz w:val="24"/>
        </w:rPr>
        <w:t>注销后，将</w:t>
      </w:r>
      <w:proofErr w:type="gramStart"/>
      <w:r>
        <w:rPr>
          <w:rFonts w:ascii="宋体" w:hAnsi="宋体" w:hint="eastAsia"/>
          <w:sz w:val="24"/>
        </w:rPr>
        <w:t>取消主袋账户</w:t>
      </w:r>
      <w:proofErr w:type="gramEnd"/>
      <w:r>
        <w:rPr>
          <w:rFonts w:ascii="宋体" w:hAnsi="宋体" w:hint="eastAsia"/>
          <w:sz w:val="24"/>
        </w:rPr>
        <w:t>份额名称中</w:t>
      </w:r>
      <w:r>
        <w:rPr>
          <w:rFonts w:ascii="宋体" w:hAnsi="宋体" w:hint="eastAsia"/>
          <w:sz w:val="24"/>
        </w:rPr>
        <w:lastRenderedPageBreak/>
        <w:t>的M标识。</w:t>
      </w:r>
    </w:p>
    <w:p w:rsidR="00562FFD" w:rsidRDefault="003317D3">
      <w:pPr>
        <w:spacing w:line="360" w:lineRule="auto"/>
        <w:ind w:firstLineChars="200" w:firstLine="480"/>
        <w:rPr>
          <w:rFonts w:ascii="宋体" w:hAnsi="宋体"/>
          <w:sz w:val="24"/>
        </w:rPr>
      </w:pPr>
      <w:r>
        <w:rPr>
          <w:rFonts w:ascii="宋体" w:hAnsi="宋体" w:hint="eastAsia"/>
          <w:sz w:val="24"/>
        </w:rPr>
        <w:t>启用</w:t>
      </w:r>
      <w:proofErr w:type="gramStart"/>
      <w:r>
        <w:rPr>
          <w:rFonts w:ascii="宋体" w:hAnsi="宋体" w:hint="eastAsia"/>
          <w:sz w:val="24"/>
        </w:rPr>
        <w:t>侧袋机制</w:t>
      </w:r>
      <w:proofErr w:type="gramEnd"/>
      <w:r>
        <w:rPr>
          <w:rFonts w:ascii="宋体" w:hAnsi="宋体" w:hint="eastAsia"/>
          <w:sz w:val="24"/>
        </w:rPr>
        <w:t>当日，基金管理人和基金服务机构将以基金份额持有人的原有账户份额为基础，确认</w:t>
      </w:r>
      <w:proofErr w:type="gramStart"/>
      <w:r>
        <w:rPr>
          <w:rFonts w:ascii="宋体" w:hAnsi="宋体" w:hint="eastAsia"/>
          <w:sz w:val="24"/>
        </w:rPr>
        <w:t>相应侧袋账户</w:t>
      </w:r>
      <w:proofErr w:type="gramEnd"/>
      <w:r>
        <w:rPr>
          <w:rFonts w:ascii="宋体" w:hAnsi="宋体" w:hint="eastAsia"/>
          <w:sz w:val="24"/>
        </w:rPr>
        <w:t>持有人名册和份额。</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资产完全清算后，基金管理人将</w:t>
      </w:r>
      <w:proofErr w:type="gramStart"/>
      <w:r>
        <w:rPr>
          <w:rFonts w:ascii="宋体" w:hAnsi="宋体" w:hint="eastAsia"/>
          <w:sz w:val="24"/>
        </w:rPr>
        <w:t>注销侧袋账户</w:t>
      </w:r>
      <w:proofErr w:type="gramEnd"/>
      <w:r>
        <w:rPr>
          <w:rFonts w:ascii="宋体" w:hAnsi="宋体" w:hint="eastAsia"/>
          <w:sz w:val="24"/>
        </w:rPr>
        <w:t>。</w:t>
      </w:r>
    </w:p>
    <w:p w:rsidR="00562FFD" w:rsidRDefault="003317D3">
      <w:pPr>
        <w:spacing w:line="360" w:lineRule="auto"/>
        <w:ind w:firstLineChars="200" w:firstLine="480"/>
        <w:rPr>
          <w:rFonts w:ascii="宋体" w:hAnsi="宋体"/>
          <w:sz w:val="24"/>
        </w:rPr>
      </w:pPr>
      <w:r>
        <w:rPr>
          <w:rFonts w:ascii="宋体" w:hAnsi="宋体" w:hint="eastAsia"/>
          <w:sz w:val="24"/>
        </w:rPr>
        <w:t xml:space="preserve"> （三）基金的投资及业绩</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实施期间，本基金的各项投资运作指标和基金业绩指标应当</w:t>
      </w:r>
      <w:proofErr w:type="gramStart"/>
      <w:r>
        <w:rPr>
          <w:rFonts w:ascii="宋体" w:hAnsi="宋体" w:hint="eastAsia"/>
          <w:sz w:val="24"/>
        </w:rPr>
        <w:t>以主袋账户</w:t>
      </w:r>
      <w:proofErr w:type="gramEnd"/>
      <w:r>
        <w:rPr>
          <w:rFonts w:ascii="宋体" w:hAnsi="宋体" w:hint="eastAsia"/>
          <w:sz w:val="24"/>
        </w:rPr>
        <w:t>资产为基准。基金管理人不得</w:t>
      </w:r>
      <w:proofErr w:type="gramStart"/>
      <w:r>
        <w:rPr>
          <w:rFonts w:ascii="宋体" w:hAnsi="宋体" w:hint="eastAsia"/>
          <w:sz w:val="24"/>
        </w:rPr>
        <w:t>在侧袋账户</w:t>
      </w:r>
      <w:proofErr w:type="gramEnd"/>
      <w:r>
        <w:rPr>
          <w:rFonts w:ascii="宋体" w:hAnsi="宋体" w:hint="eastAsia"/>
          <w:sz w:val="24"/>
        </w:rPr>
        <w:t>中进行除特定资产处置变现以外的其他投资操作。</w:t>
      </w:r>
    </w:p>
    <w:p w:rsidR="00562FFD" w:rsidRDefault="003317D3">
      <w:pPr>
        <w:spacing w:line="360" w:lineRule="auto"/>
        <w:ind w:firstLineChars="200" w:firstLine="480"/>
        <w:rPr>
          <w:rFonts w:ascii="宋体" w:hAnsi="宋体"/>
          <w:sz w:val="24"/>
        </w:rPr>
      </w:pPr>
      <w:r>
        <w:rPr>
          <w:rFonts w:ascii="宋体" w:hAnsi="宋体" w:hint="eastAsia"/>
          <w:sz w:val="24"/>
        </w:rPr>
        <w:t>基金管理人、基金服务机构在展示基金业绩时，将就前述情况进行充分的解释说明，避免引起投资者误解。</w:t>
      </w:r>
    </w:p>
    <w:p w:rsidR="00562FFD" w:rsidRDefault="003317D3">
      <w:pPr>
        <w:spacing w:line="360" w:lineRule="auto"/>
        <w:ind w:firstLineChars="200" w:firstLine="480"/>
        <w:rPr>
          <w:rFonts w:ascii="宋体" w:hAnsi="宋体"/>
          <w:sz w:val="24"/>
        </w:rPr>
      </w:pPr>
      <w:r>
        <w:rPr>
          <w:rFonts w:ascii="宋体" w:hAnsi="宋体" w:hint="eastAsia"/>
          <w:sz w:val="24"/>
        </w:rPr>
        <w:t>基金管理人原则上应当在</w:t>
      </w:r>
      <w:proofErr w:type="gramStart"/>
      <w:r>
        <w:rPr>
          <w:rFonts w:ascii="宋体" w:hAnsi="宋体" w:hint="eastAsia"/>
          <w:sz w:val="24"/>
        </w:rPr>
        <w:t>侧袋机制</w:t>
      </w:r>
      <w:proofErr w:type="gramEnd"/>
      <w:r>
        <w:rPr>
          <w:rFonts w:ascii="宋体" w:hAnsi="宋体" w:hint="eastAsia"/>
          <w:sz w:val="24"/>
        </w:rPr>
        <w:t>启用后20个交易日内完成</w:t>
      </w:r>
      <w:proofErr w:type="gramStart"/>
      <w:r>
        <w:rPr>
          <w:rFonts w:ascii="宋体" w:hAnsi="宋体" w:hint="eastAsia"/>
          <w:sz w:val="24"/>
        </w:rPr>
        <w:t>对主袋账户</w:t>
      </w:r>
      <w:proofErr w:type="gramEnd"/>
      <w:r>
        <w:rPr>
          <w:rFonts w:ascii="宋体" w:hAnsi="宋体" w:hint="eastAsia"/>
          <w:sz w:val="24"/>
        </w:rPr>
        <w:t>投资组合的调整，但因资产流动性受限等中国证监会规定的情形除外。</w:t>
      </w:r>
    </w:p>
    <w:p w:rsidR="00562FFD" w:rsidRDefault="003317D3">
      <w:pPr>
        <w:spacing w:line="360" w:lineRule="auto"/>
        <w:ind w:firstLineChars="200" w:firstLine="480"/>
        <w:rPr>
          <w:rFonts w:ascii="宋体" w:hAnsi="宋体"/>
          <w:sz w:val="24"/>
        </w:rPr>
      </w:pPr>
      <w:r>
        <w:rPr>
          <w:rFonts w:ascii="宋体" w:hAnsi="宋体" w:hint="eastAsia"/>
          <w:sz w:val="24"/>
        </w:rPr>
        <w:t>（四）基金的估值</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启用当日，基金管理人以完成日终估值后的基金净资产为基数</w:t>
      </w:r>
      <w:proofErr w:type="gramStart"/>
      <w:r>
        <w:rPr>
          <w:rFonts w:ascii="宋体" w:hAnsi="宋体" w:hint="eastAsia"/>
          <w:sz w:val="24"/>
        </w:rPr>
        <w:t>对主袋账户</w:t>
      </w:r>
      <w:proofErr w:type="gramEnd"/>
      <w:r>
        <w:rPr>
          <w:rFonts w:ascii="宋体" w:hAnsi="宋体" w:hint="eastAsia"/>
          <w:sz w:val="24"/>
        </w:rPr>
        <w:t>和</w:t>
      </w:r>
      <w:proofErr w:type="gramStart"/>
      <w:r>
        <w:rPr>
          <w:rFonts w:ascii="宋体" w:hAnsi="宋体" w:hint="eastAsia"/>
          <w:sz w:val="24"/>
        </w:rPr>
        <w:t>侧袋</w:t>
      </w:r>
      <w:proofErr w:type="gramEnd"/>
      <w:r>
        <w:rPr>
          <w:rFonts w:ascii="宋体" w:hAnsi="宋体" w:hint="eastAsia"/>
          <w:sz w:val="24"/>
        </w:rPr>
        <w:t>账户的资产进行分割，与特定资产可明确对应的资产类科目余额、除应交税费外的负债类科目余额一并</w:t>
      </w:r>
      <w:proofErr w:type="gramStart"/>
      <w:r>
        <w:rPr>
          <w:rFonts w:ascii="宋体" w:hAnsi="宋体" w:hint="eastAsia"/>
          <w:sz w:val="24"/>
        </w:rPr>
        <w:t>纳入侧袋账户</w:t>
      </w:r>
      <w:proofErr w:type="gramEnd"/>
      <w:r>
        <w:rPr>
          <w:rFonts w:ascii="宋体" w:hAnsi="宋体" w:hint="eastAsia"/>
          <w:sz w:val="24"/>
        </w:rPr>
        <w:t>。基金管理人应将特定资产作为一个整体，不能仅分割其公允价值无法确定的部分。</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实施期间，基金管理人将对侧袋账户单独设置账套，实行独立核算。如果本基金同时存在</w:t>
      </w:r>
      <w:proofErr w:type="gramStart"/>
      <w:r>
        <w:rPr>
          <w:rFonts w:ascii="宋体" w:hAnsi="宋体" w:hint="eastAsia"/>
          <w:sz w:val="24"/>
        </w:rPr>
        <w:t>多个侧袋账户</w:t>
      </w:r>
      <w:proofErr w:type="gramEnd"/>
      <w:r>
        <w:rPr>
          <w:rFonts w:ascii="宋体" w:hAnsi="宋体" w:hint="eastAsia"/>
          <w:sz w:val="24"/>
        </w:rPr>
        <w:t>，</w:t>
      </w:r>
      <w:proofErr w:type="gramStart"/>
      <w:r>
        <w:rPr>
          <w:rFonts w:ascii="宋体" w:hAnsi="宋体" w:hint="eastAsia"/>
          <w:sz w:val="24"/>
        </w:rPr>
        <w:t>不同侧袋账户</w:t>
      </w:r>
      <w:proofErr w:type="gramEnd"/>
      <w:r>
        <w:rPr>
          <w:rFonts w:ascii="宋体" w:hAnsi="宋体" w:hint="eastAsia"/>
          <w:sz w:val="24"/>
        </w:rPr>
        <w:t>将分开进行核算。</w:t>
      </w:r>
      <w:proofErr w:type="gramStart"/>
      <w:r>
        <w:rPr>
          <w:rFonts w:ascii="宋体" w:hAnsi="宋体" w:hint="eastAsia"/>
          <w:sz w:val="24"/>
        </w:rPr>
        <w:t>侧袋账户</w:t>
      </w:r>
      <w:proofErr w:type="gramEnd"/>
      <w:r>
        <w:rPr>
          <w:rFonts w:ascii="宋体" w:hAnsi="宋体" w:hint="eastAsia"/>
          <w:sz w:val="24"/>
        </w:rPr>
        <w:t>的会计核算应符合《企业会计准则》的相关要求。</w:t>
      </w:r>
    </w:p>
    <w:p w:rsidR="00562FFD" w:rsidRDefault="003317D3">
      <w:pPr>
        <w:spacing w:line="360" w:lineRule="auto"/>
        <w:ind w:firstLineChars="200" w:firstLine="480"/>
        <w:rPr>
          <w:rFonts w:ascii="宋体" w:hAnsi="宋体"/>
          <w:sz w:val="24"/>
        </w:rPr>
      </w:pPr>
      <w:r>
        <w:rPr>
          <w:rFonts w:ascii="宋体" w:hAnsi="宋体" w:hint="eastAsia"/>
          <w:sz w:val="24"/>
        </w:rPr>
        <w:t>（五）基金的费用</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w:t>
      </w:r>
      <w:proofErr w:type="gramStart"/>
      <w:r>
        <w:rPr>
          <w:rFonts w:ascii="宋体" w:hAnsi="宋体" w:hint="eastAsia"/>
          <w:sz w:val="24"/>
        </w:rPr>
        <w:t>侧袋账户</w:t>
      </w:r>
      <w:proofErr w:type="gramEnd"/>
      <w:r>
        <w:rPr>
          <w:rFonts w:ascii="宋体" w:hAnsi="宋体" w:hint="eastAsia"/>
          <w:sz w:val="24"/>
        </w:rPr>
        <w:t>资产不收取管理费。如法律法规</w:t>
      </w:r>
      <w:proofErr w:type="gramStart"/>
      <w:r>
        <w:rPr>
          <w:rFonts w:ascii="宋体" w:hAnsi="宋体" w:hint="eastAsia"/>
          <w:sz w:val="24"/>
        </w:rPr>
        <w:t>对于侧袋</w:t>
      </w:r>
      <w:proofErr w:type="gramEnd"/>
      <w:r>
        <w:rPr>
          <w:rFonts w:ascii="宋体" w:hAnsi="宋体" w:hint="eastAsia"/>
          <w:sz w:val="24"/>
        </w:rPr>
        <w:t>账户资产托管费的收取另有规定的，以法律法规最新要求为准。因启用</w:t>
      </w:r>
      <w:proofErr w:type="gramStart"/>
      <w:r>
        <w:rPr>
          <w:rFonts w:ascii="宋体" w:hAnsi="宋体" w:hint="eastAsia"/>
          <w:sz w:val="24"/>
        </w:rPr>
        <w:t>侧袋机制</w:t>
      </w:r>
      <w:proofErr w:type="gramEnd"/>
      <w:r>
        <w:rPr>
          <w:rFonts w:ascii="宋体" w:hAnsi="宋体" w:hint="eastAsia"/>
          <w:sz w:val="24"/>
        </w:rPr>
        <w:t>产生的咨询、审计费用等由基金管理人承担。</w:t>
      </w:r>
    </w:p>
    <w:p w:rsidR="00562FFD" w:rsidRDefault="003317D3">
      <w:pPr>
        <w:spacing w:line="360" w:lineRule="auto"/>
        <w:ind w:firstLineChars="200" w:firstLine="480"/>
        <w:rPr>
          <w:rFonts w:ascii="宋体" w:hAnsi="宋体"/>
          <w:sz w:val="24"/>
        </w:rPr>
      </w:pPr>
      <w:r>
        <w:rPr>
          <w:rFonts w:ascii="宋体" w:hAnsi="宋体" w:hint="eastAsia"/>
          <w:sz w:val="24"/>
        </w:rPr>
        <w:t>基金管理人可以将</w:t>
      </w:r>
      <w:proofErr w:type="gramStart"/>
      <w:r>
        <w:rPr>
          <w:rFonts w:ascii="宋体" w:hAnsi="宋体" w:hint="eastAsia"/>
          <w:sz w:val="24"/>
        </w:rPr>
        <w:t>与侧袋账户</w:t>
      </w:r>
      <w:proofErr w:type="gramEnd"/>
      <w:r>
        <w:rPr>
          <w:rFonts w:ascii="宋体" w:hAnsi="宋体" w:hint="eastAsia"/>
          <w:sz w:val="24"/>
        </w:rPr>
        <w:t>有关的费用</w:t>
      </w:r>
      <w:proofErr w:type="gramStart"/>
      <w:r>
        <w:rPr>
          <w:rFonts w:ascii="宋体" w:hAnsi="宋体" w:hint="eastAsia"/>
          <w:sz w:val="24"/>
        </w:rPr>
        <w:t>从侧袋账户</w:t>
      </w:r>
      <w:proofErr w:type="gramEnd"/>
      <w:r>
        <w:rPr>
          <w:rFonts w:ascii="宋体" w:hAnsi="宋体" w:hint="eastAsia"/>
          <w:sz w:val="24"/>
        </w:rPr>
        <w:t xml:space="preserve">资产中列支，但应待特定资产变现后方可列支。 </w:t>
      </w:r>
    </w:p>
    <w:p w:rsidR="00562FFD" w:rsidRDefault="003317D3">
      <w:pPr>
        <w:spacing w:line="360" w:lineRule="auto"/>
        <w:ind w:firstLineChars="200" w:firstLine="480"/>
        <w:rPr>
          <w:rFonts w:ascii="宋体" w:hAnsi="宋体"/>
          <w:sz w:val="24"/>
        </w:rPr>
      </w:pPr>
      <w:r>
        <w:rPr>
          <w:rFonts w:ascii="宋体" w:hAnsi="宋体" w:hint="eastAsia"/>
          <w:sz w:val="24"/>
        </w:rPr>
        <w:t>（六）基金的收益分配</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w:t>
      </w:r>
      <w:proofErr w:type="gramStart"/>
      <w:r>
        <w:rPr>
          <w:rFonts w:ascii="宋体" w:hAnsi="宋体" w:hint="eastAsia"/>
          <w:sz w:val="24"/>
        </w:rPr>
        <w:t>在主袋账户</w:t>
      </w:r>
      <w:proofErr w:type="gramEnd"/>
      <w:r>
        <w:rPr>
          <w:rFonts w:ascii="宋体" w:hAnsi="宋体" w:hint="eastAsia"/>
          <w:sz w:val="24"/>
        </w:rPr>
        <w:t>份额满足基金合同收益分配条件的情形下，基金管理人可</w:t>
      </w:r>
      <w:proofErr w:type="gramStart"/>
      <w:r>
        <w:rPr>
          <w:rFonts w:ascii="宋体" w:hAnsi="宋体" w:hint="eastAsia"/>
          <w:sz w:val="24"/>
        </w:rPr>
        <w:t>对主袋账户</w:t>
      </w:r>
      <w:proofErr w:type="gramEnd"/>
      <w:r>
        <w:rPr>
          <w:rFonts w:ascii="宋体" w:hAnsi="宋体" w:hint="eastAsia"/>
          <w:sz w:val="24"/>
        </w:rPr>
        <w:t>份额进行收益分配。</w:t>
      </w:r>
      <w:proofErr w:type="gramStart"/>
      <w:r>
        <w:rPr>
          <w:rFonts w:ascii="宋体" w:hAnsi="宋体" w:hint="eastAsia"/>
          <w:sz w:val="24"/>
        </w:rPr>
        <w:t>侧袋账户</w:t>
      </w:r>
      <w:proofErr w:type="gramEnd"/>
      <w:r>
        <w:rPr>
          <w:rFonts w:ascii="宋体" w:hAnsi="宋体" w:hint="eastAsia"/>
          <w:sz w:val="24"/>
        </w:rPr>
        <w:t>份额不再适用基金合同的</w:t>
      </w:r>
      <w:r>
        <w:rPr>
          <w:rFonts w:ascii="宋体" w:hAnsi="宋体" w:hint="eastAsia"/>
          <w:sz w:val="24"/>
        </w:rPr>
        <w:lastRenderedPageBreak/>
        <w:t>收益与分配条款。</w:t>
      </w:r>
    </w:p>
    <w:p w:rsidR="00562FFD" w:rsidRDefault="003317D3">
      <w:pPr>
        <w:spacing w:line="360" w:lineRule="auto"/>
        <w:ind w:firstLineChars="200" w:firstLine="480"/>
        <w:rPr>
          <w:rFonts w:ascii="宋体" w:hAnsi="宋体"/>
          <w:sz w:val="24"/>
        </w:rPr>
      </w:pPr>
      <w:r>
        <w:rPr>
          <w:rFonts w:ascii="宋体" w:hAnsi="宋体" w:hint="eastAsia"/>
          <w:sz w:val="24"/>
        </w:rPr>
        <w:t>（七）基金的信息披露</w:t>
      </w:r>
    </w:p>
    <w:p w:rsidR="00562FFD" w:rsidRDefault="003317D3">
      <w:pPr>
        <w:spacing w:line="360" w:lineRule="auto"/>
        <w:ind w:firstLineChars="200" w:firstLine="480"/>
        <w:rPr>
          <w:rFonts w:ascii="宋体" w:hAnsi="宋体"/>
          <w:sz w:val="24"/>
        </w:rPr>
      </w:pPr>
      <w:r>
        <w:rPr>
          <w:rFonts w:ascii="宋体" w:hAnsi="宋体" w:hint="eastAsia"/>
          <w:sz w:val="24"/>
        </w:rPr>
        <w:t>1、基金净值信息</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实施期间，基金管理人应当暂停</w:t>
      </w:r>
      <w:proofErr w:type="gramStart"/>
      <w:r>
        <w:rPr>
          <w:rFonts w:ascii="宋体" w:hAnsi="宋体" w:hint="eastAsia"/>
          <w:sz w:val="24"/>
        </w:rPr>
        <w:t>披露侧袋账户</w:t>
      </w:r>
      <w:proofErr w:type="gramEnd"/>
      <w:r>
        <w:rPr>
          <w:rFonts w:ascii="宋体" w:hAnsi="宋体" w:hint="eastAsia"/>
          <w:sz w:val="24"/>
        </w:rPr>
        <w:t>的基金净值信息。</w:t>
      </w:r>
    </w:p>
    <w:p w:rsidR="00562FFD" w:rsidRDefault="003317D3">
      <w:pPr>
        <w:spacing w:line="360" w:lineRule="auto"/>
        <w:ind w:firstLineChars="200" w:firstLine="480"/>
        <w:rPr>
          <w:rFonts w:ascii="宋体" w:hAnsi="宋体"/>
          <w:sz w:val="24"/>
        </w:rPr>
      </w:pPr>
      <w:r>
        <w:rPr>
          <w:rFonts w:ascii="宋体" w:hAnsi="宋体" w:hint="eastAsia"/>
          <w:sz w:val="24"/>
        </w:rPr>
        <w:t>2、定期报告</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实施期间，基金定期报告中的基金会计报表仅需</w:t>
      </w:r>
      <w:proofErr w:type="gramStart"/>
      <w:r>
        <w:rPr>
          <w:rFonts w:ascii="宋体" w:hAnsi="宋体" w:hint="eastAsia"/>
          <w:sz w:val="24"/>
        </w:rPr>
        <w:t>针对主袋账户</w:t>
      </w:r>
      <w:proofErr w:type="gramEnd"/>
      <w:r>
        <w:rPr>
          <w:rFonts w:ascii="宋体" w:hAnsi="宋体" w:hint="eastAsia"/>
          <w:sz w:val="24"/>
        </w:rPr>
        <w:t>进行编制。</w:t>
      </w:r>
      <w:proofErr w:type="gramStart"/>
      <w:r>
        <w:rPr>
          <w:rFonts w:ascii="宋体" w:hAnsi="宋体" w:hint="eastAsia"/>
          <w:sz w:val="24"/>
        </w:rPr>
        <w:t>侧袋账户</w:t>
      </w:r>
      <w:proofErr w:type="gramEnd"/>
      <w:r>
        <w:rPr>
          <w:rFonts w:ascii="宋体" w:hAnsi="宋体" w:hint="eastAsia"/>
          <w:sz w:val="24"/>
        </w:rPr>
        <w:t>相关信息在定期报告中单独进行披露，包括但不限于：</w:t>
      </w:r>
    </w:p>
    <w:p w:rsidR="00562FFD" w:rsidRDefault="003317D3">
      <w:pPr>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侧袋账户</w:t>
      </w:r>
      <w:proofErr w:type="gramEnd"/>
      <w:r>
        <w:rPr>
          <w:rFonts w:ascii="宋体" w:hAnsi="宋体" w:hint="eastAsia"/>
          <w:sz w:val="24"/>
        </w:rPr>
        <w:t>的基金代码、基金名称、</w:t>
      </w:r>
      <w:proofErr w:type="gramStart"/>
      <w:r>
        <w:rPr>
          <w:rFonts w:ascii="宋体" w:hAnsi="宋体" w:hint="eastAsia"/>
          <w:sz w:val="24"/>
        </w:rPr>
        <w:t>侧袋账户</w:t>
      </w:r>
      <w:proofErr w:type="gramEnd"/>
      <w:r>
        <w:rPr>
          <w:rFonts w:ascii="宋体" w:hAnsi="宋体" w:hint="eastAsia"/>
          <w:sz w:val="24"/>
        </w:rPr>
        <w:t>成立日期等基本信息；</w:t>
      </w:r>
    </w:p>
    <w:p w:rsidR="00562FFD" w:rsidRDefault="003317D3">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侧袋账户</w:t>
      </w:r>
      <w:proofErr w:type="gramEnd"/>
      <w:r>
        <w:rPr>
          <w:rFonts w:ascii="宋体" w:hAnsi="宋体" w:hint="eastAsia"/>
          <w:sz w:val="24"/>
        </w:rPr>
        <w:t>的初始资产、初始负债；</w:t>
      </w:r>
    </w:p>
    <w:p w:rsidR="00562FFD" w:rsidRDefault="003317D3">
      <w:pPr>
        <w:spacing w:line="360" w:lineRule="auto"/>
        <w:ind w:firstLineChars="200" w:firstLine="480"/>
        <w:rPr>
          <w:rFonts w:ascii="宋体" w:hAnsi="宋体"/>
          <w:sz w:val="24"/>
        </w:rPr>
      </w:pPr>
      <w:r>
        <w:rPr>
          <w:rFonts w:ascii="宋体" w:hAnsi="宋体" w:hint="eastAsia"/>
          <w:sz w:val="24"/>
        </w:rPr>
        <w:t>（3）特定资产的名称、代码、发行人等基本信息；</w:t>
      </w:r>
    </w:p>
    <w:p w:rsidR="00562FFD" w:rsidRDefault="003317D3">
      <w:pPr>
        <w:spacing w:line="360" w:lineRule="auto"/>
        <w:ind w:firstLineChars="200" w:firstLine="480"/>
        <w:rPr>
          <w:rFonts w:ascii="宋体" w:hAnsi="宋体"/>
          <w:sz w:val="24"/>
        </w:rPr>
      </w:pPr>
      <w:r>
        <w:rPr>
          <w:rFonts w:ascii="宋体" w:hAnsi="宋体" w:hint="eastAsia"/>
          <w:sz w:val="24"/>
        </w:rPr>
        <w:t>（4）报告期内的特定资产处置进展情况、与处置特定资产相关的费用情况及其他与特定资产状况相关的信息；</w:t>
      </w:r>
    </w:p>
    <w:p w:rsidR="00562FFD" w:rsidRDefault="003317D3">
      <w:pPr>
        <w:spacing w:line="360" w:lineRule="auto"/>
        <w:ind w:firstLineChars="200" w:firstLine="480"/>
        <w:rPr>
          <w:rFonts w:ascii="宋体" w:hAnsi="宋体"/>
          <w:sz w:val="24"/>
        </w:rPr>
      </w:pPr>
      <w:r>
        <w:rPr>
          <w:rFonts w:ascii="宋体" w:hAnsi="宋体" w:hint="eastAsia"/>
          <w:sz w:val="24"/>
        </w:rPr>
        <w:t>（5）可根据特定资产处置进展情况披露特定资产的可变现净值或净值参考区间，该净值或净值区间并不代表特定资产最终的变现价格，不作为基金管理人对特定资产最终变现价格的承诺；</w:t>
      </w:r>
    </w:p>
    <w:p w:rsidR="00562FFD" w:rsidRDefault="003317D3">
      <w:pPr>
        <w:spacing w:line="360" w:lineRule="auto"/>
        <w:ind w:firstLineChars="200" w:firstLine="480"/>
        <w:rPr>
          <w:rFonts w:ascii="宋体" w:hAnsi="宋体"/>
          <w:sz w:val="24"/>
        </w:rPr>
      </w:pPr>
      <w:r>
        <w:rPr>
          <w:rFonts w:ascii="宋体" w:hAnsi="宋体" w:hint="eastAsia"/>
          <w:sz w:val="24"/>
        </w:rPr>
        <w:t>（6）可能对投资者利益存在重大影响的其他情况及相关风险提示。</w:t>
      </w:r>
    </w:p>
    <w:p w:rsidR="00562FFD" w:rsidRDefault="003317D3">
      <w:pPr>
        <w:spacing w:line="360" w:lineRule="auto"/>
        <w:ind w:firstLineChars="200" w:firstLine="480"/>
        <w:rPr>
          <w:rFonts w:ascii="宋体" w:hAnsi="宋体"/>
          <w:sz w:val="24"/>
        </w:rPr>
      </w:pPr>
      <w:r>
        <w:rPr>
          <w:rFonts w:ascii="宋体" w:hAnsi="宋体" w:hint="eastAsia"/>
          <w:sz w:val="24"/>
        </w:rPr>
        <w:t>3、临时报告</w:t>
      </w:r>
    </w:p>
    <w:p w:rsidR="00562FFD" w:rsidRDefault="003317D3">
      <w:pPr>
        <w:spacing w:line="360" w:lineRule="auto"/>
        <w:ind w:firstLineChars="200" w:firstLine="480"/>
        <w:rPr>
          <w:rFonts w:ascii="宋体" w:hAnsi="宋体"/>
          <w:sz w:val="24"/>
        </w:rPr>
      </w:pPr>
      <w:r>
        <w:rPr>
          <w:rFonts w:ascii="宋体" w:hAnsi="宋体" w:hint="eastAsia"/>
          <w:sz w:val="24"/>
        </w:rPr>
        <w:t>基金管理人在</w:t>
      </w:r>
      <w:proofErr w:type="gramStart"/>
      <w:r>
        <w:rPr>
          <w:rFonts w:ascii="宋体" w:hAnsi="宋体" w:hint="eastAsia"/>
          <w:sz w:val="24"/>
        </w:rPr>
        <w:t>启用侧袋机制</w:t>
      </w:r>
      <w:proofErr w:type="gramEnd"/>
      <w:r>
        <w:rPr>
          <w:rFonts w:ascii="宋体" w:hAnsi="宋体" w:hint="eastAsia"/>
          <w:sz w:val="24"/>
        </w:rPr>
        <w:t>、处置特定资产、终止</w:t>
      </w:r>
      <w:proofErr w:type="gramStart"/>
      <w:r>
        <w:rPr>
          <w:rFonts w:ascii="宋体" w:hAnsi="宋体" w:hint="eastAsia"/>
          <w:sz w:val="24"/>
        </w:rPr>
        <w:t>侧袋机制</w:t>
      </w:r>
      <w:proofErr w:type="gramEnd"/>
      <w:r>
        <w:rPr>
          <w:rFonts w:ascii="宋体" w:hAnsi="宋体" w:hint="eastAsia"/>
          <w:sz w:val="24"/>
        </w:rPr>
        <w:t>以及发生其他可能对投资者利益产生重大影响的事项后应及时发布临时公告。</w:t>
      </w:r>
    </w:p>
    <w:p w:rsidR="00562FFD" w:rsidRDefault="003317D3">
      <w:pPr>
        <w:spacing w:line="360" w:lineRule="auto"/>
        <w:ind w:firstLineChars="200" w:firstLine="480"/>
        <w:rPr>
          <w:rFonts w:ascii="宋体" w:hAnsi="宋体"/>
          <w:sz w:val="24"/>
        </w:rPr>
      </w:pPr>
      <w:r>
        <w:rPr>
          <w:rFonts w:ascii="宋体" w:hAnsi="宋体" w:hint="eastAsia"/>
          <w:sz w:val="24"/>
        </w:rPr>
        <w:t>启用</w:t>
      </w:r>
      <w:proofErr w:type="gramStart"/>
      <w:r>
        <w:rPr>
          <w:rFonts w:ascii="宋体" w:hAnsi="宋体" w:hint="eastAsia"/>
          <w:sz w:val="24"/>
        </w:rPr>
        <w:t>侧袋机制</w:t>
      </w:r>
      <w:proofErr w:type="gramEnd"/>
      <w:r>
        <w:rPr>
          <w:rFonts w:ascii="宋体" w:hAnsi="宋体" w:hint="eastAsia"/>
          <w:sz w:val="24"/>
        </w:rPr>
        <w:t>的临时公告内容应当包括启用原因及程序、特定资产流动性和估值情况、对投资者申购赎回的影响、风险提示等重要信息。</w:t>
      </w:r>
    </w:p>
    <w:p w:rsidR="00562FFD" w:rsidRDefault="003317D3">
      <w:pPr>
        <w:spacing w:line="360" w:lineRule="auto"/>
        <w:ind w:firstLineChars="200" w:firstLine="480"/>
        <w:rPr>
          <w:rFonts w:ascii="宋体" w:hAnsi="宋体"/>
          <w:sz w:val="24"/>
        </w:rPr>
      </w:pPr>
      <w:r>
        <w:rPr>
          <w:rFonts w:ascii="宋体" w:hAnsi="宋体" w:hint="eastAsia"/>
          <w:sz w:val="24"/>
        </w:rPr>
        <w:t>处置特定资产的临时公告内容应当包括特定资产处置价格和时间、</w:t>
      </w:r>
      <w:proofErr w:type="gramStart"/>
      <w:r>
        <w:rPr>
          <w:rFonts w:ascii="宋体" w:hAnsi="宋体" w:hint="eastAsia"/>
          <w:sz w:val="24"/>
        </w:rPr>
        <w:t>向侧袋账户</w:t>
      </w:r>
      <w:proofErr w:type="gramEnd"/>
      <w:r>
        <w:rPr>
          <w:rFonts w:ascii="宋体" w:hAnsi="宋体" w:hint="eastAsia"/>
          <w:sz w:val="24"/>
        </w:rPr>
        <w:t>份额持有人支付的款项、相关费用发生情况等重要信息。</w:t>
      </w:r>
      <w:proofErr w:type="gramStart"/>
      <w:r>
        <w:rPr>
          <w:rFonts w:ascii="宋体" w:hAnsi="宋体" w:hint="eastAsia"/>
          <w:sz w:val="24"/>
        </w:rPr>
        <w:t>侧袋机制</w:t>
      </w:r>
      <w:proofErr w:type="gramEnd"/>
      <w:r>
        <w:rPr>
          <w:rFonts w:ascii="宋体" w:hAnsi="宋体" w:hint="eastAsia"/>
          <w:sz w:val="24"/>
        </w:rPr>
        <w:t>实施期间，</w:t>
      </w:r>
      <w:proofErr w:type="gramStart"/>
      <w:r>
        <w:rPr>
          <w:rFonts w:ascii="宋体" w:hAnsi="宋体" w:hint="eastAsia"/>
          <w:sz w:val="24"/>
        </w:rPr>
        <w:t>若侧袋</w:t>
      </w:r>
      <w:proofErr w:type="gramEnd"/>
      <w:r>
        <w:rPr>
          <w:rFonts w:ascii="宋体" w:hAnsi="宋体" w:hint="eastAsia"/>
          <w:sz w:val="24"/>
        </w:rPr>
        <w:t>账户资产无法一次性完成处置变现，基金管理人在每次处置变现后均将按规定及时发布临时公告。</w:t>
      </w:r>
    </w:p>
    <w:p w:rsidR="00562FFD" w:rsidRDefault="003317D3">
      <w:pPr>
        <w:spacing w:line="360" w:lineRule="auto"/>
        <w:ind w:firstLineChars="200" w:firstLine="480"/>
        <w:rPr>
          <w:rFonts w:ascii="宋体" w:hAnsi="宋体"/>
          <w:sz w:val="24"/>
        </w:rPr>
      </w:pPr>
      <w:r>
        <w:rPr>
          <w:rFonts w:ascii="宋体" w:hAnsi="宋体" w:hint="eastAsia"/>
          <w:sz w:val="24"/>
        </w:rPr>
        <w:t>（八）特定资产处置清算</w:t>
      </w:r>
    </w:p>
    <w:p w:rsidR="00562FFD" w:rsidRDefault="003317D3">
      <w:pPr>
        <w:spacing w:line="360" w:lineRule="auto"/>
        <w:ind w:firstLineChars="200" w:firstLine="480"/>
        <w:rPr>
          <w:rFonts w:ascii="宋体" w:hAnsi="宋体"/>
          <w:sz w:val="24"/>
        </w:rPr>
      </w:pPr>
      <w:r>
        <w:rPr>
          <w:rFonts w:ascii="宋体" w:hAnsi="宋体" w:hint="eastAsia"/>
          <w:sz w:val="24"/>
        </w:rPr>
        <w:t>基金管理人将按照基金份额持有人利益最大化原则，采取将特定资产予以处置变现等方式，及时</w:t>
      </w:r>
      <w:proofErr w:type="gramStart"/>
      <w:r>
        <w:rPr>
          <w:rFonts w:ascii="宋体" w:hAnsi="宋体" w:hint="eastAsia"/>
          <w:sz w:val="24"/>
        </w:rPr>
        <w:t>向侧袋账户</w:t>
      </w:r>
      <w:proofErr w:type="gramEnd"/>
      <w:r>
        <w:rPr>
          <w:rFonts w:ascii="宋体" w:hAnsi="宋体" w:hint="eastAsia"/>
          <w:sz w:val="24"/>
        </w:rPr>
        <w:t>份额持有人支付对应款项。</w:t>
      </w:r>
      <w:proofErr w:type="gramStart"/>
      <w:r>
        <w:rPr>
          <w:rFonts w:ascii="宋体" w:hAnsi="宋体" w:hint="eastAsia"/>
          <w:sz w:val="24"/>
        </w:rPr>
        <w:t>无论侧袋账户</w:t>
      </w:r>
      <w:proofErr w:type="gramEnd"/>
      <w:r>
        <w:rPr>
          <w:rFonts w:ascii="宋体" w:hAnsi="宋体" w:hint="eastAsia"/>
          <w:sz w:val="24"/>
        </w:rPr>
        <w:t>资产是否全部完成变现，基金管理人都将及时</w:t>
      </w:r>
      <w:proofErr w:type="gramStart"/>
      <w:r>
        <w:rPr>
          <w:rFonts w:ascii="宋体" w:hAnsi="宋体" w:hint="eastAsia"/>
          <w:sz w:val="24"/>
        </w:rPr>
        <w:t>向侧袋账户</w:t>
      </w:r>
      <w:proofErr w:type="gramEnd"/>
      <w:r>
        <w:rPr>
          <w:rFonts w:ascii="宋体" w:hAnsi="宋体" w:hint="eastAsia"/>
          <w:sz w:val="24"/>
        </w:rPr>
        <w:t>份额持有人支付已变现部分对</w:t>
      </w:r>
      <w:r>
        <w:rPr>
          <w:rFonts w:ascii="宋体" w:hAnsi="宋体" w:hint="eastAsia"/>
          <w:sz w:val="24"/>
        </w:rPr>
        <w:lastRenderedPageBreak/>
        <w:t>应的款项。</w:t>
      </w:r>
    </w:p>
    <w:p w:rsidR="00562FFD" w:rsidRDefault="003317D3">
      <w:pPr>
        <w:spacing w:line="360" w:lineRule="auto"/>
        <w:ind w:firstLineChars="200" w:firstLine="480"/>
        <w:rPr>
          <w:rFonts w:ascii="宋体" w:hAnsi="宋体"/>
          <w:sz w:val="24"/>
        </w:rPr>
      </w:pPr>
      <w:r>
        <w:rPr>
          <w:rFonts w:ascii="宋体" w:hAnsi="宋体" w:hint="eastAsia"/>
          <w:sz w:val="24"/>
        </w:rPr>
        <w:t>（九）</w:t>
      </w:r>
      <w:proofErr w:type="gramStart"/>
      <w:r>
        <w:rPr>
          <w:rFonts w:ascii="宋体" w:hAnsi="宋体" w:hint="eastAsia"/>
          <w:sz w:val="24"/>
        </w:rPr>
        <w:t>侧袋的</w:t>
      </w:r>
      <w:proofErr w:type="gramEnd"/>
      <w:r>
        <w:rPr>
          <w:rFonts w:ascii="宋体" w:hAnsi="宋体" w:hint="eastAsia"/>
          <w:sz w:val="24"/>
        </w:rPr>
        <w:t>审计</w:t>
      </w:r>
    </w:p>
    <w:p w:rsidR="00562FFD" w:rsidRDefault="003317D3">
      <w:pPr>
        <w:spacing w:line="360" w:lineRule="auto"/>
        <w:ind w:firstLineChars="200" w:firstLine="480"/>
        <w:rPr>
          <w:rFonts w:ascii="宋体" w:hAnsi="宋体"/>
          <w:sz w:val="24"/>
        </w:rPr>
      </w:pPr>
      <w:r>
        <w:rPr>
          <w:rFonts w:ascii="宋体" w:hAnsi="宋体" w:hint="eastAsia"/>
          <w:sz w:val="24"/>
        </w:rPr>
        <w:t>基金管理人应当在启用</w:t>
      </w:r>
      <w:proofErr w:type="gramStart"/>
      <w:r>
        <w:rPr>
          <w:rFonts w:ascii="宋体" w:hAnsi="宋体" w:hint="eastAsia"/>
          <w:sz w:val="24"/>
        </w:rPr>
        <w:t>侧袋机制</w:t>
      </w:r>
      <w:proofErr w:type="gramEnd"/>
      <w:r>
        <w:rPr>
          <w:rFonts w:ascii="宋体" w:hAnsi="宋体" w:hint="eastAsia"/>
          <w:sz w:val="24"/>
        </w:rPr>
        <w:t>和终止</w:t>
      </w:r>
      <w:proofErr w:type="gramStart"/>
      <w:r>
        <w:rPr>
          <w:rFonts w:ascii="宋体" w:hAnsi="宋体" w:hint="eastAsia"/>
          <w:sz w:val="24"/>
        </w:rPr>
        <w:t>侧袋机制</w:t>
      </w:r>
      <w:proofErr w:type="gramEnd"/>
      <w:r>
        <w:rPr>
          <w:rFonts w:ascii="宋体" w:hAnsi="宋体" w:hint="eastAsia"/>
          <w:sz w:val="24"/>
        </w:rPr>
        <w:t>后，及时聘请符合《证券法》规定的会计师事务所进行审计并披露专项审计意见，具体如下：</w:t>
      </w:r>
    </w:p>
    <w:p w:rsidR="00562FFD" w:rsidRDefault="003317D3">
      <w:pPr>
        <w:spacing w:line="360" w:lineRule="auto"/>
        <w:ind w:firstLineChars="200" w:firstLine="480"/>
        <w:rPr>
          <w:rFonts w:ascii="宋体" w:hAnsi="宋体"/>
          <w:sz w:val="24"/>
        </w:rPr>
      </w:pPr>
      <w:r>
        <w:rPr>
          <w:rFonts w:ascii="宋体" w:hAnsi="宋体" w:hint="eastAsia"/>
          <w:sz w:val="24"/>
        </w:rPr>
        <w:t>基金管理人应当在启用</w:t>
      </w:r>
      <w:proofErr w:type="gramStart"/>
      <w:r>
        <w:rPr>
          <w:rFonts w:ascii="宋体" w:hAnsi="宋体" w:hint="eastAsia"/>
          <w:sz w:val="24"/>
        </w:rPr>
        <w:t>侧袋机制</w:t>
      </w:r>
      <w:proofErr w:type="gramEnd"/>
      <w:r>
        <w:rPr>
          <w:rFonts w:ascii="宋体" w:hAnsi="宋体" w:hint="eastAsia"/>
          <w:sz w:val="24"/>
        </w:rPr>
        <w:t>时，就特定资产认定的相关事宜取得符合《证券法》规定的会计师事务所的专业意见。</w:t>
      </w:r>
    </w:p>
    <w:p w:rsidR="00562FFD" w:rsidRDefault="003317D3">
      <w:pPr>
        <w:spacing w:line="360" w:lineRule="auto"/>
        <w:ind w:firstLineChars="200" w:firstLine="480"/>
        <w:rPr>
          <w:rFonts w:ascii="宋体" w:hAnsi="宋体"/>
          <w:sz w:val="24"/>
        </w:rPr>
      </w:pPr>
      <w:r>
        <w:rPr>
          <w:rFonts w:ascii="宋体" w:hAnsi="宋体" w:hint="eastAsia"/>
          <w:sz w:val="24"/>
        </w:rPr>
        <w:t>基金管理人应当在启用</w:t>
      </w:r>
      <w:proofErr w:type="gramStart"/>
      <w:r>
        <w:rPr>
          <w:rFonts w:ascii="宋体" w:hAnsi="宋体" w:hint="eastAsia"/>
          <w:sz w:val="24"/>
        </w:rPr>
        <w:t>侧袋机制</w:t>
      </w:r>
      <w:proofErr w:type="gramEnd"/>
      <w:r>
        <w:rPr>
          <w:rFonts w:ascii="宋体" w:hAnsi="宋体" w:hint="eastAsia"/>
          <w:sz w:val="24"/>
        </w:rPr>
        <w:t>后五个工作日内，聘请于</w:t>
      </w:r>
      <w:proofErr w:type="gramStart"/>
      <w:r>
        <w:rPr>
          <w:rFonts w:ascii="宋体" w:hAnsi="宋体" w:hint="eastAsia"/>
          <w:sz w:val="24"/>
        </w:rPr>
        <w:t>侧袋机制</w:t>
      </w:r>
      <w:proofErr w:type="gramEnd"/>
      <w:r>
        <w:rPr>
          <w:rFonts w:ascii="宋体" w:hAnsi="宋体" w:hint="eastAsia"/>
          <w:sz w:val="24"/>
        </w:rPr>
        <w:t>启用日发表意见的会计师事务所针对</w:t>
      </w:r>
      <w:proofErr w:type="gramStart"/>
      <w:r>
        <w:rPr>
          <w:rFonts w:ascii="宋体" w:hAnsi="宋体" w:hint="eastAsia"/>
          <w:sz w:val="24"/>
        </w:rPr>
        <w:t>侧袋机制</w:t>
      </w:r>
      <w:proofErr w:type="gramEnd"/>
      <w:r>
        <w:rPr>
          <w:rFonts w:ascii="宋体" w:hAnsi="宋体" w:hint="eastAsia"/>
          <w:sz w:val="24"/>
        </w:rPr>
        <w:t>启用日本基金持有的特定资产情况出具专项审计意见，内容应</w:t>
      </w:r>
      <w:proofErr w:type="gramStart"/>
      <w:r>
        <w:rPr>
          <w:rFonts w:ascii="宋体" w:hAnsi="宋体" w:hint="eastAsia"/>
          <w:sz w:val="24"/>
        </w:rPr>
        <w:t>包含侧袋账户</w:t>
      </w:r>
      <w:proofErr w:type="gramEnd"/>
      <w:r>
        <w:rPr>
          <w:rFonts w:ascii="宋体" w:hAnsi="宋体" w:hint="eastAsia"/>
          <w:sz w:val="24"/>
        </w:rPr>
        <w:t>的初始资产、份额、净资产等信息。</w:t>
      </w:r>
    </w:p>
    <w:p w:rsidR="00562FFD" w:rsidRDefault="003317D3">
      <w:pPr>
        <w:spacing w:line="360" w:lineRule="auto"/>
        <w:ind w:firstLineChars="200" w:firstLine="480"/>
        <w:rPr>
          <w:rFonts w:ascii="宋体" w:hAnsi="宋体"/>
          <w:sz w:val="24"/>
        </w:rPr>
      </w:pPr>
      <w:r>
        <w:rPr>
          <w:rFonts w:ascii="宋体" w:hAnsi="宋体" w:hint="eastAsia"/>
          <w:sz w:val="24"/>
        </w:rPr>
        <w:t>会计师事务所对基金年度报告进行审计时，应对报告期间基金</w:t>
      </w:r>
      <w:proofErr w:type="gramStart"/>
      <w:r>
        <w:rPr>
          <w:rFonts w:ascii="宋体" w:hAnsi="宋体" w:hint="eastAsia"/>
          <w:sz w:val="24"/>
        </w:rPr>
        <w:t>侧袋机制</w:t>
      </w:r>
      <w:proofErr w:type="gramEnd"/>
      <w:r>
        <w:rPr>
          <w:rFonts w:ascii="宋体" w:hAnsi="宋体" w:hint="eastAsia"/>
          <w:sz w:val="24"/>
        </w:rPr>
        <w:t>运行相关的会计核算和年报披露，执行适当程序并发表审计意见。</w:t>
      </w:r>
    </w:p>
    <w:p w:rsidR="00562FFD" w:rsidRDefault="003317D3">
      <w:pPr>
        <w:spacing w:line="360" w:lineRule="auto"/>
        <w:ind w:firstLineChars="200" w:firstLine="480"/>
        <w:rPr>
          <w:rFonts w:ascii="宋体" w:hAnsi="宋体"/>
          <w:sz w:val="24"/>
        </w:rPr>
      </w:pPr>
      <w:proofErr w:type="gramStart"/>
      <w:r>
        <w:rPr>
          <w:rFonts w:ascii="宋体" w:hAnsi="宋体" w:hint="eastAsia"/>
          <w:sz w:val="24"/>
        </w:rPr>
        <w:t>当侧袋账户</w:t>
      </w:r>
      <w:proofErr w:type="gramEnd"/>
      <w:r>
        <w:rPr>
          <w:rFonts w:ascii="宋体" w:hAnsi="宋体" w:hint="eastAsia"/>
          <w:sz w:val="24"/>
        </w:rPr>
        <w:t>资产全部完成变现后，基金管理人应参照基金清算报告的相关要求，聘请符合《证券法》规定的会计师事务所对侧袋账户进行审计并披露专项审计意见。</w:t>
      </w:r>
    </w:p>
    <w:p w:rsidR="00562FFD" w:rsidRDefault="003317D3">
      <w:pPr>
        <w:spacing w:line="360" w:lineRule="auto"/>
        <w:ind w:firstLineChars="200" w:firstLine="480"/>
        <w:rPr>
          <w:rFonts w:ascii="宋体" w:hAnsi="宋体"/>
          <w:color w:val="000000"/>
          <w:kern w:val="0"/>
          <w:sz w:val="24"/>
          <w:szCs w:val="20"/>
        </w:rPr>
      </w:pPr>
      <w:r>
        <w:rPr>
          <w:rFonts w:ascii="宋体" w:hAnsi="宋体" w:hint="eastAsia"/>
          <w:sz w:val="24"/>
        </w:rPr>
        <w:t>三、本部</w:t>
      </w:r>
      <w:proofErr w:type="gramStart"/>
      <w:r>
        <w:rPr>
          <w:rFonts w:ascii="宋体" w:hAnsi="宋体" w:hint="eastAsia"/>
          <w:sz w:val="24"/>
        </w:rPr>
        <w:t>分关于侧袋机制</w:t>
      </w:r>
      <w:proofErr w:type="gramEnd"/>
      <w:r>
        <w:rPr>
          <w:rFonts w:ascii="宋体" w:hAnsi="宋体" w:hint="eastAsia"/>
          <w:sz w:val="24"/>
        </w:rPr>
        <w:t>的相关规定，凡是直接引用法律法规或监管规则的部分，如将来法律法规或监管规则修改导致相关内容被取消或变更的，或将来法律法规或监管规则针对</w:t>
      </w:r>
      <w:proofErr w:type="gramStart"/>
      <w:r>
        <w:rPr>
          <w:rFonts w:ascii="宋体" w:hAnsi="宋体" w:hint="eastAsia"/>
          <w:sz w:val="24"/>
        </w:rPr>
        <w:t>侧袋机制</w:t>
      </w:r>
      <w:proofErr w:type="gramEnd"/>
      <w:r>
        <w:rPr>
          <w:rFonts w:ascii="宋体" w:hAnsi="宋体" w:hint="eastAsia"/>
          <w:sz w:val="24"/>
        </w:rPr>
        <w:t>的内容有进一步规定的，基金管理人经与基金托管人协商一致并履行适当程序后，在对基金份额持有人利益无实质性不利影响的前提下，可直接对本部分内容进行修改、调整或补充，无需召开基金份额持有人大会审议。</w:t>
      </w:r>
      <w:r>
        <w:rPr>
          <w:rFonts w:hAnsi="宋体" w:hint="eastAsia"/>
          <w:b/>
          <w:sz w:val="24"/>
        </w:rPr>
        <w:t xml:space="preserve"> </w:t>
      </w:r>
      <w:r>
        <w:rPr>
          <w:rFonts w:hAnsi="宋体"/>
          <w:b/>
          <w:sz w:val="24"/>
        </w:rPr>
        <w:br w:type="page"/>
      </w:r>
    </w:p>
    <w:p w:rsidR="00562FFD" w:rsidRDefault="003317D3">
      <w:pPr>
        <w:pStyle w:val="af0"/>
        <w:rPr>
          <w:szCs w:val="28"/>
        </w:rPr>
      </w:pPr>
      <w:bookmarkStart w:id="76" w:name="_Toc56692700"/>
      <w:r>
        <w:rPr>
          <w:rFonts w:hint="eastAsia"/>
          <w:szCs w:val="28"/>
        </w:rPr>
        <w:lastRenderedPageBreak/>
        <w:t>第十七部分 风险揭示</w:t>
      </w:r>
      <w:bookmarkEnd w:id="73"/>
      <w:bookmarkEnd w:id="74"/>
      <w:bookmarkEnd w:id="76"/>
    </w:p>
    <w:p w:rsidR="00562FFD" w:rsidRDefault="003317D3">
      <w:pPr>
        <w:spacing w:line="360" w:lineRule="auto"/>
        <w:ind w:firstLineChars="200" w:firstLine="480"/>
        <w:rPr>
          <w:rFonts w:ascii="宋体" w:hAnsi="宋体"/>
          <w:color w:val="000000"/>
          <w:sz w:val="24"/>
        </w:rPr>
      </w:pPr>
      <w:r>
        <w:rPr>
          <w:rFonts w:ascii="宋体" w:hAnsi="宋体"/>
          <w:color w:val="000000"/>
          <w:sz w:val="24"/>
        </w:rPr>
        <w:t>本基金投资于证券市场，基金净值会因为证券市场波动等因素产生波动。基金投资中出现的风险分为如下三类，一是国内市场风险，包括政策风险、利率风险等；二是本基金特有的风险；三是开放式基金共有的风险，包括流动性风险、管理风险等。</w:t>
      </w:r>
    </w:p>
    <w:p w:rsidR="00562FFD" w:rsidRDefault="003317D3">
      <w:pPr>
        <w:spacing w:line="360" w:lineRule="auto"/>
        <w:ind w:firstLineChars="200" w:firstLine="480"/>
        <w:rPr>
          <w:rFonts w:ascii="宋体" w:hAnsi="宋体"/>
          <w:color w:val="000000"/>
          <w:sz w:val="24"/>
        </w:rPr>
      </w:pPr>
      <w:bookmarkStart w:id="77" w:name="_Toc164766398"/>
      <w:r>
        <w:rPr>
          <w:rFonts w:ascii="宋体" w:hAnsi="宋体" w:hint="eastAsia"/>
          <w:color w:val="000000"/>
          <w:sz w:val="24"/>
        </w:rPr>
        <w:t>一、市场风险</w:t>
      </w:r>
    </w:p>
    <w:p w:rsidR="00562FFD" w:rsidRDefault="003317D3">
      <w:pPr>
        <w:spacing w:line="360" w:lineRule="auto"/>
        <w:ind w:firstLineChars="200" w:firstLine="480"/>
        <w:rPr>
          <w:rFonts w:ascii="宋体" w:hAnsi="宋体"/>
          <w:sz w:val="24"/>
        </w:rPr>
      </w:pPr>
      <w:r>
        <w:rPr>
          <w:rFonts w:ascii="宋体" w:hAnsi="宋体"/>
          <w:sz w:val="24"/>
        </w:rPr>
        <w:t>证券市场价格受到各种因素的影响，导致基金收益水平变化而产生风险，主要包括：</w:t>
      </w:r>
    </w:p>
    <w:p w:rsidR="00562FFD" w:rsidRDefault="003317D3">
      <w:pPr>
        <w:spacing w:line="360" w:lineRule="auto"/>
        <w:ind w:firstLineChars="200" w:firstLine="480"/>
        <w:rPr>
          <w:rFonts w:ascii="宋体" w:hAnsi="宋体"/>
          <w:sz w:val="24"/>
        </w:rPr>
      </w:pPr>
      <w:r>
        <w:rPr>
          <w:rFonts w:ascii="宋体" w:hAnsi="宋体" w:hint="eastAsia"/>
          <w:sz w:val="24"/>
        </w:rPr>
        <w:t>1、</w:t>
      </w:r>
      <w:r>
        <w:rPr>
          <w:rFonts w:ascii="宋体" w:hAnsi="宋体"/>
          <w:sz w:val="24"/>
        </w:rPr>
        <w:t>政策风险。因国家宏观政策（如货币政策、财政政策、行业政策、地区发展政策等）发生变化，导致市场价格波动而产生风险。</w:t>
      </w:r>
    </w:p>
    <w:p w:rsidR="00562FFD" w:rsidRDefault="003317D3">
      <w:pPr>
        <w:spacing w:line="360" w:lineRule="auto"/>
        <w:ind w:firstLineChars="200" w:firstLine="480"/>
        <w:rPr>
          <w:rFonts w:ascii="宋体" w:hAnsi="宋体"/>
          <w:sz w:val="24"/>
        </w:rPr>
      </w:pPr>
      <w:r>
        <w:rPr>
          <w:rFonts w:ascii="宋体" w:hAnsi="宋体" w:hint="eastAsia"/>
          <w:sz w:val="24"/>
        </w:rPr>
        <w:t>2、</w:t>
      </w:r>
      <w:r>
        <w:rPr>
          <w:rFonts w:ascii="宋体" w:hAnsi="宋体"/>
          <w:sz w:val="24"/>
        </w:rPr>
        <w:t>经济周期风险。随着经济运行的周期性变化，证券市场的收益水平也呈周期性变化。基金投资于债券，收益水平也会随之变化，从而产生风险。</w:t>
      </w:r>
    </w:p>
    <w:p w:rsidR="00562FFD" w:rsidRDefault="003317D3">
      <w:pPr>
        <w:spacing w:line="360" w:lineRule="auto"/>
        <w:ind w:firstLineChars="200" w:firstLine="480"/>
        <w:rPr>
          <w:rFonts w:ascii="宋体" w:hAnsi="宋体"/>
          <w:sz w:val="24"/>
        </w:rPr>
      </w:pPr>
      <w:r>
        <w:rPr>
          <w:rFonts w:ascii="宋体" w:hAnsi="宋体" w:hint="eastAsia"/>
          <w:sz w:val="24"/>
        </w:rPr>
        <w:t>3、</w:t>
      </w:r>
      <w:r>
        <w:rPr>
          <w:rFonts w:ascii="宋体" w:hAnsi="宋体"/>
          <w:sz w:val="24"/>
        </w:rPr>
        <w:t>利率风险。金融市场利率的波动会导致证券市场价格和收益率的变动。利率直接影响着债券的价格和收益率，影响着企业的融资成本和利润，并通过对股票市场走势变化等方面的影响，引起基金收益水平的变化。</w:t>
      </w:r>
    </w:p>
    <w:p w:rsidR="00562FFD" w:rsidRDefault="003317D3">
      <w:pPr>
        <w:spacing w:line="360" w:lineRule="auto"/>
        <w:ind w:firstLineChars="200" w:firstLine="480"/>
        <w:rPr>
          <w:rFonts w:ascii="宋体" w:hAnsi="宋体"/>
          <w:sz w:val="24"/>
        </w:rPr>
      </w:pPr>
      <w:r>
        <w:rPr>
          <w:rFonts w:ascii="宋体" w:hAnsi="宋体" w:hint="eastAsia"/>
          <w:sz w:val="24"/>
        </w:rPr>
        <w:t>4、</w:t>
      </w:r>
      <w:r>
        <w:rPr>
          <w:rFonts w:ascii="宋体" w:hAnsi="宋体"/>
          <w:sz w:val="24"/>
        </w:rPr>
        <w:t>通货膨胀风险。</w:t>
      </w:r>
      <w:r>
        <w:rPr>
          <w:rFonts w:ascii="宋体" w:hAnsi="宋体" w:hint="eastAsia"/>
          <w:sz w:val="24"/>
        </w:rPr>
        <w:t>如果发生通货膨胀，基金投资于证券所获得的收益可能会被通货膨胀抵消，从而影响基金资产的保值增值。</w:t>
      </w:r>
    </w:p>
    <w:p w:rsidR="00562FFD" w:rsidRDefault="003317D3">
      <w:pPr>
        <w:spacing w:line="360" w:lineRule="auto"/>
        <w:ind w:firstLineChars="200" w:firstLine="480"/>
        <w:rPr>
          <w:rFonts w:ascii="宋体" w:hAnsi="宋体"/>
          <w:sz w:val="24"/>
        </w:rPr>
      </w:pPr>
      <w:r>
        <w:rPr>
          <w:rFonts w:ascii="宋体" w:hAnsi="宋体" w:hint="eastAsia"/>
          <w:sz w:val="24"/>
        </w:rPr>
        <w:t>5、</w:t>
      </w:r>
      <w:r>
        <w:rPr>
          <w:rFonts w:ascii="宋体" w:hAnsi="宋体"/>
          <w:sz w:val="24"/>
        </w:rPr>
        <w:t>再投资风险。再投资风险反映了利率下降对固定收益证券利息收入再投资收益的影响，这与利率上升所带来的价格风险（即利率风险）互为消长。</w:t>
      </w:r>
      <w:bookmarkStart w:id="78" w:name="_Toc313303424"/>
    </w:p>
    <w:p w:rsidR="00562FFD" w:rsidRDefault="003317D3">
      <w:pPr>
        <w:spacing w:line="360" w:lineRule="auto"/>
        <w:ind w:firstLineChars="200" w:firstLine="480"/>
        <w:rPr>
          <w:rFonts w:ascii="宋体" w:hAnsi="宋体"/>
          <w:sz w:val="24"/>
        </w:rPr>
      </w:pPr>
      <w:r>
        <w:rPr>
          <w:rFonts w:ascii="宋体" w:hAnsi="宋体" w:hint="eastAsia"/>
          <w:sz w:val="24"/>
        </w:rPr>
        <w:t>二、本基金投资特定品种可能引起的风险</w:t>
      </w:r>
    </w:p>
    <w:p w:rsidR="00562FFD" w:rsidRDefault="003317D3">
      <w:pPr>
        <w:spacing w:line="360" w:lineRule="auto"/>
        <w:ind w:firstLineChars="200" w:firstLine="480"/>
        <w:rPr>
          <w:rFonts w:ascii="宋体" w:hAnsi="宋体"/>
          <w:sz w:val="24"/>
        </w:rPr>
      </w:pPr>
      <w:r>
        <w:rPr>
          <w:rFonts w:ascii="宋体" w:hAnsi="宋体" w:hint="eastAsia"/>
          <w:sz w:val="24"/>
        </w:rPr>
        <w:t>1、证券公司短期公司债券投资风险</w:t>
      </w:r>
    </w:p>
    <w:p w:rsidR="00562FFD" w:rsidRDefault="003317D3">
      <w:pPr>
        <w:spacing w:line="360" w:lineRule="auto"/>
        <w:ind w:firstLineChars="200" w:firstLine="480"/>
        <w:rPr>
          <w:rFonts w:ascii="宋体" w:hAnsi="宋体"/>
          <w:sz w:val="24"/>
        </w:rPr>
      </w:pPr>
      <w:r>
        <w:rPr>
          <w:rFonts w:ascii="宋体" w:hAnsi="宋体" w:hint="eastAsia"/>
          <w:sz w:val="24"/>
        </w:rPr>
        <w:t>本基金的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562FFD" w:rsidRDefault="003317D3">
      <w:pPr>
        <w:spacing w:line="360" w:lineRule="auto"/>
        <w:ind w:firstLineChars="200" w:firstLine="480"/>
        <w:rPr>
          <w:rFonts w:ascii="宋体" w:hAnsi="宋体"/>
          <w:sz w:val="24"/>
        </w:rPr>
      </w:pPr>
      <w:r>
        <w:rPr>
          <w:rFonts w:ascii="宋体" w:hAnsi="宋体" w:hint="eastAsia"/>
          <w:sz w:val="24"/>
        </w:rPr>
        <w:t>2、资产支持证券投资风险</w:t>
      </w:r>
    </w:p>
    <w:p w:rsidR="00562FFD" w:rsidRDefault="003317D3">
      <w:pPr>
        <w:spacing w:line="360" w:lineRule="auto"/>
        <w:ind w:firstLineChars="200" w:firstLine="480"/>
        <w:rPr>
          <w:rFonts w:ascii="宋体" w:hAnsi="宋体"/>
          <w:sz w:val="24"/>
        </w:rPr>
      </w:pPr>
      <w:r>
        <w:rPr>
          <w:rFonts w:ascii="宋体" w:hAnsi="宋体" w:hint="eastAsia"/>
          <w:sz w:val="24"/>
        </w:rPr>
        <w:t>本基金的投资范围包括资产支持证券，资产支持证券存在一定的信用风险、利率风险、流动性风险、提前偿付风险、操作风险和法律风险，由此可能给基金</w:t>
      </w:r>
      <w:r>
        <w:rPr>
          <w:rFonts w:ascii="宋体" w:hAnsi="宋体" w:hint="eastAsia"/>
          <w:sz w:val="24"/>
        </w:rPr>
        <w:lastRenderedPageBreak/>
        <w:t>净值带来不利影响或损失。</w:t>
      </w:r>
    </w:p>
    <w:p w:rsidR="00562FFD" w:rsidRDefault="003317D3">
      <w:pPr>
        <w:spacing w:line="360" w:lineRule="auto"/>
        <w:ind w:firstLineChars="200" w:firstLine="480"/>
        <w:rPr>
          <w:rFonts w:ascii="宋体" w:hAnsi="宋体"/>
          <w:sz w:val="24"/>
        </w:rPr>
      </w:pPr>
      <w:r>
        <w:rPr>
          <w:rFonts w:ascii="宋体" w:hAnsi="宋体" w:hint="eastAsia"/>
          <w:sz w:val="24"/>
        </w:rPr>
        <w:t>3、国债期货投资风险</w:t>
      </w:r>
    </w:p>
    <w:p w:rsidR="00562FFD" w:rsidRDefault="003317D3">
      <w:pPr>
        <w:spacing w:line="360" w:lineRule="auto"/>
        <w:ind w:firstLineChars="200" w:firstLine="480"/>
        <w:rPr>
          <w:rFonts w:ascii="宋体" w:hAnsi="宋体"/>
          <w:sz w:val="24"/>
        </w:rPr>
      </w:pPr>
      <w:r>
        <w:rPr>
          <w:rFonts w:ascii="宋体" w:hAnsi="宋体" w:hint="eastAsia"/>
          <w:sz w:val="24"/>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rsidR="00562FFD" w:rsidRDefault="003317D3">
      <w:pPr>
        <w:spacing w:line="360" w:lineRule="auto"/>
        <w:ind w:firstLineChars="200" w:firstLine="480"/>
        <w:rPr>
          <w:rFonts w:ascii="宋体" w:hAnsi="宋体"/>
          <w:sz w:val="24"/>
        </w:rPr>
      </w:pPr>
      <w:r>
        <w:rPr>
          <w:rFonts w:ascii="宋体" w:hAnsi="宋体" w:hint="eastAsia"/>
          <w:sz w:val="24"/>
        </w:rPr>
        <w:t>4、股指期货投资风险</w:t>
      </w:r>
    </w:p>
    <w:p w:rsidR="00562FFD" w:rsidRDefault="003317D3">
      <w:pPr>
        <w:spacing w:line="360" w:lineRule="auto"/>
        <w:ind w:firstLineChars="200" w:firstLine="480"/>
        <w:rPr>
          <w:rFonts w:ascii="宋体" w:hAnsi="宋体"/>
          <w:sz w:val="24"/>
        </w:rPr>
      </w:pPr>
      <w:r>
        <w:rPr>
          <w:rFonts w:ascii="宋体" w:hAnsi="宋体" w:hint="eastAsia"/>
          <w:sz w:val="24"/>
        </w:rPr>
        <w:t>本基金可投资于股指期货，股指期货作为一种金融衍生品，具备一些特有的风险点。投资股指期货所面临的主要风险是市场风险、流动性风险、</w:t>
      </w:r>
      <w:proofErr w:type="gramStart"/>
      <w:r>
        <w:rPr>
          <w:rFonts w:ascii="宋体" w:hAnsi="宋体" w:hint="eastAsia"/>
          <w:sz w:val="24"/>
        </w:rPr>
        <w:t>基差风险</w:t>
      </w:r>
      <w:proofErr w:type="gramEnd"/>
      <w:r>
        <w:rPr>
          <w:rFonts w:ascii="宋体" w:hAnsi="宋体" w:hint="eastAsia"/>
          <w:sz w:val="24"/>
        </w:rPr>
        <w:t>、保证金风险、信用风险和操作风险。具体为：</w:t>
      </w:r>
    </w:p>
    <w:p w:rsidR="00562FFD" w:rsidRDefault="003317D3">
      <w:pPr>
        <w:spacing w:line="360" w:lineRule="auto"/>
        <w:ind w:firstLineChars="200" w:firstLine="480"/>
        <w:rPr>
          <w:rFonts w:ascii="宋体" w:hAnsi="宋体"/>
          <w:sz w:val="24"/>
        </w:rPr>
      </w:pPr>
      <w:r>
        <w:rPr>
          <w:rFonts w:ascii="宋体" w:hAnsi="宋体" w:hint="eastAsia"/>
          <w:sz w:val="24"/>
        </w:rPr>
        <w:t>1）市场风险是指由于股指期货价格变动而给投资人带来的风险。市场风险是股指期货投资中最主要的风险；</w:t>
      </w:r>
    </w:p>
    <w:p w:rsidR="00562FFD" w:rsidRDefault="003317D3">
      <w:pPr>
        <w:spacing w:line="360" w:lineRule="auto"/>
        <w:ind w:firstLineChars="200" w:firstLine="480"/>
        <w:rPr>
          <w:rFonts w:ascii="宋体" w:hAnsi="宋体"/>
          <w:sz w:val="24"/>
        </w:rPr>
      </w:pPr>
      <w:r>
        <w:rPr>
          <w:rFonts w:ascii="宋体" w:hAnsi="宋体" w:hint="eastAsia"/>
          <w:sz w:val="24"/>
        </w:rPr>
        <w:t>2）流动性风险是指由于股指期货合约无法及时变现所带来的风险；</w:t>
      </w:r>
    </w:p>
    <w:p w:rsidR="00562FFD" w:rsidRDefault="003317D3">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基差风险</w:t>
      </w:r>
      <w:proofErr w:type="gramEnd"/>
      <w:r>
        <w:rPr>
          <w:rFonts w:ascii="宋体" w:hAnsi="宋体" w:hint="eastAsia"/>
          <w:sz w:val="24"/>
        </w:rPr>
        <w:t>是指股指期货合约价格和标的指数价格之间价格差的波动所造成的风险，以及不同股指期货合约价格之间价格差的波动所造成的期限价差风险；</w:t>
      </w:r>
    </w:p>
    <w:p w:rsidR="00562FFD" w:rsidRDefault="003317D3">
      <w:pPr>
        <w:spacing w:line="360" w:lineRule="auto"/>
        <w:ind w:firstLineChars="200" w:firstLine="480"/>
        <w:rPr>
          <w:rFonts w:ascii="宋体" w:hAnsi="宋体"/>
          <w:sz w:val="24"/>
        </w:rPr>
      </w:pPr>
      <w:r>
        <w:rPr>
          <w:rFonts w:ascii="宋体" w:hAnsi="宋体" w:hint="eastAsia"/>
          <w:sz w:val="24"/>
        </w:rPr>
        <w:t xml:space="preserve">4）保证金风险是指由于无法及时筹措资金满足建立或维持股指期货合约头寸所要求的保证金而带来的风险； </w:t>
      </w:r>
    </w:p>
    <w:p w:rsidR="00562FFD" w:rsidRDefault="003317D3">
      <w:pPr>
        <w:spacing w:line="360" w:lineRule="auto"/>
        <w:ind w:firstLineChars="200" w:firstLine="480"/>
        <w:rPr>
          <w:rFonts w:ascii="宋体" w:hAnsi="宋体"/>
          <w:sz w:val="24"/>
        </w:rPr>
      </w:pPr>
      <w:r>
        <w:rPr>
          <w:rFonts w:ascii="宋体" w:hAnsi="宋体" w:hint="eastAsia"/>
          <w:sz w:val="24"/>
        </w:rPr>
        <w:t>5）信用风险是指期货经纪公司违约而产生损失的风险；</w:t>
      </w:r>
    </w:p>
    <w:p w:rsidR="00562FFD" w:rsidRDefault="003317D3">
      <w:pPr>
        <w:spacing w:line="360" w:lineRule="auto"/>
        <w:ind w:firstLineChars="200" w:firstLine="480"/>
        <w:rPr>
          <w:rFonts w:ascii="宋体" w:hAnsi="宋体"/>
          <w:sz w:val="24"/>
        </w:rPr>
      </w:pPr>
      <w:r>
        <w:rPr>
          <w:rFonts w:ascii="宋体" w:hAnsi="宋体" w:hint="eastAsia"/>
          <w:sz w:val="24"/>
        </w:rPr>
        <w:t>6）操作风险是指由于内部流程的不完善，业务人员出现差错或者疏漏，或者系统出现故障等原因造成损失的风险。</w:t>
      </w:r>
    </w:p>
    <w:p w:rsidR="00562FFD" w:rsidRDefault="003317D3">
      <w:pPr>
        <w:spacing w:line="360" w:lineRule="auto"/>
        <w:ind w:firstLineChars="200" w:firstLine="480"/>
        <w:rPr>
          <w:rFonts w:ascii="宋体" w:hAnsi="宋体"/>
          <w:sz w:val="24"/>
        </w:rPr>
      </w:pPr>
      <w:r>
        <w:rPr>
          <w:rFonts w:ascii="宋体" w:hAnsi="宋体" w:hint="eastAsia"/>
          <w:sz w:val="24"/>
        </w:rPr>
        <w:t>5、股票期权投资风险</w:t>
      </w:r>
    </w:p>
    <w:p w:rsidR="00562FFD" w:rsidRDefault="003317D3">
      <w:pPr>
        <w:spacing w:line="360" w:lineRule="auto"/>
        <w:ind w:firstLineChars="200" w:firstLine="480"/>
        <w:rPr>
          <w:rFonts w:ascii="宋体" w:hAnsi="宋体"/>
          <w:sz w:val="24"/>
        </w:rPr>
      </w:pPr>
      <w:r>
        <w:rPr>
          <w:rFonts w:ascii="宋体" w:hAnsi="宋体" w:hint="eastAsia"/>
          <w:sz w:val="24"/>
        </w:rPr>
        <w:t>本基金可投资于股票期权，投资股票期权的风险包括但不限于市场风险、流动性风险、交易对手信用风险、操作风险、保证金风险等。由此可能增加本基金净值的波动性。</w:t>
      </w:r>
    </w:p>
    <w:p w:rsidR="00562FFD" w:rsidRDefault="003317D3">
      <w:pPr>
        <w:spacing w:line="360" w:lineRule="auto"/>
        <w:ind w:firstLineChars="200" w:firstLine="480"/>
        <w:rPr>
          <w:rFonts w:ascii="宋体" w:hAnsi="宋体"/>
          <w:sz w:val="24"/>
        </w:rPr>
      </w:pPr>
      <w:r>
        <w:rPr>
          <w:rFonts w:ascii="宋体" w:hAnsi="宋体"/>
          <w:sz w:val="24"/>
        </w:rPr>
        <w:t>6</w:t>
      </w:r>
      <w:r>
        <w:rPr>
          <w:rFonts w:ascii="宋体" w:hAnsi="宋体" w:hint="eastAsia"/>
          <w:sz w:val="24"/>
        </w:rPr>
        <w:t>、投资信用衍生品风险</w:t>
      </w:r>
    </w:p>
    <w:p w:rsidR="00562FFD" w:rsidRDefault="003317D3">
      <w:pPr>
        <w:spacing w:line="360" w:lineRule="auto"/>
        <w:ind w:firstLineChars="200" w:firstLine="480"/>
        <w:rPr>
          <w:rFonts w:ascii="宋体" w:hAnsi="宋体"/>
          <w:sz w:val="24"/>
        </w:rPr>
      </w:pPr>
      <w:r>
        <w:rPr>
          <w:rFonts w:ascii="宋体" w:hAnsi="宋体" w:hint="eastAsia"/>
          <w:sz w:val="24"/>
        </w:rPr>
        <w:t>信用衍生品的投资可能面临流动性风险、偿付风险及价格波动风险。</w:t>
      </w:r>
    </w:p>
    <w:p w:rsidR="00562FFD" w:rsidRDefault="003317D3">
      <w:pPr>
        <w:spacing w:line="360" w:lineRule="auto"/>
        <w:ind w:firstLineChars="200" w:firstLine="480"/>
        <w:rPr>
          <w:rFonts w:ascii="宋体" w:hAnsi="宋体"/>
          <w:sz w:val="24"/>
        </w:rPr>
      </w:pPr>
      <w:r>
        <w:rPr>
          <w:rFonts w:ascii="宋体" w:hAnsi="宋体" w:hint="eastAsia"/>
          <w:sz w:val="24"/>
        </w:rPr>
        <w:t>流动性风险是指信用衍生品的交易转让过程中，因无法找到交易对手或交易对手较少，导致难以将其以合理价格变现的风险。</w:t>
      </w:r>
    </w:p>
    <w:p w:rsidR="00562FFD" w:rsidRDefault="003317D3">
      <w:pPr>
        <w:spacing w:line="360" w:lineRule="auto"/>
        <w:ind w:firstLineChars="200" w:firstLine="480"/>
        <w:rPr>
          <w:rFonts w:ascii="宋体" w:hAnsi="宋体"/>
          <w:sz w:val="24"/>
        </w:rPr>
      </w:pPr>
      <w:r>
        <w:rPr>
          <w:rFonts w:ascii="宋体" w:hAnsi="宋体" w:hint="eastAsia"/>
          <w:sz w:val="24"/>
        </w:rPr>
        <w:lastRenderedPageBreak/>
        <w:t>偿付风险是指在信用衍生品存续期内，由于不可控制的市场及环境变化，创设机构可能出现经营状况不佳或创设机构的现金流与预期发生一定的偏差，从而影响信用衍生品结算的风险。</w:t>
      </w:r>
    </w:p>
    <w:p w:rsidR="00562FFD" w:rsidRDefault="003317D3">
      <w:pPr>
        <w:spacing w:line="360" w:lineRule="auto"/>
        <w:ind w:firstLineChars="200" w:firstLine="480"/>
        <w:rPr>
          <w:rFonts w:ascii="宋体" w:hAnsi="宋体"/>
          <w:sz w:val="24"/>
        </w:rPr>
      </w:pPr>
      <w:r>
        <w:rPr>
          <w:rFonts w:ascii="宋体" w:hAnsi="宋体" w:hint="eastAsia"/>
          <w:sz w:val="24"/>
        </w:rPr>
        <w:t>价格波动风险是由于创设机构或所受保护债券主体经营情况或利率环境出现变化引起信用衍生品交易价格波动的风险。</w:t>
      </w:r>
    </w:p>
    <w:p w:rsidR="00562FFD" w:rsidRDefault="003317D3">
      <w:pPr>
        <w:spacing w:line="360" w:lineRule="auto"/>
        <w:ind w:firstLineChars="200" w:firstLine="480"/>
        <w:rPr>
          <w:rFonts w:ascii="宋体" w:hAnsi="宋体"/>
          <w:sz w:val="24"/>
        </w:rPr>
      </w:pPr>
      <w:r>
        <w:rPr>
          <w:rFonts w:ascii="宋体" w:hAnsi="宋体"/>
          <w:sz w:val="24"/>
        </w:rPr>
        <w:t>7</w:t>
      </w:r>
      <w:r>
        <w:rPr>
          <w:rFonts w:ascii="宋体" w:hAnsi="宋体" w:hint="eastAsia"/>
          <w:sz w:val="24"/>
        </w:rPr>
        <w:t>、港股通标的股票投资风险</w:t>
      </w:r>
    </w:p>
    <w:p w:rsidR="00562FFD" w:rsidRDefault="003317D3">
      <w:pPr>
        <w:spacing w:line="360" w:lineRule="auto"/>
        <w:ind w:firstLineChars="200" w:firstLine="480"/>
        <w:rPr>
          <w:rFonts w:ascii="宋体" w:hAnsi="宋体"/>
          <w:sz w:val="24"/>
        </w:rPr>
      </w:pPr>
      <w:r>
        <w:rPr>
          <w:rFonts w:ascii="宋体" w:hAnsi="宋体" w:hint="eastAsia"/>
          <w:sz w:val="24"/>
        </w:rPr>
        <w:t>本基金的投资范围包括港股通标的股票，会面临港股</w:t>
      </w:r>
      <w:proofErr w:type="gramStart"/>
      <w:r>
        <w:rPr>
          <w:rFonts w:ascii="宋体" w:hAnsi="宋体" w:hint="eastAsia"/>
          <w:sz w:val="24"/>
        </w:rPr>
        <w:t>通机制</w:t>
      </w:r>
      <w:proofErr w:type="gramEnd"/>
      <w:r>
        <w:rPr>
          <w:rFonts w:ascii="宋体" w:hAnsi="宋体" w:hint="eastAsia"/>
          <w:sz w:val="24"/>
        </w:rPr>
        <w:t>下因投资环境、投资标的、市场制度以及交易规则等差异带来的特有风险，可能给基金净值带来不利影响或损失。</w:t>
      </w:r>
    </w:p>
    <w:p w:rsidR="00562FFD" w:rsidRDefault="003317D3">
      <w:pPr>
        <w:spacing w:line="360" w:lineRule="auto"/>
        <w:ind w:firstLineChars="200" w:firstLine="480"/>
        <w:rPr>
          <w:rFonts w:ascii="宋体" w:hAnsi="宋体"/>
          <w:sz w:val="24"/>
        </w:rPr>
      </w:pPr>
      <w:r>
        <w:rPr>
          <w:rFonts w:ascii="宋体" w:hAnsi="宋体"/>
          <w:sz w:val="24"/>
        </w:rPr>
        <w:t>8</w:t>
      </w:r>
      <w:r>
        <w:rPr>
          <w:rFonts w:ascii="宋体" w:hAnsi="宋体" w:hint="eastAsia"/>
          <w:sz w:val="24"/>
        </w:rPr>
        <w:t>、存托凭证投资风险</w:t>
      </w:r>
    </w:p>
    <w:p w:rsidR="00562FFD" w:rsidRDefault="003317D3">
      <w:pPr>
        <w:spacing w:line="360" w:lineRule="auto"/>
        <w:ind w:firstLineChars="200" w:firstLine="480"/>
        <w:rPr>
          <w:rFonts w:ascii="宋体" w:hAnsi="宋体"/>
          <w:sz w:val="24"/>
        </w:rPr>
      </w:pPr>
      <w:r>
        <w:rPr>
          <w:rFonts w:ascii="宋体" w:hAnsi="宋体" w:hint="eastAsia"/>
          <w:sz w:val="24"/>
        </w:rPr>
        <w:t>本基金可投资存托凭证，基金净值可能受到存托凭证的境外基础证券价格波动影响，存托凭证的境外基础证券的相关风险可能直接或间接成为本基金的风险。</w:t>
      </w:r>
    </w:p>
    <w:p w:rsidR="00562FFD" w:rsidRDefault="003317D3">
      <w:pPr>
        <w:spacing w:line="360" w:lineRule="auto"/>
        <w:ind w:firstLineChars="200" w:firstLine="480"/>
        <w:rPr>
          <w:rFonts w:ascii="宋体" w:hAnsi="宋体"/>
          <w:sz w:val="24"/>
        </w:rPr>
      </w:pPr>
      <w:r>
        <w:rPr>
          <w:rFonts w:ascii="宋体" w:hAnsi="宋体" w:hint="eastAsia"/>
          <w:sz w:val="24"/>
        </w:rPr>
        <w:t>三、基金的流动性风险评估及流动性风险管理工具</w:t>
      </w:r>
      <w:bookmarkEnd w:id="78"/>
    </w:p>
    <w:p w:rsidR="00562FFD" w:rsidRDefault="003317D3">
      <w:pPr>
        <w:spacing w:line="360" w:lineRule="auto"/>
        <w:ind w:firstLineChars="200" w:firstLine="480"/>
        <w:rPr>
          <w:rFonts w:ascii="宋体" w:hAnsi="宋体"/>
          <w:sz w:val="24"/>
        </w:rPr>
      </w:pPr>
      <w:r>
        <w:rPr>
          <w:rFonts w:ascii="宋体" w:hAnsi="宋体" w:hint="eastAsia"/>
          <w:sz w:val="24"/>
        </w:rPr>
        <w:t>（一）基金申购、赎回安排</w:t>
      </w:r>
    </w:p>
    <w:p w:rsidR="00562FFD" w:rsidRDefault="003317D3">
      <w:pPr>
        <w:spacing w:line="360" w:lineRule="auto"/>
        <w:ind w:firstLineChars="200" w:firstLine="480"/>
        <w:rPr>
          <w:rFonts w:ascii="宋体" w:hAnsi="宋体"/>
          <w:sz w:val="24"/>
        </w:rPr>
      </w:pPr>
      <w:r>
        <w:rPr>
          <w:rFonts w:ascii="宋体" w:hAnsi="宋体" w:hint="eastAsia"/>
          <w:sz w:val="24"/>
        </w:rPr>
        <w:t>本基金的申购、赎回安排详见本招募说明书“基金份额的申购与赎回”章节。</w:t>
      </w:r>
    </w:p>
    <w:p w:rsidR="00562FFD" w:rsidRDefault="003317D3">
      <w:pPr>
        <w:spacing w:line="360" w:lineRule="auto"/>
        <w:ind w:firstLineChars="200" w:firstLine="480"/>
        <w:rPr>
          <w:rFonts w:ascii="宋体" w:hAnsi="宋体"/>
          <w:sz w:val="24"/>
        </w:rPr>
      </w:pPr>
      <w:r>
        <w:rPr>
          <w:rFonts w:ascii="宋体" w:hAnsi="宋体" w:hint="eastAsia"/>
          <w:sz w:val="24"/>
        </w:rPr>
        <w:t>（二）本基金拟投资市场、行业及资产的流动性风险评估</w:t>
      </w:r>
    </w:p>
    <w:p w:rsidR="00562FFD" w:rsidRDefault="003317D3">
      <w:pPr>
        <w:spacing w:line="360" w:lineRule="auto"/>
        <w:ind w:firstLine="480"/>
        <w:rPr>
          <w:rFonts w:ascii="宋体" w:hAnsi="宋体"/>
          <w:sz w:val="24"/>
        </w:rPr>
      </w:pPr>
      <w:r>
        <w:rPr>
          <w:rFonts w:ascii="宋体" w:hAnsi="宋体" w:hint="eastAsia"/>
          <w:sz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Pr>
          <w:rFonts w:ascii="宋体" w:hAnsi="宋体" w:hint="eastAsia"/>
          <w:sz w:val="24"/>
        </w:rPr>
        <w:t>券</w:t>
      </w:r>
      <w:proofErr w:type="gramEnd"/>
      <w:r>
        <w:rPr>
          <w:rFonts w:ascii="宋体" w:hAnsi="宋体" w:hint="eastAsia"/>
          <w:sz w:val="24"/>
        </w:rPr>
        <w:t>方面未有高集中度的特征，综合评估在正常市场环境下本基金的流动性风险适中。</w:t>
      </w:r>
    </w:p>
    <w:p w:rsidR="00562FFD" w:rsidRDefault="003317D3">
      <w:pPr>
        <w:spacing w:line="360" w:lineRule="auto"/>
        <w:ind w:firstLineChars="200" w:firstLine="480"/>
        <w:rPr>
          <w:rFonts w:ascii="宋体" w:hAnsi="宋体"/>
          <w:sz w:val="24"/>
        </w:rPr>
      </w:pPr>
      <w:bookmarkStart w:id="79" w:name="_Toc313303425"/>
      <w:r>
        <w:rPr>
          <w:rFonts w:ascii="宋体" w:hAnsi="宋体" w:hint="eastAsia"/>
          <w:sz w:val="24"/>
        </w:rPr>
        <w:t>（三）巨额赎回情形下的流动性风险管理措施</w:t>
      </w:r>
    </w:p>
    <w:p w:rsidR="00562FFD" w:rsidRDefault="003317D3">
      <w:pPr>
        <w:spacing w:line="360" w:lineRule="auto"/>
        <w:ind w:firstLineChars="200" w:firstLine="480"/>
        <w:rPr>
          <w:rFonts w:ascii="宋体" w:hAnsi="宋体"/>
          <w:sz w:val="24"/>
        </w:rPr>
      </w:pPr>
      <w:r>
        <w:rPr>
          <w:rFonts w:ascii="宋体" w:hAnsi="宋体" w:hint="eastAsia"/>
          <w:sz w:val="24"/>
        </w:rPr>
        <w:t>当本基金出现巨额赎回情形时，本基金管理人经内部决策，并与基金托管人协商一致后，将运用多种流动性风险管理工具对赎回申请进行适度调整，以应对流动性风险，保护基金份额持有人的利益，包括但不限于：</w:t>
      </w:r>
    </w:p>
    <w:p w:rsidR="00562FFD" w:rsidRDefault="003317D3">
      <w:pPr>
        <w:spacing w:line="360" w:lineRule="auto"/>
        <w:ind w:firstLineChars="200" w:firstLine="480"/>
        <w:rPr>
          <w:rFonts w:ascii="宋体" w:hAnsi="宋体"/>
          <w:sz w:val="24"/>
        </w:rPr>
      </w:pPr>
      <w:r>
        <w:rPr>
          <w:rFonts w:ascii="宋体" w:hAnsi="宋体" w:hint="eastAsia"/>
          <w:sz w:val="24"/>
        </w:rPr>
        <w:t>1、延</w:t>
      </w:r>
      <w:r>
        <w:rPr>
          <w:rFonts w:ascii="宋体" w:hAnsi="宋体"/>
          <w:sz w:val="24"/>
        </w:rPr>
        <w:t>期</w:t>
      </w:r>
      <w:r>
        <w:rPr>
          <w:rFonts w:ascii="宋体" w:hAnsi="宋体" w:hint="eastAsia"/>
          <w:sz w:val="24"/>
        </w:rPr>
        <w:t>办理巨额赎回申请；</w:t>
      </w:r>
    </w:p>
    <w:p w:rsidR="00562FFD" w:rsidRDefault="003317D3">
      <w:pPr>
        <w:spacing w:line="360" w:lineRule="auto"/>
        <w:ind w:firstLineChars="200" w:firstLine="480"/>
        <w:rPr>
          <w:rFonts w:ascii="宋体" w:hAnsi="宋体"/>
          <w:sz w:val="24"/>
        </w:rPr>
      </w:pPr>
      <w:r>
        <w:rPr>
          <w:rFonts w:ascii="宋体" w:hAnsi="宋体"/>
          <w:sz w:val="24"/>
        </w:rPr>
        <w:t>2</w:t>
      </w:r>
      <w:r>
        <w:rPr>
          <w:rFonts w:ascii="宋体" w:hAnsi="宋体" w:hint="eastAsia"/>
          <w:sz w:val="24"/>
        </w:rPr>
        <w:t>、暂停接受赎回申请；</w:t>
      </w:r>
    </w:p>
    <w:p w:rsidR="00562FFD" w:rsidRDefault="003317D3">
      <w:pPr>
        <w:spacing w:line="360" w:lineRule="auto"/>
        <w:ind w:firstLineChars="200" w:firstLine="480"/>
        <w:rPr>
          <w:rFonts w:ascii="宋体" w:hAnsi="宋体"/>
          <w:sz w:val="24"/>
        </w:rPr>
      </w:pPr>
      <w:r>
        <w:rPr>
          <w:rFonts w:ascii="宋体" w:hAnsi="宋体" w:hint="eastAsia"/>
          <w:sz w:val="24"/>
        </w:rPr>
        <w:t>3、延缓支付赎回款项；</w:t>
      </w:r>
    </w:p>
    <w:p w:rsidR="00562FFD" w:rsidRDefault="003317D3">
      <w:pPr>
        <w:spacing w:line="360" w:lineRule="auto"/>
        <w:ind w:firstLineChars="200" w:firstLine="480"/>
        <w:rPr>
          <w:rFonts w:ascii="宋体" w:hAnsi="宋体"/>
          <w:sz w:val="24"/>
        </w:rPr>
      </w:pPr>
      <w:r>
        <w:rPr>
          <w:rFonts w:ascii="宋体" w:hAnsi="宋体" w:hint="eastAsia"/>
          <w:sz w:val="24"/>
        </w:rPr>
        <w:t>4、中国证监会认可的其他措施。</w:t>
      </w:r>
    </w:p>
    <w:p w:rsidR="00562FFD" w:rsidRDefault="003317D3">
      <w:pPr>
        <w:spacing w:line="360" w:lineRule="auto"/>
        <w:ind w:firstLineChars="200" w:firstLine="480"/>
        <w:rPr>
          <w:rFonts w:ascii="宋体" w:hAnsi="宋体"/>
          <w:sz w:val="24"/>
        </w:rPr>
      </w:pPr>
      <w:r>
        <w:rPr>
          <w:rFonts w:ascii="宋体" w:hAnsi="宋体" w:hint="eastAsia"/>
          <w:sz w:val="24"/>
        </w:rPr>
        <w:lastRenderedPageBreak/>
        <w:t>具体措施，详见招募说明书“基金份额的申购与赎回”章节中“巨额赎回的情形及处理方式”的相关内容。</w:t>
      </w:r>
    </w:p>
    <w:p w:rsidR="00562FFD" w:rsidRDefault="003317D3">
      <w:pPr>
        <w:spacing w:line="360" w:lineRule="auto"/>
        <w:ind w:firstLineChars="200" w:firstLine="480"/>
        <w:rPr>
          <w:rFonts w:ascii="宋体" w:hAnsi="宋体"/>
          <w:sz w:val="24"/>
        </w:rPr>
      </w:pPr>
      <w:r>
        <w:rPr>
          <w:rFonts w:ascii="宋体" w:hAnsi="宋体" w:hint="eastAsia"/>
          <w:sz w:val="24"/>
        </w:rPr>
        <w:t>（四）实施备用的流动性风险管理工具的情形、程序及对投资者的潜在影响</w:t>
      </w:r>
    </w:p>
    <w:p w:rsidR="00562FFD" w:rsidRDefault="003317D3">
      <w:pPr>
        <w:spacing w:line="360" w:lineRule="auto"/>
        <w:ind w:firstLineChars="200" w:firstLine="480"/>
        <w:rPr>
          <w:rFonts w:ascii="宋体" w:hAnsi="宋体"/>
          <w:sz w:val="24"/>
        </w:rPr>
      </w:pPr>
      <w:r>
        <w:rPr>
          <w:rFonts w:ascii="宋体" w:hAnsi="宋体" w:hint="eastAsia"/>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w:t>
      </w:r>
    </w:p>
    <w:p w:rsidR="00562FFD" w:rsidRDefault="003317D3">
      <w:pPr>
        <w:spacing w:line="360" w:lineRule="auto"/>
        <w:ind w:firstLineChars="200" w:firstLine="480"/>
        <w:rPr>
          <w:rFonts w:ascii="宋体" w:hAnsi="宋体"/>
          <w:sz w:val="24"/>
        </w:rPr>
      </w:pPr>
      <w:r>
        <w:rPr>
          <w:rFonts w:ascii="宋体" w:hAnsi="宋体" w:hint="eastAsia"/>
          <w:sz w:val="24"/>
        </w:rPr>
        <w:t>1、延期办理巨额赎回申请</w:t>
      </w:r>
    </w:p>
    <w:p w:rsidR="00562FFD" w:rsidRDefault="003317D3">
      <w:pPr>
        <w:spacing w:line="360" w:lineRule="auto"/>
        <w:ind w:firstLineChars="200" w:firstLine="480"/>
        <w:rPr>
          <w:rFonts w:ascii="宋体" w:hAnsi="宋体"/>
          <w:sz w:val="24"/>
        </w:rPr>
      </w:pPr>
      <w:r>
        <w:rPr>
          <w:rFonts w:ascii="宋体" w:hAnsi="宋体" w:hint="eastAsia"/>
          <w:sz w:val="24"/>
        </w:rPr>
        <w:t>具体措施，详见招募说明书“基金份额的申购与赎回”章节中“巨额赎回的情形及处理方式”的相关内容。</w:t>
      </w:r>
    </w:p>
    <w:p w:rsidR="00562FFD" w:rsidRDefault="003317D3">
      <w:pPr>
        <w:spacing w:line="360" w:lineRule="auto"/>
        <w:ind w:firstLineChars="200" w:firstLine="480"/>
        <w:rPr>
          <w:rFonts w:ascii="宋体" w:hAnsi="宋体"/>
          <w:sz w:val="24"/>
        </w:rPr>
      </w:pPr>
      <w:r>
        <w:rPr>
          <w:rFonts w:ascii="宋体" w:hAnsi="宋体" w:hint="eastAsia"/>
          <w:sz w:val="24"/>
        </w:rPr>
        <w:t>2、暂停接受赎回申请或延缓支付赎回款项</w:t>
      </w:r>
    </w:p>
    <w:p w:rsidR="00562FFD" w:rsidRDefault="003317D3">
      <w:pPr>
        <w:spacing w:line="360" w:lineRule="auto"/>
        <w:ind w:firstLineChars="200" w:firstLine="480"/>
        <w:rPr>
          <w:rFonts w:ascii="宋体" w:hAnsi="宋体"/>
          <w:sz w:val="24"/>
        </w:rPr>
      </w:pPr>
      <w:r>
        <w:rPr>
          <w:rFonts w:ascii="宋体" w:hAnsi="宋体" w:hint="eastAsia"/>
          <w:sz w:val="24"/>
        </w:rPr>
        <w:t>上述具体措施，详见招募说明书“基金份额的申购与赎回”章节中“暂停赎回或延缓支付赎回款项的情形”的相关内容。</w:t>
      </w:r>
    </w:p>
    <w:p w:rsidR="00562FFD" w:rsidRDefault="003317D3">
      <w:pPr>
        <w:spacing w:line="360" w:lineRule="auto"/>
        <w:ind w:firstLineChars="200" w:firstLine="480"/>
        <w:rPr>
          <w:rFonts w:ascii="宋体" w:hAnsi="宋体"/>
          <w:sz w:val="24"/>
        </w:rPr>
      </w:pPr>
      <w:r>
        <w:rPr>
          <w:rFonts w:ascii="宋体" w:hAnsi="宋体" w:hint="eastAsia"/>
          <w:sz w:val="24"/>
        </w:rPr>
        <w:t>3、暂停基金估值</w:t>
      </w:r>
    </w:p>
    <w:p w:rsidR="00562FFD" w:rsidRDefault="003317D3">
      <w:pPr>
        <w:spacing w:line="360" w:lineRule="auto"/>
        <w:ind w:firstLineChars="200" w:firstLine="480"/>
        <w:rPr>
          <w:rFonts w:ascii="宋体" w:hAnsi="宋体"/>
          <w:sz w:val="24"/>
        </w:rPr>
      </w:pPr>
      <w:r>
        <w:rPr>
          <w:rFonts w:ascii="宋体" w:hAnsi="宋体" w:hint="eastAsia"/>
          <w:sz w:val="24"/>
        </w:rPr>
        <w:t>当特定资产占前一估值日基金资产净值50%以上的，经与基金托管人协商确认后，基金管理人应当暂停基金估值，并采取延缓支付赎回款项或暂停接受基金申购赎回申请的措施。</w:t>
      </w:r>
    </w:p>
    <w:p w:rsidR="00562FFD" w:rsidRDefault="003317D3">
      <w:pPr>
        <w:spacing w:line="360" w:lineRule="auto"/>
        <w:ind w:firstLineChars="200" w:firstLine="480"/>
        <w:rPr>
          <w:rFonts w:ascii="宋体" w:hAnsi="宋体"/>
          <w:sz w:val="24"/>
        </w:rPr>
      </w:pPr>
      <w:r>
        <w:rPr>
          <w:rFonts w:ascii="宋体" w:hAnsi="宋体" w:hint="eastAsia"/>
          <w:sz w:val="24"/>
        </w:rPr>
        <w:t>4、摆动定价</w:t>
      </w:r>
    </w:p>
    <w:p w:rsidR="00562FFD" w:rsidRDefault="003317D3">
      <w:pPr>
        <w:spacing w:line="360" w:lineRule="auto"/>
        <w:ind w:firstLineChars="200" w:firstLine="480"/>
        <w:rPr>
          <w:rFonts w:ascii="宋体" w:hAnsi="宋体"/>
          <w:sz w:val="24"/>
        </w:rPr>
      </w:pPr>
      <w:r>
        <w:rPr>
          <w:rFonts w:ascii="宋体" w:hAnsi="宋体"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562FFD" w:rsidRDefault="003317D3">
      <w:pPr>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实施侧袋机制</w:t>
      </w:r>
      <w:proofErr w:type="gramEnd"/>
    </w:p>
    <w:p w:rsidR="00562FFD" w:rsidRDefault="003317D3">
      <w:pPr>
        <w:spacing w:line="360" w:lineRule="auto"/>
        <w:ind w:firstLineChars="200" w:firstLine="480"/>
        <w:rPr>
          <w:rFonts w:ascii="宋体" w:hAnsi="宋体"/>
          <w:sz w:val="24"/>
        </w:rPr>
      </w:pPr>
      <w:r>
        <w:rPr>
          <w:rFonts w:ascii="宋体" w:hAnsi="宋体" w:hint="eastAsia"/>
          <w:sz w:val="24"/>
        </w:rPr>
        <w:t>上述具体措施，详见本招募说明书“侧袋机制”章节的相关内容。</w:t>
      </w:r>
    </w:p>
    <w:p w:rsidR="00562FFD" w:rsidRDefault="003317D3">
      <w:pPr>
        <w:spacing w:line="360" w:lineRule="auto"/>
        <w:ind w:firstLineChars="200" w:firstLine="480"/>
        <w:rPr>
          <w:rFonts w:ascii="宋体" w:hAnsi="宋体"/>
          <w:sz w:val="24"/>
        </w:rPr>
      </w:pPr>
      <w:r>
        <w:rPr>
          <w:rFonts w:ascii="宋体" w:hAnsi="宋体" w:hint="eastAsia"/>
          <w:sz w:val="24"/>
        </w:rPr>
        <w:t>当本基金出现上述情形时，本基金可能无法及时满足所有投资者的赎回申请，投资者收到赎回款项的时间也可能晚于预期或可能增加投资者赎回的成本。</w:t>
      </w:r>
    </w:p>
    <w:p w:rsidR="00562FFD" w:rsidRDefault="003317D3">
      <w:pPr>
        <w:spacing w:line="360" w:lineRule="auto"/>
        <w:ind w:firstLineChars="200" w:firstLine="480"/>
        <w:rPr>
          <w:rFonts w:ascii="宋体" w:hAnsi="宋体"/>
          <w:sz w:val="24"/>
        </w:rPr>
      </w:pPr>
      <w:r>
        <w:rPr>
          <w:rFonts w:ascii="宋体" w:hAnsi="宋体" w:hint="eastAsia"/>
          <w:sz w:val="24"/>
        </w:rPr>
        <w:t>四、流动性风险</w:t>
      </w:r>
      <w:bookmarkEnd w:id="79"/>
    </w:p>
    <w:p w:rsidR="00562FFD" w:rsidRDefault="003317D3">
      <w:pPr>
        <w:spacing w:line="360" w:lineRule="auto"/>
        <w:ind w:firstLineChars="200" w:firstLine="480"/>
        <w:rPr>
          <w:rFonts w:ascii="宋体" w:hAnsi="宋体"/>
          <w:sz w:val="24"/>
        </w:rPr>
      </w:pPr>
      <w:r>
        <w:rPr>
          <w:rFonts w:ascii="宋体" w:hAnsi="宋体" w:hint="eastAsia"/>
          <w:sz w:val="24"/>
        </w:rPr>
        <w:t>流动性风险是指因证券市场交易量不足，导致证券不能迅速、低成本地变现的风险。流动性风险还包括基金在开放期内出现巨额赎回，致使没有足够的现金应付赎回支付所引致的风险。</w:t>
      </w:r>
      <w:bookmarkStart w:id="80" w:name="_Toc313303426"/>
    </w:p>
    <w:p w:rsidR="00562FFD" w:rsidRDefault="003317D3">
      <w:pPr>
        <w:spacing w:line="360" w:lineRule="auto"/>
        <w:ind w:firstLineChars="200" w:firstLine="480"/>
        <w:rPr>
          <w:rFonts w:ascii="宋体" w:hAnsi="宋体"/>
          <w:sz w:val="24"/>
        </w:rPr>
      </w:pPr>
      <w:r>
        <w:rPr>
          <w:rFonts w:ascii="宋体" w:hAnsi="宋体" w:hint="eastAsia"/>
          <w:sz w:val="24"/>
        </w:rPr>
        <w:lastRenderedPageBreak/>
        <w:t>五、操作风险</w:t>
      </w:r>
      <w:bookmarkEnd w:id="80"/>
    </w:p>
    <w:p w:rsidR="00562FFD" w:rsidRDefault="003317D3">
      <w:pPr>
        <w:spacing w:line="360" w:lineRule="auto"/>
        <w:ind w:firstLineChars="200" w:firstLine="480"/>
        <w:rPr>
          <w:rFonts w:ascii="宋体" w:hAnsi="宋体"/>
          <w:sz w:val="24"/>
        </w:rPr>
      </w:pPr>
      <w:r>
        <w:rPr>
          <w:rFonts w:ascii="宋体" w:hAnsi="宋体"/>
          <w:sz w:val="24"/>
        </w:rPr>
        <w:t>操作风险是指基金运作过程中，因内部控制存在缺陷或者人为因素造成操作失误或违反操作规程等引致的风险，例如，越权违规交易、会计部门欺诈、交易错误、IT系统故障等风险。</w:t>
      </w:r>
      <w:bookmarkStart w:id="81" w:name="_Toc313303427"/>
    </w:p>
    <w:p w:rsidR="00562FFD" w:rsidRDefault="003317D3">
      <w:pPr>
        <w:spacing w:line="360" w:lineRule="auto"/>
        <w:ind w:firstLineChars="200" w:firstLine="480"/>
        <w:rPr>
          <w:rFonts w:ascii="宋体" w:hAnsi="宋体"/>
          <w:sz w:val="24"/>
        </w:rPr>
      </w:pPr>
      <w:r>
        <w:rPr>
          <w:rFonts w:ascii="宋体" w:hAnsi="宋体" w:hint="eastAsia"/>
          <w:sz w:val="24"/>
        </w:rPr>
        <w:t>六、管理风险</w:t>
      </w:r>
      <w:bookmarkEnd w:id="81"/>
    </w:p>
    <w:p w:rsidR="00562FFD" w:rsidRDefault="003317D3">
      <w:pPr>
        <w:spacing w:line="360" w:lineRule="auto"/>
        <w:ind w:firstLineChars="200" w:firstLine="480"/>
        <w:rPr>
          <w:rFonts w:ascii="宋体" w:hAnsi="宋体" w:cs="Arial"/>
          <w:color w:val="000000"/>
          <w:sz w:val="24"/>
        </w:rPr>
      </w:pPr>
      <w:r>
        <w:rPr>
          <w:rFonts w:ascii="宋体" w:hAnsi="宋体" w:cs="黑体" w:hint="eastAsia"/>
          <w:color w:val="000000"/>
          <w:kern w:val="0"/>
          <w:sz w:val="24"/>
        </w:rPr>
        <w:t>在</w:t>
      </w:r>
      <w:r>
        <w:rPr>
          <w:rFonts w:ascii="宋体" w:hAnsi="宋体" w:cs="Arial"/>
          <w:color w:val="000000"/>
          <w:sz w:val="24"/>
        </w:rPr>
        <w:t>基金管理运作过程中，基金管理人的研究水平、投资管理水平直接影响基金收益水平，如果基金管理人对经济形势和证券市场判断不准确、获取的信息不</w:t>
      </w:r>
      <w:r>
        <w:rPr>
          <w:rFonts w:ascii="宋体" w:hAnsi="宋体" w:cs="Arial" w:hint="eastAsia"/>
          <w:color w:val="000000"/>
          <w:sz w:val="24"/>
        </w:rPr>
        <w:t>充分</w:t>
      </w:r>
      <w:r>
        <w:rPr>
          <w:rFonts w:ascii="宋体" w:hAnsi="宋体" w:cs="Arial"/>
          <w:color w:val="000000"/>
          <w:sz w:val="24"/>
        </w:rPr>
        <w:t>、投资操作出现失误</w:t>
      </w:r>
      <w:r>
        <w:rPr>
          <w:rFonts w:ascii="宋体" w:hAnsi="宋体" w:cs="Arial" w:hint="eastAsia"/>
          <w:color w:val="000000"/>
          <w:sz w:val="24"/>
        </w:rPr>
        <w:t>等</w:t>
      </w:r>
      <w:r>
        <w:rPr>
          <w:rFonts w:ascii="宋体" w:hAnsi="宋体" w:cs="Arial"/>
          <w:color w:val="000000"/>
          <w:sz w:val="24"/>
        </w:rPr>
        <w:t>，都会影响基金的收益水平。</w:t>
      </w:r>
      <w:bookmarkStart w:id="82" w:name="_Toc313303428"/>
    </w:p>
    <w:p w:rsidR="00562FFD" w:rsidRDefault="003317D3">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七、合</w:t>
      </w:r>
      <w:proofErr w:type="gramStart"/>
      <w:r>
        <w:rPr>
          <w:rFonts w:ascii="宋体" w:hAnsi="宋体" w:cs="仿宋_GB2312" w:hint="eastAsia"/>
          <w:color w:val="000000"/>
          <w:sz w:val="24"/>
        </w:rPr>
        <w:t>规</w:t>
      </w:r>
      <w:proofErr w:type="gramEnd"/>
      <w:r>
        <w:rPr>
          <w:rFonts w:ascii="宋体" w:hAnsi="宋体" w:cs="仿宋_GB2312" w:hint="eastAsia"/>
          <w:color w:val="000000"/>
          <w:sz w:val="24"/>
        </w:rPr>
        <w:t>性风险</w:t>
      </w:r>
      <w:bookmarkEnd w:id="82"/>
    </w:p>
    <w:p w:rsidR="00562FFD" w:rsidRDefault="003317D3">
      <w:pPr>
        <w:spacing w:line="360" w:lineRule="auto"/>
        <w:ind w:firstLineChars="200" w:firstLine="480"/>
        <w:rPr>
          <w:rFonts w:ascii="宋体" w:hAnsi="宋体"/>
          <w:sz w:val="24"/>
        </w:rPr>
      </w:pPr>
      <w:r>
        <w:rPr>
          <w:rFonts w:ascii="宋体" w:hAnsi="宋体" w:hint="eastAsia"/>
          <w:sz w:val="24"/>
        </w:rPr>
        <w:t>合</w:t>
      </w:r>
      <w:proofErr w:type="gramStart"/>
      <w:r>
        <w:rPr>
          <w:rFonts w:ascii="宋体" w:hAnsi="宋体" w:hint="eastAsia"/>
          <w:sz w:val="24"/>
        </w:rPr>
        <w:t>规</w:t>
      </w:r>
      <w:proofErr w:type="gramEnd"/>
      <w:r>
        <w:rPr>
          <w:rFonts w:ascii="宋体" w:hAnsi="宋体" w:hint="eastAsia"/>
          <w:sz w:val="24"/>
        </w:rPr>
        <w:t>风险</w:t>
      </w:r>
      <w:r>
        <w:rPr>
          <w:rFonts w:ascii="宋体" w:hAnsi="宋体"/>
          <w:sz w:val="24"/>
        </w:rPr>
        <w:t>指基金管理或运作过程中，违反国家法律、法规的规定，或者</w:t>
      </w:r>
      <w:r>
        <w:rPr>
          <w:rFonts w:ascii="宋体" w:hAnsi="宋体" w:hint="eastAsia"/>
          <w:sz w:val="24"/>
        </w:rPr>
        <w:t>违反</w:t>
      </w:r>
      <w:r>
        <w:rPr>
          <w:rFonts w:ascii="宋体" w:hAnsi="宋体"/>
          <w:sz w:val="24"/>
        </w:rPr>
        <w:t>基金合同有关规定的风险。</w:t>
      </w:r>
    </w:p>
    <w:p w:rsidR="00562FFD" w:rsidRDefault="003317D3">
      <w:pPr>
        <w:spacing w:line="360" w:lineRule="auto"/>
        <w:ind w:firstLineChars="200" w:firstLine="480"/>
        <w:rPr>
          <w:rFonts w:ascii="宋体" w:hAnsi="宋体" w:cs="仿宋_GB2312"/>
          <w:color w:val="000000"/>
          <w:sz w:val="24"/>
        </w:rPr>
      </w:pPr>
      <w:bookmarkStart w:id="83" w:name="_Toc313303429"/>
      <w:r>
        <w:rPr>
          <w:rFonts w:ascii="宋体" w:hAnsi="宋体" w:cs="仿宋_GB2312" w:hint="eastAsia"/>
          <w:color w:val="000000"/>
          <w:sz w:val="24"/>
        </w:rPr>
        <w:t>八、</w:t>
      </w:r>
      <w:bookmarkEnd w:id="83"/>
      <w:r>
        <w:rPr>
          <w:rFonts w:ascii="宋体" w:hAnsi="宋体" w:cs="仿宋_GB2312" w:hint="eastAsia"/>
          <w:color w:val="000000"/>
          <w:sz w:val="24"/>
        </w:rPr>
        <w:t>税负增加风险</w:t>
      </w:r>
    </w:p>
    <w:p w:rsidR="00562FFD" w:rsidRDefault="003317D3">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财政部、国家税务总局财政</w:t>
      </w:r>
      <w:r>
        <w:rPr>
          <w:rFonts w:ascii="宋体" w:hAnsi="宋体" w:cs="仿宋_GB2312"/>
          <w:color w:val="000000"/>
          <w:sz w:val="24"/>
        </w:rPr>
        <w:t>[2016]140</w:t>
      </w:r>
      <w:r>
        <w:rPr>
          <w:rFonts w:ascii="宋体" w:hAnsi="宋体" w:cs="仿宋_GB2312" w:hint="eastAsia"/>
          <w:color w:val="000000"/>
          <w:sz w:val="24"/>
        </w:rPr>
        <w:t>号《关于明确金融房地产开发教育辅助服务等增值税政策的通知》第四条规定：</w:t>
      </w:r>
      <w:r>
        <w:rPr>
          <w:rFonts w:ascii="宋体" w:hAnsi="宋体" w:cs="仿宋_GB2312"/>
          <w:color w:val="000000"/>
          <w:sz w:val="24"/>
        </w:rPr>
        <w:t>“</w:t>
      </w:r>
      <w:r>
        <w:rPr>
          <w:rFonts w:ascii="宋体" w:hAnsi="宋体" w:cs="仿宋_GB2312" w:hint="eastAsia"/>
          <w:color w:val="000000"/>
          <w:sz w:val="24"/>
        </w:rPr>
        <w:t>资管产品运营过程中发生的增值税应税行为，以资管产品管理人为增值税纳税人。</w:t>
      </w:r>
      <w:r>
        <w:rPr>
          <w:rFonts w:ascii="宋体" w:hAnsi="宋体" w:cs="仿宋_GB2312"/>
          <w:color w:val="000000"/>
          <w:sz w:val="24"/>
        </w:rPr>
        <w:t>”</w:t>
      </w:r>
      <w:r>
        <w:rPr>
          <w:rFonts w:ascii="宋体" w:hAnsi="宋体" w:cs="仿宋_GB2312" w:hint="eastAsia"/>
          <w:color w:val="000000"/>
          <w:sz w:val="24"/>
        </w:rPr>
        <w:t>鉴于基金合同中基金管理人的管理费中不包括产品运营过程中发生的税款，本基金运营过程中需要缴纳增值税应税的，将由基金份额持有人承担并从基金资产中支付，按照税务机关的规定以基金管理人为增值税纳税人履行纳税义务，因此可能增加基金份额持有人的投资税费成本。</w:t>
      </w:r>
    </w:p>
    <w:p w:rsidR="00562FFD" w:rsidRDefault="003317D3">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九、启用</w:t>
      </w:r>
      <w:proofErr w:type="gramStart"/>
      <w:r>
        <w:rPr>
          <w:rFonts w:ascii="宋体" w:hAnsi="宋体" w:cs="仿宋_GB2312" w:hint="eastAsia"/>
          <w:color w:val="000000"/>
          <w:sz w:val="24"/>
        </w:rPr>
        <w:t>侧袋机制</w:t>
      </w:r>
      <w:proofErr w:type="gramEnd"/>
      <w:r>
        <w:rPr>
          <w:rFonts w:ascii="宋体" w:hAnsi="宋体" w:cs="仿宋_GB2312" w:hint="eastAsia"/>
          <w:color w:val="000000"/>
          <w:sz w:val="24"/>
        </w:rPr>
        <w:t>的风险</w:t>
      </w:r>
    </w:p>
    <w:p w:rsidR="00562FFD" w:rsidRDefault="003317D3">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当本基金启用</w:t>
      </w:r>
      <w:proofErr w:type="gramStart"/>
      <w:r>
        <w:rPr>
          <w:rFonts w:ascii="宋体" w:hAnsi="宋体" w:cs="仿宋_GB2312" w:hint="eastAsia"/>
          <w:color w:val="000000"/>
          <w:sz w:val="24"/>
        </w:rPr>
        <w:t>侧袋机制</w:t>
      </w:r>
      <w:proofErr w:type="gramEnd"/>
      <w:r>
        <w:rPr>
          <w:rFonts w:ascii="宋体" w:hAnsi="宋体" w:cs="仿宋_GB2312" w:hint="eastAsia"/>
          <w:color w:val="000000"/>
          <w:sz w:val="24"/>
        </w:rPr>
        <w:t>时，实施</w:t>
      </w:r>
      <w:proofErr w:type="gramStart"/>
      <w:r>
        <w:rPr>
          <w:rFonts w:ascii="宋体" w:hAnsi="宋体" w:cs="仿宋_GB2312" w:hint="eastAsia"/>
          <w:color w:val="000000"/>
          <w:sz w:val="24"/>
        </w:rPr>
        <w:t>侧袋机制</w:t>
      </w:r>
      <w:proofErr w:type="gramEnd"/>
      <w:r>
        <w:rPr>
          <w:rFonts w:ascii="宋体" w:hAnsi="宋体" w:cs="仿宋_GB2312" w:hint="eastAsia"/>
          <w:color w:val="000000"/>
          <w:sz w:val="24"/>
        </w:rPr>
        <w:t>期间，</w:t>
      </w:r>
      <w:proofErr w:type="gramStart"/>
      <w:r>
        <w:rPr>
          <w:rFonts w:ascii="宋体" w:hAnsi="宋体" w:cs="仿宋_GB2312" w:hint="eastAsia"/>
          <w:color w:val="000000"/>
          <w:sz w:val="24"/>
        </w:rPr>
        <w:t>侧袋账户</w:t>
      </w:r>
      <w:proofErr w:type="gramEnd"/>
      <w:r>
        <w:rPr>
          <w:rFonts w:ascii="宋体" w:hAnsi="宋体" w:cs="仿宋_GB2312" w:hint="eastAsia"/>
          <w:color w:val="000000"/>
          <w:sz w:val="24"/>
        </w:rPr>
        <w:t>份额将停止披露基金净值信息，并不得办理申购、赎回和转换。因特定资产的变现时间具有不确定性，最终变现价格也具有不确定性并且有可能大幅低于启用</w:t>
      </w:r>
      <w:proofErr w:type="gramStart"/>
      <w:r>
        <w:rPr>
          <w:rFonts w:ascii="宋体" w:hAnsi="宋体" w:cs="仿宋_GB2312" w:hint="eastAsia"/>
          <w:color w:val="000000"/>
          <w:sz w:val="24"/>
        </w:rPr>
        <w:t>侧袋机制</w:t>
      </w:r>
      <w:proofErr w:type="gramEnd"/>
      <w:r>
        <w:rPr>
          <w:rFonts w:ascii="宋体" w:hAnsi="宋体" w:cs="仿宋_GB2312" w:hint="eastAsia"/>
          <w:color w:val="000000"/>
          <w:sz w:val="24"/>
        </w:rPr>
        <w:t>时的特定资产的估值，基金份额持有人可能因此面临损失。</w:t>
      </w:r>
    </w:p>
    <w:p w:rsidR="00562FFD" w:rsidRDefault="003317D3">
      <w:pPr>
        <w:spacing w:line="360" w:lineRule="auto"/>
        <w:ind w:firstLineChars="200" w:firstLine="480"/>
        <w:rPr>
          <w:rFonts w:ascii="宋体" w:hAnsi="宋体" w:cs="仿宋_GB2312"/>
          <w:color w:val="000000"/>
          <w:sz w:val="24"/>
        </w:rPr>
      </w:pPr>
      <w:bookmarkStart w:id="84" w:name="_Toc313303430"/>
      <w:r>
        <w:rPr>
          <w:rFonts w:ascii="宋体" w:hAnsi="宋体" w:cs="仿宋_GB2312" w:hint="eastAsia"/>
          <w:color w:val="000000"/>
          <w:sz w:val="24"/>
        </w:rPr>
        <w:t>十、其它风险</w:t>
      </w:r>
      <w:bookmarkEnd w:id="84"/>
    </w:p>
    <w:p w:rsidR="00562FFD" w:rsidRDefault="003317D3">
      <w:pPr>
        <w:spacing w:line="360" w:lineRule="auto"/>
        <w:ind w:firstLineChars="200" w:firstLine="480"/>
        <w:rPr>
          <w:rFonts w:ascii="宋体" w:hAnsi="宋体"/>
          <w:sz w:val="24"/>
        </w:rPr>
      </w:pPr>
      <w:r>
        <w:rPr>
          <w:rFonts w:ascii="宋体" w:hAnsi="宋体"/>
          <w:color w:val="000000"/>
          <w:sz w:val="24"/>
        </w:rPr>
        <w:t>1、</w:t>
      </w:r>
      <w:r>
        <w:rPr>
          <w:rFonts w:ascii="宋体" w:hAnsi="宋体" w:hint="eastAsia"/>
          <w:sz w:val="24"/>
        </w:rPr>
        <w:t>在</w:t>
      </w:r>
      <w:r>
        <w:rPr>
          <w:rFonts w:ascii="宋体" w:hAnsi="宋体"/>
          <w:sz w:val="24"/>
        </w:rPr>
        <w:t>符合本基金投资理念的新</w:t>
      </w:r>
      <w:r>
        <w:rPr>
          <w:rFonts w:ascii="宋体" w:hAnsi="宋体" w:hint="eastAsia"/>
          <w:sz w:val="24"/>
        </w:rPr>
        <w:t>型</w:t>
      </w:r>
      <w:r>
        <w:rPr>
          <w:rFonts w:ascii="宋体" w:hAnsi="宋体"/>
          <w:sz w:val="24"/>
        </w:rPr>
        <w:t>投资工具出现和发展</w:t>
      </w:r>
      <w:r>
        <w:rPr>
          <w:rFonts w:ascii="宋体" w:hAnsi="宋体" w:hint="eastAsia"/>
          <w:sz w:val="24"/>
        </w:rPr>
        <w:t>后</w:t>
      </w:r>
      <w:r>
        <w:rPr>
          <w:rFonts w:ascii="宋体" w:hAnsi="宋体"/>
          <w:sz w:val="24"/>
        </w:rPr>
        <w:t>，如果投资于这些工具，基金可能会面临一些特殊的风险；</w:t>
      </w:r>
    </w:p>
    <w:p w:rsidR="00562FFD" w:rsidRDefault="003317D3">
      <w:pPr>
        <w:spacing w:line="360" w:lineRule="auto"/>
        <w:ind w:firstLineChars="200" w:firstLine="480"/>
        <w:rPr>
          <w:rFonts w:ascii="宋体" w:hAnsi="宋体"/>
          <w:sz w:val="24"/>
        </w:rPr>
      </w:pPr>
      <w:r>
        <w:rPr>
          <w:rFonts w:ascii="宋体" w:hAnsi="宋体"/>
          <w:sz w:val="24"/>
        </w:rPr>
        <w:t>2、因技术因素而产生的风险，如计算机系统不可靠产生的风险；</w:t>
      </w:r>
    </w:p>
    <w:p w:rsidR="00562FFD" w:rsidRDefault="003317D3">
      <w:pPr>
        <w:spacing w:line="360" w:lineRule="auto"/>
        <w:ind w:firstLineChars="200" w:firstLine="480"/>
        <w:rPr>
          <w:rFonts w:ascii="宋体" w:hAnsi="宋体"/>
          <w:sz w:val="24"/>
        </w:rPr>
      </w:pPr>
      <w:r>
        <w:rPr>
          <w:rFonts w:ascii="宋体" w:hAnsi="宋体"/>
          <w:sz w:val="24"/>
        </w:rPr>
        <w:t>3、因基金业务快速发展而在制度建设、人员配备、内控制度建立等方面不</w:t>
      </w:r>
      <w:r>
        <w:rPr>
          <w:rFonts w:ascii="宋体" w:hAnsi="宋体"/>
          <w:sz w:val="24"/>
        </w:rPr>
        <w:lastRenderedPageBreak/>
        <w:t>完善而产生的风险；</w:t>
      </w:r>
    </w:p>
    <w:p w:rsidR="00562FFD" w:rsidRDefault="003317D3">
      <w:pPr>
        <w:spacing w:line="360" w:lineRule="auto"/>
        <w:ind w:firstLineChars="200" w:firstLine="480"/>
        <w:rPr>
          <w:rFonts w:ascii="宋体" w:hAnsi="宋体"/>
          <w:sz w:val="24"/>
        </w:rPr>
      </w:pPr>
      <w:r>
        <w:rPr>
          <w:rFonts w:ascii="宋体" w:hAnsi="宋体"/>
          <w:sz w:val="24"/>
        </w:rPr>
        <w:t>4、因人为因素而产生的风险，如内幕交易、欺诈行为等产生的风险；</w:t>
      </w:r>
    </w:p>
    <w:p w:rsidR="00562FFD" w:rsidRDefault="003317D3">
      <w:pPr>
        <w:spacing w:line="360" w:lineRule="auto"/>
        <w:ind w:firstLineChars="200" w:firstLine="480"/>
        <w:rPr>
          <w:rFonts w:ascii="宋体" w:hAnsi="宋体"/>
          <w:sz w:val="24"/>
        </w:rPr>
      </w:pPr>
      <w:r>
        <w:rPr>
          <w:rFonts w:ascii="宋体" w:hAnsi="宋体"/>
          <w:sz w:val="24"/>
        </w:rPr>
        <w:t>5、对主要业务人员如基金经理的依赖可能产生的风险；</w:t>
      </w:r>
    </w:p>
    <w:p w:rsidR="00562FFD" w:rsidRDefault="003317D3">
      <w:pPr>
        <w:spacing w:line="360" w:lineRule="auto"/>
        <w:ind w:firstLineChars="200" w:firstLine="480"/>
        <w:rPr>
          <w:rFonts w:ascii="宋体" w:hAnsi="宋体"/>
          <w:sz w:val="24"/>
        </w:rPr>
      </w:pPr>
      <w:r>
        <w:rPr>
          <w:rFonts w:ascii="宋体" w:hAnsi="宋体"/>
          <w:sz w:val="24"/>
        </w:rPr>
        <w:t>6、战争、自然灾害等不可抗力可能导致基金资产的损失，影响基金收益水平，从而带来风险；</w:t>
      </w:r>
    </w:p>
    <w:p w:rsidR="00562FFD" w:rsidRDefault="003317D3">
      <w:pPr>
        <w:spacing w:line="360" w:lineRule="auto"/>
        <w:ind w:firstLineChars="200" w:firstLine="480"/>
        <w:rPr>
          <w:rFonts w:ascii="宋体" w:hAnsi="宋体"/>
          <w:sz w:val="24"/>
        </w:rPr>
      </w:pPr>
      <w:r>
        <w:rPr>
          <w:rFonts w:ascii="宋体" w:hAnsi="宋体"/>
          <w:sz w:val="24"/>
        </w:rPr>
        <w:t>7、其他意外导致的风险。</w:t>
      </w:r>
    </w:p>
    <w:p w:rsidR="00562FFD" w:rsidRDefault="003317D3">
      <w:pPr>
        <w:spacing w:line="360" w:lineRule="auto"/>
        <w:ind w:firstLineChars="200" w:firstLine="480"/>
        <w:rPr>
          <w:rFonts w:ascii="宋体" w:hAnsi="宋体" w:cs="仿宋_GB2312"/>
          <w:color w:val="000000"/>
          <w:sz w:val="24"/>
        </w:rPr>
      </w:pPr>
      <w:bookmarkStart w:id="85" w:name="_Toc313303431"/>
      <w:r>
        <w:rPr>
          <w:rFonts w:ascii="宋体" w:hAnsi="宋体" w:cs="仿宋_GB2312" w:hint="eastAsia"/>
          <w:color w:val="000000"/>
          <w:sz w:val="24"/>
        </w:rPr>
        <w:t>十一、声明</w:t>
      </w:r>
      <w:bookmarkEnd w:id="85"/>
    </w:p>
    <w:p w:rsidR="00562FFD" w:rsidRDefault="003317D3">
      <w:pPr>
        <w:spacing w:line="360" w:lineRule="auto"/>
        <w:ind w:firstLineChars="200" w:firstLine="480"/>
        <w:rPr>
          <w:rFonts w:ascii="宋体" w:hAnsi="宋体"/>
          <w:sz w:val="24"/>
        </w:rPr>
      </w:pPr>
      <w:r>
        <w:rPr>
          <w:rFonts w:ascii="宋体" w:hAnsi="宋体"/>
          <w:sz w:val="24"/>
        </w:rPr>
        <w:t>1</w:t>
      </w:r>
      <w:r>
        <w:rPr>
          <w:rFonts w:ascii="宋体" w:hAnsi="宋体" w:hint="eastAsia"/>
          <w:sz w:val="24"/>
        </w:rPr>
        <w:t>、投资者投资于本基金，须自行承担投资风险；</w:t>
      </w:r>
    </w:p>
    <w:p w:rsidR="00562FFD" w:rsidRDefault="003317D3">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、本基金通过基金管理人直销系统公开发售，基金管理人不能保证其收益或本金安全。</w:t>
      </w:r>
    </w:p>
    <w:p w:rsidR="00562FFD" w:rsidRDefault="003317D3">
      <w:pPr>
        <w:pStyle w:val="af0"/>
        <w:rPr>
          <w:rFonts w:hAnsi="宋体"/>
          <w:bCs/>
          <w:szCs w:val="28"/>
        </w:rPr>
      </w:pPr>
      <w:r>
        <w:rPr>
          <w:rFonts w:hAnsi="宋体"/>
          <w:bCs/>
          <w:sz w:val="24"/>
          <w:szCs w:val="24"/>
        </w:rPr>
        <w:br w:type="page"/>
      </w:r>
      <w:bookmarkStart w:id="86" w:name="_Toc34222310"/>
      <w:bookmarkStart w:id="87" w:name="_Toc56692701"/>
      <w:bookmarkEnd w:id="77"/>
      <w:r>
        <w:rPr>
          <w:rFonts w:hint="eastAsia"/>
          <w:szCs w:val="28"/>
        </w:rPr>
        <w:lastRenderedPageBreak/>
        <w:t>第十八部分 基金合同的变更、终止与基金财产的清算</w:t>
      </w:r>
      <w:bookmarkEnd w:id="86"/>
      <w:bookmarkEnd w:id="87"/>
    </w:p>
    <w:p w:rsidR="00562FFD" w:rsidRDefault="003317D3">
      <w:pPr>
        <w:spacing w:line="360" w:lineRule="auto"/>
        <w:ind w:firstLineChars="200" w:firstLine="480"/>
        <w:rPr>
          <w:sz w:val="24"/>
          <w:szCs w:val="20"/>
        </w:rPr>
      </w:pPr>
      <w:bookmarkStart w:id="88" w:name="_Toc79392639"/>
      <w:bookmarkStart w:id="89" w:name="_Toc164766399"/>
      <w:r>
        <w:rPr>
          <w:rFonts w:hint="eastAsia"/>
          <w:sz w:val="24"/>
          <w:szCs w:val="20"/>
        </w:rPr>
        <w:t>一、《基金合同》的变更</w:t>
      </w:r>
      <w:bookmarkEnd w:id="88"/>
    </w:p>
    <w:p w:rsidR="00562FFD" w:rsidRDefault="003317D3">
      <w:pPr>
        <w:spacing w:line="360" w:lineRule="auto"/>
        <w:ind w:firstLineChars="200" w:firstLine="480"/>
        <w:rPr>
          <w:sz w:val="24"/>
          <w:szCs w:val="20"/>
        </w:rPr>
      </w:pPr>
      <w:r>
        <w:rPr>
          <w:sz w:val="24"/>
          <w:szCs w:val="20"/>
        </w:rPr>
        <w:t>1</w:t>
      </w:r>
      <w:r>
        <w:rPr>
          <w:rFonts w:hint="eastAsia"/>
          <w:sz w:val="24"/>
          <w:szCs w:val="20"/>
        </w:rPr>
        <w:t>、变更基金合同涉及法律法规规定或</w:t>
      </w:r>
      <w:r>
        <w:rPr>
          <w:rFonts w:hint="eastAsia"/>
          <w:bCs/>
          <w:sz w:val="24"/>
          <w:szCs w:val="20"/>
        </w:rPr>
        <w:t>基金</w:t>
      </w:r>
      <w:r>
        <w:rPr>
          <w:rFonts w:hint="eastAsia"/>
          <w:sz w:val="24"/>
          <w:szCs w:val="20"/>
        </w:rPr>
        <w:t>合同约定应经基金份额持有人大会决议通过的事项的，应召</w:t>
      </w:r>
      <w:proofErr w:type="gramStart"/>
      <w:r>
        <w:rPr>
          <w:rFonts w:hint="eastAsia"/>
          <w:sz w:val="24"/>
          <w:szCs w:val="20"/>
        </w:rPr>
        <w:t>开基金</w:t>
      </w:r>
      <w:proofErr w:type="gramEnd"/>
      <w:r>
        <w:rPr>
          <w:rFonts w:hint="eastAsia"/>
          <w:sz w:val="24"/>
          <w:szCs w:val="20"/>
        </w:rPr>
        <w:t>份额持有人大会决议通过。对于法律法规规定和基金合同约定可不经基金份额持有人大会决议通过的事项，由基金管理人和基金托管人同意后变更并公告，并报中国证监会备案。</w:t>
      </w:r>
    </w:p>
    <w:p w:rsidR="00562FFD" w:rsidRDefault="003317D3">
      <w:pPr>
        <w:spacing w:line="360" w:lineRule="auto"/>
        <w:ind w:firstLineChars="200" w:firstLine="480"/>
        <w:rPr>
          <w:sz w:val="24"/>
          <w:szCs w:val="20"/>
        </w:rPr>
      </w:pPr>
      <w:r>
        <w:rPr>
          <w:sz w:val="24"/>
          <w:szCs w:val="20"/>
        </w:rPr>
        <w:t>2</w:t>
      </w:r>
      <w:r>
        <w:rPr>
          <w:rFonts w:hint="eastAsia"/>
          <w:sz w:val="24"/>
          <w:szCs w:val="20"/>
        </w:rPr>
        <w:t>、关于《基金合同》变更的基金份额持有人大会决议</w:t>
      </w:r>
      <w:r>
        <w:rPr>
          <w:rFonts w:ascii="宋体" w:hAnsi="宋体" w:hint="eastAsia"/>
          <w:bCs/>
          <w:sz w:val="24"/>
          <w:szCs w:val="20"/>
        </w:rPr>
        <w:t>须</w:t>
      </w:r>
      <w:r>
        <w:rPr>
          <w:rFonts w:ascii="宋体" w:hAnsi="宋体"/>
          <w:bCs/>
          <w:sz w:val="24"/>
          <w:szCs w:val="20"/>
        </w:rPr>
        <w:t>报</w:t>
      </w:r>
      <w:r>
        <w:rPr>
          <w:rFonts w:ascii="宋体" w:hAnsi="宋体" w:hint="eastAsia"/>
          <w:bCs/>
          <w:sz w:val="24"/>
          <w:szCs w:val="20"/>
        </w:rPr>
        <w:t>中国</w:t>
      </w:r>
      <w:r>
        <w:rPr>
          <w:rFonts w:ascii="宋体" w:hAnsi="宋体"/>
          <w:bCs/>
          <w:sz w:val="24"/>
          <w:szCs w:val="20"/>
        </w:rPr>
        <w:t>证监会备案，</w:t>
      </w:r>
      <w:r>
        <w:rPr>
          <w:rFonts w:ascii="宋体" w:hAnsi="宋体" w:hint="eastAsia"/>
          <w:bCs/>
          <w:sz w:val="24"/>
          <w:szCs w:val="20"/>
        </w:rPr>
        <w:t>决议</w:t>
      </w:r>
      <w:r>
        <w:rPr>
          <w:rFonts w:hint="eastAsia"/>
          <w:sz w:val="24"/>
          <w:szCs w:val="20"/>
        </w:rPr>
        <w:t>自</w:t>
      </w:r>
      <w:r>
        <w:rPr>
          <w:rFonts w:ascii="宋体" w:hAnsi="宋体" w:hint="eastAsia"/>
          <w:bCs/>
          <w:sz w:val="24"/>
          <w:szCs w:val="20"/>
        </w:rPr>
        <w:t>表决</w:t>
      </w:r>
      <w:r>
        <w:rPr>
          <w:rFonts w:ascii="宋体" w:hAnsi="宋体"/>
          <w:bCs/>
          <w:sz w:val="24"/>
          <w:szCs w:val="20"/>
        </w:rPr>
        <w:t>通过之日</w:t>
      </w:r>
      <w:r>
        <w:rPr>
          <w:rFonts w:hint="eastAsia"/>
          <w:sz w:val="24"/>
          <w:szCs w:val="20"/>
        </w:rPr>
        <w:t>生效</w:t>
      </w:r>
      <w:r>
        <w:rPr>
          <w:rFonts w:ascii="宋体" w:hAnsi="宋体" w:hint="eastAsia"/>
          <w:bCs/>
          <w:sz w:val="24"/>
          <w:szCs w:val="20"/>
        </w:rPr>
        <w:t>，</w:t>
      </w:r>
      <w:proofErr w:type="gramStart"/>
      <w:r>
        <w:rPr>
          <w:rFonts w:hint="eastAsia"/>
          <w:sz w:val="24"/>
          <w:szCs w:val="20"/>
        </w:rPr>
        <w:t>自决议</w:t>
      </w:r>
      <w:proofErr w:type="gramEnd"/>
      <w:r>
        <w:rPr>
          <w:rFonts w:hint="eastAsia"/>
          <w:sz w:val="24"/>
          <w:szCs w:val="20"/>
        </w:rPr>
        <w:t>生效后</w:t>
      </w:r>
      <w:r>
        <w:rPr>
          <w:rFonts w:ascii="宋体" w:hAnsi="宋体" w:hint="eastAsia"/>
          <w:bCs/>
          <w:sz w:val="24"/>
          <w:szCs w:val="20"/>
        </w:rPr>
        <w:t>按规定</w:t>
      </w:r>
      <w:r>
        <w:rPr>
          <w:rFonts w:hint="eastAsia"/>
          <w:sz w:val="24"/>
          <w:szCs w:val="20"/>
        </w:rPr>
        <w:t>在规定媒介公告。</w:t>
      </w:r>
    </w:p>
    <w:p w:rsidR="00562FFD" w:rsidRDefault="003317D3">
      <w:pPr>
        <w:spacing w:line="360" w:lineRule="auto"/>
        <w:ind w:firstLineChars="200" w:firstLine="480"/>
        <w:rPr>
          <w:sz w:val="24"/>
          <w:szCs w:val="20"/>
        </w:rPr>
      </w:pPr>
      <w:r>
        <w:rPr>
          <w:rFonts w:hint="eastAsia"/>
          <w:sz w:val="24"/>
          <w:szCs w:val="20"/>
        </w:rPr>
        <w:t>二、《基金合同》的终止事由</w:t>
      </w:r>
    </w:p>
    <w:p w:rsidR="00562FFD" w:rsidRDefault="003317D3">
      <w:pPr>
        <w:spacing w:line="360" w:lineRule="auto"/>
        <w:ind w:firstLineChars="200" w:firstLine="480"/>
        <w:rPr>
          <w:sz w:val="24"/>
          <w:szCs w:val="20"/>
        </w:rPr>
      </w:pPr>
      <w:r>
        <w:rPr>
          <w:rFonts w:hint="eastAsia"/>
          <w:sz w:val="24"/>
          <w:szCs w:val="20"/>
        </w:rPr>
        <w:t>有下列情形之一的，</w:t>
      </w:r>
      <w:r>
        <w:rPr>
          <w:rFonts w:ascii="宋体" w:hAnsi="宋体" w:hint="eastAsia"/>
          <w:bCs/>
          <w:sz w:val="24"/>
          <w:szCs w:val="20"/>
        </w:rPr>
        <w:t>经履行相关程序后，</w:t>
      </w:r>
      <w:r>
        <w:rPr>
          <w:rFonts w:hint="eastAsia"/>
          <w:sz w:val="24"/>
          <w:szCs w:val="20"/>
        </w:rPr>
        <w:t>《基金合同》应当终止：</w:t>
      </w:r>
    </w:p>
    <w:p w:rsidR="00562FFD" w:rsidRDefault="003317D3">
      <w:pPr>
        <w:spacing w:line="360" w:lineRule="auto"/>
        <w:ind w:firstLineChars="200" w:firstLine="480"/>
        <w:rPr>
          <w:sz w:val="24"/>
          <w:szCs w:val="20"/>
        </w:rPr>
      </w:pPr>
      <w:r>
        <w:rPr>
          <w:sz w:val="24"/>
          <w:szCs w:val="20"/>
        </w:rPr>
        <w:t>1</w:t>
      </w:r>
      <w:r>
        <w:rPr>
          <w:rFonts w:hint="eastAsia"/>
          <w:sz w:val="24"/>
          <w:szCs w:val="20"/>
        </w:rPr>
        <w:t>、基金份额持有人大会决定终止的</w:t>
      </w:r>
      <w:r>
        <w:rPr>
          <w:rFonts w:ascii="宋体" w:hAnsi="宋体" w:hint="eastAsia"/>
          <w:bCs/>
          <w:sz w:val="24"/>
          <w:szCs w:val="20"/>
        </w:rPr>
        <w:t>；</w:t>
      </w:r>
    </w:p>
    <w:p w:rsidR="00562FFD" w:rsidRDefault="003317D3">
      <w:pPr>
        <w:spacing w:line="360" w:lineRule="auto"/>
        <w:ind w:firstLineChars="200" w:firstLine="480"/>
        <w:rPr>
          <w:sz w:val="24"/>
          <w:szCs w:val="20"/>
        </w:rPr>
      </w:pPr>
      <w:r>
        <w:rPr>
          <w:sz w:val="24"/>
          <w:szCs w:val="20"/>
        </w:rPr>
        <w:t>2</w:t>
      </w:r>
      <w:r>
        <w:rPr>
          <w:rFonts w:hint="eastAsia"/>
          <w:sz w:val="24"/>
          <w:szCs w:val="20"/>
        </w:rPr>
        <w:t>、基金管理人、基金托管人职责终止，在</w:t>
      </w:r>
      <w:r>
        <w:rPr>
          <w:sz w:val="24"/>
          <w:szCs w:val="20"/>
        </w:rPr>
        <w:t>6</w:t>
      </w:r>
      <w:r>
        <w:rPr>
          <w:rFonts w:hint="eastAsia"/>
          <w:sz w:val="24"/>
          <w:szCs w:val="20"/>
        </w:rPr>
        <w:t>个月内没有新基金管理人、新基金托管人承接的</w:t>
      </w:r>
      <w:r>
        <w:rPr>
          <w:rFonts w:ascii="宋体" w:hAnsi="宋体" w:hint="eastAsia"/>
          <w:bCs/>
          <w:sz w:val="24"/>
          <w:szCs w:val="20"/>
        </w:rPr>
        <w:t>；</w:t>
      </w:r>
    </w:p>
    <w:p w:rsidR="00562FFD" w:rsidRDefault="003317D3">
      <w:pPr>
        <w:spacing w:line="360" w:lineRule="auto"/>
        <w:ind w:firstLineChars="200" w:firstLine="480"/>
        <w:rPr>
          <w:sz w:val="24"/>
          <w:szCs w:val="20"/>
        </w:rPr>
      </w:pPr>
      <w:r>
        <w:rPr>
          <w:rFonts w:hint="eastAsia"/>
          <w:sz w:val="24"/>
          <w:szCs w:val="20"/>
        </w:rPr>
        <w:t>3</w:t>
      </w:r>
      <w:r>
        <w:rPr>
          <w:rFonts w:hint="eastAsia"/>
          <w:bCs/>
          <w:sz w:val="24"/>
          <w:szCs w:val="20"/>
        </w:rPr>
        <w:t>、</w:t>
      </w:r>
      <w:r>
        <w:rPr>
          <w:rFonts w:hint="eastAsia"/>
          <w:sz w:val="24"/>
          <w:szCs w:val="20"/>
        </w:rPr>
        <w:t>《基金合同》约定的其他情形</w:t>
      </w:r>
      <w:r>
        <w:rPr>
          <w:rFonts w:ascii="宋体" w:hAnsi="宋体" w:hint="eastAsia"/>
          <w:bCs/>
          <w:sz w:val="24"/>
          <w:szCs w:val="20"/>
        </w:rPr>
        <w:t>；</w:t>
      </w:r>
    </w:p>
    <w:p w:rsidR="00562FFD" w:rsidRDefault="003317D3">
      <w:pPr>
        <w:spacing w:line="360" w:lineRule="auto"/>
        <w:ind w:firstLineChars="200" w:firstLine="480"/>
        <w:rPr>
          <w:rFonts w:ascii="宋体" w:hAnsi="宋体"/>
          <w:bCs/>
          <w:sz w:val="24"/>
          <w:szCs w:val="20"/>
        </w:rPr>
      </w:pPr>
      <w:r>
        <w:rPr>
          <w:rFonts w:ascii="宋体" w:hAnsi="宋体" w:hint="eastAsia"/>
          <w:bCs/>
          <w:sz w:val="24"/>
          <w:szCs w:val="20"/>
        </w:rPr>
        <w:t>4</w:t>
      </w:r>
      <w:r>
        <w:rPr>
          <w:rFonts w:hint="eastAsia"/>
          <w:sz w:val="24"/>
          <w:szCs w:val="20"/>
        </w:rPr>
        <w:t>、相关法律法规和中国证监会规定的其他情况。</w:t>
      </w:r>
    </w:p>
    <w:p w:rsidR="00562FFD" w:rsidRDefault="003317D3">
      <w:pPr>
        <w:spacing w:line="360" w:lineRule="auto"/>
        <w:ind w:firstLineChars="200" w:firstLine="480"/>
        <w:rPr>
          <w:sz w:val="24"/>
          <w:szCs w:val="20"/>
        </w:rPr>
      </w:pPr>
      <w:r>
        <w:rPr>
          <w:rFonts w:hint="eastAsia"/>
          <w:sz w:val="24"/>
          <w:szCs w:val="20"/>
        </w:rPr>
        <w:t>三、基金财产的清算</w:t>
      </w:r>
    </w:p>
    <w:p w:rsidR="00562FFD" w:rsidRDefault="003317D3">
      <w:pPr>
        <w:spacing w:line="360" w:lineRule="auto"/>
        <w:ind w:firstLineChars="200" w:firstLine="480"/>
        <w:rPr>
          <w:sz w:val="24"/>
          <w:szCs w:val="20"/>
        </w:rPr>
      </w:pPr>
      <w:r>
        <w:rPr>
          <w:sz w:val="24"/>
          <w:szCs w:val="20"/>
        </w:rPr>
        <w:t>1</w:t>
      </w:r>
      <w:r>
        <w:rPr>
          <w:rFonts w:hint="eastAsia"/>
          <w:sz w:val="24"/>
          <w:szCs w:val="20"/>
        </w:rPr>
        <w:t>、基金财产清算小组：自出现《基金合同》终止事由之日起</w:t>
      </w:r>
      <w:r>
        <w:rPr>
          <w:sz w:val="24"/>
          <w:szCs w:val="20"/>
        </w:rPr>
        <w:t>30</w:t>
      </w:r>
      <w:r>
        <w:rPr>
          <w:rFonts w:hint="eastAsia"/>
          <w:sz w:val="24"/>
          <w:szCs w:val="20"/>
        </w:rPr>
        <w:t>个工作日内成立基金财产清算小组，基金管理人组织基金财产清算小组并在中国证监会的监督下进行基金清算。</w:t>
      </w:r>
    </w:p>
    <w:p w:rsidR="00562FFD" w:rsidRDefault="003317D3">
      <w:pPr>
        <w:spacing w:line="360" w:lineRule="auto"/>
        <w:ind w:firstLineChars="200" w:firstLine="480"/>
        <w:rPr>
          <w:rFonts w:ascii="宋体" w:hAnsi="宋体"/>
          <w:bCs/>
          <w:sz w:val="24"/>
          <w:szCs w:val="20"/>
        </w:rPr>
      </w:pPr>
      <w:r>
        <w:rPr>
          <w:sz w:val="24"/>
          <w:szCs w:val="20"/>
        </w:rPr>
        <w:t>2</w:t>
      </w:r>
      <w:r>
        <w:rPr>
          <w:rFonts w:hint="eastAsia"/>
          <w:sz w:val="24"/>
          <w:szCs w:val="20"/>
        </w:rPr>
        <w:t>、</w:t>
      </w:r>
      <w:r>
        <w:rPr>
          <w:rFonts w:ascii="宋体" w:hAnsi="宋体" w:hint="eastAsia"/>
          <w:bCs/>
          <w:sz w:val="24"/>
          <w:szCs w:val="20"/>
        </w:rPr>
        <w:t>在基金财产清算小组接管基金财产之前，基金管理人和基金托管人应按照《基金合同》和托管协议的规定继续履行保护基金财产安全的职责。</w:t>
      </w:r>
    </w:p>
    <w:p w:rsidR="00562FFD" w:rsidRDefault="003317D3">
      <w:pPr>
        <w:spacing w:line="360" w:lineRule="auto"/>
        <w:ind w:firstLineChars="200" w:firstLine="480"/>
        <w:rPr>
          <w:sz w:val="24"/>
          <w:szCs w:val="20"/>
        </w:rPr>
      </w:pPr>
      <w:r>
        <w:rPr>
          <w:rFonts w:ascii="宋体" w:hAnsi="宋体"/>
          <w:bCs/>
          <w:sz w:val="24"/>
          <w:szCs w:val="20"/>
        </w:rPr>
        <w:t>3</w:t>
      </w:r>
      <w:r>
        <w:rPr>
          <w:rFonts w:ascii="宋体" w:hAnsi="宋体" w:hint="eastAsia"/>
          <w:bCs/>
          <w:sz w:val="24"/>
          <w:szCs w:val="20"/>
        </w:rPr>
        <w:t>、</w:t>
      </w:r>
      <w:r>
        <w:rPr>
          <w:rFonts w:hint="eastAsia"/>
          <w:sz w:val="24"/>
          <w:szCs w:val="20"/>
        </w:rPr>
        <w:t>基金财产清算小组组成：基金财产清算小组成员由基金管理人、基金托管人、符合《证券法》规定的注册会计师、律师以及中国证监会指定的人员组成。基金财产清算小组可以聘用必要的工作人员。</w:t>
      </w:r>
    </w:p>
    <w:p w:rsidR="00562FFD" w:rsidRDefault="003317D3">
      <w:pPr>
        <w:spacing w:line="360" w:lineRule="auto"/>
        <w:ind w:firstLineChars="200" w:firstLine="480"/>
        <w:rPr>
          <w:sz w:val="24"/>
          <w:szCs w:val="20"/>
        </w:rPr>
      </w:pPr>
      <w:r>
        <w:rPr>
          <w:rFonts w:ascii="宋体" w:hAnsi="宋体"/>
          <w:bCs/>
          <w:sz w:val="24"/>
          <w:szCs w:val="20"/>
        </w:rPr>
        <w:t>4</w:t>
      </w:r>
      <w:r>
        <w:rPr>
          <w:rFonts w:hint="eastAsia"/>
          <w:sz w:val="24"/>
          <w:szCs w:val="20"/>
        </w:rPr>
        <w:t>、基金财产清算小组职责：基金财产清算小组负责基金财产的保管、清理、估价、变现和分配。基金财产清算小组可以依法进行必要的民事活动。</w:t>
      </w:r>
    </w:p>
    <w:p w:rsidR="00562FFD" w:rsidRDefault="003317D3">
      <w:pPr>
        <w:spacing w:line="360" w:lineRule="auto"/>
        <w:ind w:firstLineChars="200" w:firstLine="480"/>
        <w:rPr>
          <w:sz w:val="24"/>
          <w:szCs w:val="20"/>
        </w:rPr>
      </w:pPr>
      <w:r>
        <w:rPr>
          <w:rFonts w:ascii="宋体" w:hAnsi="宋体"/>
          <w:bCs/>
          <w:sz w:val="24"/>
          <w:szCs w:val="20"/>
        </w:rPr>
        <w:t>5</w:t>
      </w:r>
      <w:r>
        <w:rPr>
          <w:rFonts w:hint="eastAsia"/>
          <w:sz w:val="24"/>
          <w:szCs w:val="20"/>
        </w:rPr>
        <w:t>、基金财产清算程序：</w:t>
      </w:r>
    </w:p>
    <w:p w:rsidR="00562FFD" w:rsidRDefault="003317D3">
      <w:pPr>
        <w:spacing w:line="360" w:lineRule="auto"/>
        <w:ind w:firstLineChars="200" w:firstLine="480"/>
        <w:rPr>
          <w:sz w:val="24"/>
          <w:szCs w:val="20"/>
        </w:rPr>
      </w:pPr>
      <w:r>
        <w:rPr>
          <w:rFonts w:hint="eastAsia"/>
          <w:sz w:val="24"/>
          <w:szCs w:val="20"/>
        </w:rPr>
        <w:t>（</w:t>
      </w:r>
      <w:r>
        <w:rPr>
          <w:sz w:val="24"/>
          <w:szCs w:val="20"/>
        </w:rPr>
        <w:t>1</w:t>
      </w:r>
      <w:r>
        <w:rPr>
          <w:rFonts w:hint="eastAsia"/>
          <w:sz w:val="24"/>
          <w:szCs w:val="20"/>
        </w:rPr>
        <w:t>）《基金合同》终止情形出现时，由基金财产清算小组统一接管基金；</w:t>
      </w:r>
    </w:p>
    <w:p w:rsidR="00562FFD" w:rsidRDefault="003317D3">
      <w:pPr>
        <w:spacing w:line="360" w:lineRule="auto"/>
        <w:ind w:firstLineChars="200" w:firstLine="480"/>
        <w:rPr>
          <w:sz w:val="24"/>
          <w:szCs w:val="20"/>
        </w:rPr>
      </w:pPr>
      <w:r>
        <w:rPr>
          <w:rFonts w:hint="eastAsia"/>
          <w:sz w:val="24"/>
          <w:szCs w:val="20"/>
        </w:rPr>
        <w:t>（</w:t>
      </w:r>
      <w:r>
        <w:rPr>
          <w:sz w:val="24"/>
          <w:szCs w:val="20"/>
        </w:rPr>
        <w:t>2</w:t>
      </w:r>
      <w:r>
        <w:rPr>
          <w:rFonts w:hint="eastAsia"/>
          <w:sz w:val="24"/>
          <w:szCs w:val="20"/>
        </w:rPr>
        <w:t>）对基金财产和债权债务进行清理和确认；</w:t>
      </w:r>
    </w:p>
    <w:p w:rsidR="00562FFD" w:rsidRDefault="003317D3">
      <w:pPr>
        <w:spacing w:line="360" w:lineRule="auto"/>
        <w:ind w:firstLineChars="200" w:firstLine="480"/>
        <w:rPr>
          <w:sz w:val="24"/>
          <w:szCs w:val="20"/>
        </w:rPr>
      </w:pPr>
      <w:r>
        <w:rPr>
          <w:rFonts w:hint="eastAsia"/>
          <w:sz w:val="24"/>
          <w:szCs w:val="20"/>
        </w:rPr>
        <w:lastRenderedPageBreak/>
        <w:t>（</w:t>
      </w:r>
      <w:r>
        <w:rPr>
          <w:sz w:val="24"/>
          <w:szCs w:val="20"/>
        </w:rPr>
        <w:t>3</w:t>
      </w:r>
      <w:r>
        <w:rPr>
          <w:rFonts w:hint="eastAsia"/>
          <w:sz w:val="24"/>
          <w:szCs w:val="20"/>
        </w:rPr>
        <w:t>）对基金财产进行估值和变现；</w:t>
      </w:r>
    </w:p>
    <w:p w:rsidR="00562FFD" w:rsidRDefault="003317D3">
      <w:pPr>
        <w:spacing w:line="360" w:lineRule="auto"/>
        <w:ind w:firstLineChars="200" w:firstLine="480"/>
        <w:rPr>
          <w:sz w:val="24"/>
          <w:szCs w:val="20"/>
        </w:rPr>
      </w:pPr>
      <w:r>
        <w:rPr>
          <w:rFonts w:hint="eastAsia"/>
          <w:sz w:val="24"/>
          <w:szCs w:val="20"/>
        </w:rPr>
        <w:t>（</w:t>
      </w:r>
      <w:r>
        <w:rPr>
          <w:sz w:val="24"/>
          <w:szCs w:val="20"/>
        </w:rPr>
        <w:t>4</w:t>
      </w:r>
      <w:r>
        <w:rPr>
          <w:rFonts w:hint="eastAsia"/>
          <w:sz w:val="24"/>
          <w:szCs w:val="20"/>
        </w:rPr>
        <w:t>）制作清算报告；</w:t>
      </w:r>
    </w:p>
    <w:p w:rsidR="00562FFD" w:rsidRDefault="003317D3">
      <w:pPr>
        <w:spacing w:line="360" w:lineRule="auto"/>
        <w:ind w:firstLineChars="200" w:firstLine="480"/>
        <w:rPr>
          <w:sz w:val="24"/>
          <w:szCs w:val="20"/>
        </w:rPr>
      </w:pPr>
      <w:r>
        <w:rPr>
          <w:rFonts w:hint="eastAsia"/>
          <w:sz w:val="24"/>
          <w:szCs w:val="20"/>
        </w:rPr>
        <w:t>（</w:t>
      </w:r>
      <w:r>
        <w:rPr>
          <w:sz w:val="24"/>
          <w:szCs w:val="20"/>
        </w:rPr>
        <w:t>5</w:t>
      </w:r>
      <w:r>
        <w:rPr>
          <w:rFonts w:hint="eastAsia"/>
          <w:sz w:val="24"/>
          <w:szCs w:val="20"/>
        </w:rPr>
        <w:t>）聘请会计师事务所对清算报告进行外部审计，聘请律师事务所对清算报告出具法律意见书；</w:t>
      </w:r>
    </w:p>
    <w:p w:rsidR="00562FFD" w:rsidRDefault="003317D3">
      <w:pPr>
        <w:spacing w:line="360" w:lineRule="auto"/>
        <w:ind w:firstLineChars="200" w:firstLine="480"/>
        <w:rPr>
          <w:sz w:val="24"/>
          <w:szCs w:val="20"/>
        </w:rPr>
      </w:pPr>
      <w:r>
        <w:rPr>
          <w:rFonts w:hint="eastAsia"/>
          <w:sz w:val="24"/>
          <w:szCs w:val="20"/>
        </w:rPr>
        <w:t>（</w:t>
      </w:r>
      <w:r>
        <w:rPr>
          <w:sz w:val="24"/>
          <w:szCs w:val="20"/>
        </w:rPr>
        <w:t>6</w:t>
      </w:r>
      <w:r>
        <w:rPr>
          <w:rFonts w:hint="eastAsia"/>
          <w:sz w:val="24"/>
          <w:szCs w:val="20"/>
        </w:rPr>
        <w:t>）将清算报告报中国证监会备案并公告；</w:t>
      </w:r>
    </w:p>
    <w:p w:rsidR="00562FFD" w:rsidRDefault="003317D3">
      <w:pPr>
        <w:spacing w:line="360" w:lineRule="auto"/>
        <w:ind w:firstLineChars="200" w:firstLine="480"/>
        <w:rPr>
          <w:sz w:val="24"/>
          <w:szCs w:val="20"/>
        </w:rPr>
      </w:pPr>
      <w:r>
        <w:rPr>
          <w:rFonts w:hint="eastAsia"/>
          <w:sz w:val="24"/>
          <w:szCs w:val="20"/>
        </w:rPr>
        <w:t>（</w:t>
      </w:r>
      <w:r>
        <w:rPr>
          <w:sz w:val="24"/>
          <w:szCs w:val="20"/>
        </w:rPr>
        <w:t>7</w:t>
      </w:r>
      <w:r>
        <w:rPr>
          <w:rFonts w:hint="eastAsia"/>
          <w:sz w:val="24"/>
          <w:szCs w:val="20"/>
        </w:rPr>
        <w:t>）对基金剩余财产进行分配。</w:t>
      </w:r>
    </w:p>
    <w:p w:rsidR="00562FFD" w:rsidRDefault="003317D3">
      <w:pPr>
        <w:spacing w:line="360" w:lineRule="auto"/>
        <w:ind w:firstLineChars="200" w:firstLine="480"/>
        <w:rPr>
          <w:rFonts w:ascii="宋体" w:hAnsi="宋体"/>
          <w:bCs/>
          <w:sz w:val="24"/>
          <w:szCs w:val="20"/>
        </w:rPr>
      </w:pPr>
      <w:r>
        <w:rPr>
          <w:rFonts w:ascii="宋体" w:hAnsi="宋体"/>
          <w:bCs/>
          <w:sz w:val="24"/>
          <w:szCs w:val="20"/>
        </w:rPr>
        <w:t>6</w:t>
      </w:r>
      <w:r>
        <w:rPr>
          <w:rFonts w:hint="eastAsia"/>
          <w:sz w:val="24"/>
          <w:szCs w:val="20"/>
        </w:rPr>
        <w:t>、基金财产清算的期限为</w:t>
      </w:r>
      <w:r>
        <w:rPr>
          <w:sz w:val="24"/>
          <w:szCs w:val="20"/>
        </w:rPr>
        <w:t>6</w:t>
      </w:r>
      <w:r>
        <w:rPr>
          <w:rFonts w:hint="eastAsia"/>
          <w:sz w:val="24"/>
          <w:szCs w:val="20"/>
        </w:rPr>
        <w:t>个月</w:t>
      </w:r>
      <w:r>
        <w:rPr>
          <w:rFonts w:ascii="宋体" w:hAnsi="宋体" w:hint="eastAsia"/>
          <w:bCs/>
          <w:sz w:val="24"/>
          <w:szCs w:val="20"/>
        </w:rPr>
        <w:t>，但因本基金所持证券的流动性受到限制而不能及时变现的，清算期限相应顺延</w:t>
      </w:r>
      <w:r>
        <w:rPr>
          <w:rFonts w:hint="eastAsia"/>
          <w:sz w:val="24"/>
          <w:szCs w:val="20"/>
        </w:rPr>
        <w:t>。</w:t>
      </w:r>
    </w:p>
    <w:p w:rsidR="00562FFD" w:rsidRDefault="003317D3">
      <w:pPr>
        <w:spacing w:line="360" w:lineRule="auto"/>
        <w:ind w:firstLineChars="200" w:firstLine="480"/>
        <w:rPr>
          <w:sz w:val="24"/>
          <w:szCs w:val="20"/>
        </w:rPr>
      </w:pPr>
      <w:r>
        <w:rPr>
          <w:rFonts w:hint="eastAsia"/>
          <w:sz w:val="24"/>
          <w:szCs w:val="20"/>
        </w:rPr>
        <w:t>四、清算费用</w:t>
      </w:r>
    </w:p>
    <w:p w:rsidR="00562FFD" w:rsidRDefault="003317D3">
      <w:pPr>
        <w:spacing w:line="360" w:lineRule="auto"/>
        <w:ind w:firstLineChars="200" w:firstLine="480"/>
        <w:rPr>
          <w:rFonts w:ascii="宋体" w:hAnsi="宋体"/>
          <w:bCs/>
          <w:sz w:val="24"/>
          <w:szCs w:val="20"/>
        </w:rPr>
      </w:pPr>
      <w:r>
        <w:rPr>
          <w:rFonts w:hint="eastAsia"/>
          <w:sz w:val="24"/>
          <w:szCs w:val="20"/>
        </w:rPr>
        <w:t>清算费用是指基金财产清算小组在进行基金财产清算过程中发生的所有合理费用，清算费用由基金财产清算小组优先从基金</w:t>
      </w:r>
      <w:r>
        <w:rPr>
          <w:rFonts w:ascii="宋体" w:hAnsi="宋体" w:hint="eastAsia"/>
          <w:bCs/>
          <w:sz w:val="24"/>
          <w:szCs w:val="20"/>
        </w:rPr>
        <w:t>剩余</w:t>
      </w:r>
      <w:r>
        <w:rPr>
          <w:rFonts w:hint="eastAsia"/>
          <w:sz w:val="24"/>
          <w:szCs w:val="20"/>
        </w:rPr>
        <w:t>财产中支付。</w:t>
      </w:r>
    </w:p>
    <w:p w:rsidR="00562FFD" w:rsidRDefault="003317D3">
      <w:pPr>
        <w:spacing w:line="360" w:lineRule="auto"/>
        <w:ind w:firstLineChars="200" w:firstLine="480"/>
        <w:rPr>
          <w:sz w:val="24"/>
          <w:szCs w:val="20"/>
        </w:rPr>
      </w:pPr>
      <w:r>
        <w:rPr>
          <w:rFonts w:hint="eastAsia"/>
          <w:sz w:val="24"/>
          <w:szCs w:val="20"/>
        </w:rPr>
        <w:t>五、基金财产清算剩余资产的分配</w:t>
      </w:r>
    </w:p>
    <w:p w:rsidR="00562FFD" w:rsidRDefault="003317D3">
      <w:pPr>
        <w:spacing w:line="360" w:lineRule="auto"/>
        <w:ind w:firstLineChars="200" w:firstLine="480"/>
        <w:rPr>
          <w:rFonts w:ascii="宋体" w:hAnsi="宋体"/>
          <w:bCs/>
          <w:sz w:val="24"/>
          <w:szCs w:val="20"/>
        </w:rPr>
      </w:pPr>
      <w:r>
        <w:rPr>
          <w:rFonts w:hint="eastAsia"/>
          <w:sz w:val="24"/>
          <w:szCs w:val="20"/>
        </w:rPr>
        <w:t>依据基金财产清算的分配方案，将基金财产清算后的全部剩余资产扣除基金财产清算费用、交纳所欠税款并清偿基金债务后，按基金份额持有人持有的基金份额比例进行分配。</w:t>
      </w:r>
    </w:p>
    <w:p w:rsidR="00562FFD" w:rsidRDefault="003317D3">
      <w:pPr>
        <w:spacing w:line="360" w:lineRule="auto"/>
        <w:ind w:firstLineChars="200" w:firstLine="480"/>
        <w:rPr>
          <w:sz w:val="24"/>
          <w:szCs w:val="20"/>
        </w:rPr>
      </w:pPr>
      <w:r>
        <w:rPr>
          <w:rFonts w:hint="eastAsia"/>
          <w:sz w:val="24"/>
          <w:szCs w:val="20"/>
        </w:rPr>
        <w:t>六、基金财产清算的公告</w:t>
      </w:r>
    </w:p>
    <w:p w:rsidR="00562FFD" w:rsidRDefault="003317D3">
      <w:pPr>
        <w:spacing w:line="360" w:lineRule="auto"/>
        <w:ind w:firstLineChars="200" w:firstLine="480"/>
        <w:rPr>
          <w:rFonts w:ascii="宋体" w:hAnsi="宋体"/>
          <w:bCs/>
          <w:sz w:val="24"/>
          <w:szCs w:val="20"/>
        </w:rPr>
      </w:pPr>
      <w:r>
        <w:rPr>
          <w:rFonts w:hint="eastAsia"/>
          <w:sz w:val="24"/>
          <w:szCs w:val="20"/>
        </w:rPr>
        <w:t>清算过程中的有关重大事项须及时公告；基金财产清算报告</w:t>
      </w:r>
      <w:proofErr w:type="gramStart"/>
      <w:r>
        <w:rPr>
          <w:rFonts w:hint="eastAsia"/>
          <w:sz w:val="24"/>
          <w:szCs w:val="20"/>
        </w:rPr>
        <w:t>经符合</w:t>
      </w:r>
      <w:proofErr w:type="gramEnd"/>
      <w:r>
        <w:rPr>
          <w:rFonts w:hint="eastAsia"/>
          <w:sz w:val="24"/>
          <w:szCs w:val="20"/>
        </w:rPr>
        <w:t>《证券法》规定的会计师事务所审计并由律师事务所出具法律意见书后报中国证监会备案并公告。基金财产清算公告于基金财产清算报告报中国证监会备案后</w:t>
      </w:r>
      <w:r>
        <w:rPr>
          <w:sz w:val="24"/>
          <w:szCs w:val="20"/>
        </w:rPr>
        <w:t>5</w:t>
      </w:r>
      <w:r>
        <w:rPr>
          <w:rFonts w:hint="eastAsia"/>
          <w:sz w:val="24"/>
          <w:szCs w:val="20"/>
        </w:rPr>
        <w:t>个工作日内由基金财产清算小组进行公告</w:t>
      </w:r>
      <w:r>
        <w:rPr>
          <w:rFonts w:hint="eastAsia"/>
          <w:bCs/>
          <w:sz w:val="24"/>
          <w:szCs w:val="20"/>
        </w:rPr>
        <w:t>，基金财产清算小组应当将清算报告登载在规定网站上，并将清算报告提示性公告登载在规定报刊上</w:t>
      </w:r>
      <w:r>
        <w:rPr>
          <w:rFonts w:hint="eastAsia"/>
          <w:sz w:val="24"/>
          <w:szCs w:val="20"/>
        </w:rPr>
        <w:t>。</w:t>
      </w:r>
    </w:p>
    <w:p w:rsidR="00562FFD" w:rsidRDefault="003317D3">
      <w:pPr>
        <w:spacing w:line="360" w:lineRule="auto"/>
        <w:ind w:firstLineChars="200" w:firstLine="480"/>
        <w:rPr>
          <w:sz w:val="24"/>
          <w:szCs w:val="20"/>
        </w:rPr>
      </w:pPr>
      <w:r>
        <w:rPr>
          <w:rFonts w:hint="eastAsia"/>
          <w:sz w:val="24"/>
          <w:szCs w:val="20"/>
        </w:rPr>
        <w:t>七、基金财产清算账册及文件的保存</w:t>
      </w:r>
    </w:p>
    <w:p w:rsidR="00562FFD" w:rsidRDefault="003317D3">
      <w:pPr>
        <w:spacing w:line="360" w:lineRule="auto"/>
        <w:ind w:firstLineChars="200" w:firstLine="480"/>
        <w:rPr>
          <w:rFonts w:ascii="宋体" w:hAnsi="宋体"/>
          <w:bCs/>
          <w:sz w:val="24"/>
        </w:rPr>
      </w:pPr>
      <w:r>
        <w:rPr>
          <w:rFonts w:hint="eastAsia"/>
          <w:sz w:val="24"/>
          <w:szCs w:val="20"/>
        </w:rPr>
        <w:t>基金财产清算账册及有关文件由基金托管人保存，保存期限不少于法律法规规定的最低期限。</w:t>
      </w:r>
    </w:p>
    <w:p w:rsidR="00562FFD" w:rsidRDefault="003317D3">
      <w:pPr>
        <w:pStyle w:val="af0"/>
        <w:ind w:firstLine="480"/>
      </w:pPr>
      <w:r>
        <w:rPr>
          <w:rFonts w:hAnsi="宋体"/>
          <w:bCs/>
          <w:sz w:val="24"/>
          <w:szCs w:val="24"/>
        </w:rPr>
        <w:br w:type="page"/>
      </w:r>
      <w:bookmarkStart w:id="90" w:name="_Toc34222311"/>
      <w:bookmarkStart w:id="91" w:name="_Toc56692702"/>
      <w:r>
        <w:rPr>
          <w:rFonts w:hint="eastAsia"/>
          <w:szCs w:val="28"/>
        </w:rPr>
        <w:lastRenderedPageBreak/>
        <w:t>第十九部分 基金合同的内容摘要</w:t>
      </w:r>
      <w:bookmarkStart w:id="92" w:name="_Toc313303442"/>
      <w:bookmarkEnd w:id="89"/>
      <w:bookmarkEnd w:id="90"/>
      <w:bookmarkEnd w:id="91"/>
    </w:p>
    <w:p w:rsidR="00562FFD" w:rsidRDefault="003317D3">
      <w:pPr>
        <w:spacing w:line="360" w:lineRule="auto"/>
        <w:ind w:firstLineChars="200" w:firstLine="482"/>
        <w:rPr>
          <w:rFonts w:ascii="宋体" w:hAnsi="宋体"/>
          <w:b/>
          <w:bCs/>
          <w:sz w:val="24"/>
        </w:rPr>
      </w:pPr>
      <w:bookmarkStart w:id="93" w:name="_Hlt88897298"/>
      <w:bookmarkStart w:id="94" w:name="_Hlt88825574"/>
      <w:bookmarkStart w:id="95" w:name="_Toc421744359"/>
      <w:bookmarkStart w:id="96" w:name="_Toc164766400"/>
      <w:bookmarkEnd w:id="92"/>
      <w:bookmarkEnd w:id="93"/>
      <w:bookmarkEnd w:id="94"/>
      <w:r>
        <w:rPr>
          <w:rFonts w:ascii="宋体" w:hAnsi="宋体" w:hint="eastAsia"/>
          <w:b/>
          <w:bCs/>
          <w:sz w:val="24"/>
        </w:rPr>
        <w:t>一、基金份额持有人、基金管理人和基金托管人的权利、义务</w:t>
      </w:r>
    </w:p>
    <w:p w:rsidR="00562FFD" w:rsidRDefault="003317D3">
      <w:pPr>
        <w:spacing w:line="360" w:lineRule="auto"/>
        <w:ind w:firstLineChars="200" w:firstLine="480"/>
        <w:rPr>
          <w:rFonts w:ascii="宋体" w:hAnsi="宋体"/>
          <w:bCs/>
          <w:sz w:val="24"/>
        </w:rPr>
      </w:pPr>
      <w:r>
        <w:rPr>
          <w:rFonts w:ascii="宋体" w:hAnsi="宋体" w:hint="eastAsia"/>
          <w:bCs/>
          <w:sz w:val="24"/>
        </w:rPr>
        <w:t>（一）基金管理人的权利与义务</w:t>
      </w:r>
    </w:p>
    <w:p w:rsidR="00562FFD" w:rsidRDefault="003317D3">
      <w:pPr>
        <w:spacing w:line="360" w:lineRule="auto"/>
        <w:ind w:firstLineChars="200" w:firstLine="480"/>
        <w:rPr>
          <w:rFonts w:ascii="宋体" w:hAnsi="宋体"/>
          <w:bCs/>
          <w:sz w:val="24"/>
        </w:rPr>
      </w:pPr>
      <w:r>
        <w:rPr>
          <w:rFonts w:ascii="宋体" w:hAnsi="宋体" w:hint="eastAsia"/>
          <w:bCs/>
          <w:sz w:val="24"/>
        </w:rPr>
        <w:t>1、根据《基金法》、《运作办法》及其他有关规定，基金管理人的权利包括但不限于：</w:t>
      </w:r>
    </w:p>
    <w:p w:rsidR="00562FFD" w:rsidRDefault="003317D3">
      <w:pPr>
        <w:spacing w:line="360" w:lineRule="auto"/>
        <w:ind w:firstLineChars="200" w:firstLine="480"/>
        <w:rPr>
          <w:rFonts w:ascii="宋体" w:hAnsi="宋体"/>
          <w:bCs/>
          <w:sz w:val="24"/>
        </w:rPr>
      </w:pPr>
      <w:r>
        <w:rPr>
          <w:rFonts w:ascii="宋体" w:hAnsi="宋体" w:hint="eastAsia"/>
          <w:bCs/>
          <w:sz w:val="24"/>
        </w:rPr>
        <w:t>（1）依法募集资金；</w:t>
      </w:r>
    </w:p>
    <w:p w:rsidR="00562FFD" w:rsidRDefault="003317D3">
      <w:pPr>
        <w:spacing w:line="360" w:lineRule="auto"/>
        <w:ind w:firstLineChars="200" w:firstLine="480"/>
        <w:rPr>
          <w:rFonts w:ascii="宋体" w:hAnsi="宋体"/>
          <w:bCs/>
          <w:sz w:val="24"/>
        </w:rPr>
      </w:pPr>
      <w:r>
        <w:rPr>
          <w:rFonts w:ascii="宋体" w:hAnsi="宋体" w:hint="eastAsia"/>
          <w:bCs/>
          <w:sz w:val="24"/>
        </w:rPr>
        <w:t>（2）自《基金合同》生效之日起，根据法律法规和《基金合同》独立运用并管理基金财产；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（3）依照《基金合同》收取基金管理费以及法律法规规定或中国证监会批准的其他费用；</w:t>
      </w:r>
    </w:p>
    <w:p w:rsidR="00562FFD" w:rsidRDefault="003317D3">
      <w:pPr>
        <w:spacing w:line="360" w:lineRule="auto"/>
        <w:ind w:firstLineChars="200" w:firstLine="480"/>
        <w:rPr>
          <w:rFonts w:ascii="宋体" w:hAnsi="宋体"/>
          <w:bCs/>
          <w:sz w:val="24"/>
        </w:rPr>
      </w:pPr>
      <w:r>
        <w:rPr>
          <w:rFonts w:ascii="宋体" w:hAnsi="宋体" w:hint="eastAsia"/>
          <w:bCs/>
          <w:sz w:val="24"/>
        </w:rPr>
        <w:t>（4）销售基金份额；</w:t>
      </w:r>
    </w:p>
    <w:p w:rsidR="00562FFD" w:rsidRDefault="003317D3">
      <w:pPr>
        <w:spacing w:line="360" w:lineRule="auto"/>
        <w:ind w:firstLineChars="200" w:firstLine="480"/>
        <w:rPr>
          <w:rFonts w:ascii="宋体" w:hAnsi="宋体"/>
          <w:bCs/>
          <w:sz w:val="24"/>
        </w:rPr>
      </w:pPr>
      <w:r>
        <w:rPr>
          <w:rFonts w:ascii="宋体" w:hAnsi="宋体" w:hint="eastAsia"/>
          <w:bCs/>
          <w:sz w:val="24"/>
        </w:rPr>
        <w:t>（5）按照规定召集基金份额持有人大会；</w:t>
      </w:r>
    </w:p>
    <w:p w:rsidR="00562FFD" w:rsidRDefault="003317D3">
      <w:pPr>
        <w:spacing w:line="360" w:lineRule="auto"/>
        <w:ind w:firstLineChars="200" w:firstLine="480"/>
        <w:rPr>
          <w:rFonts w:ascii="宋体" w:hAnsi="宋体"/>
          <w:bCs/>
          <w:sz w:val="24"/>
        </w:rPr>
      </w:pPr>
      <w:r>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562FFD" w:rsidRDefault="003317D3">
      <w:pPr>
        <w:spacing w:line="360" w:lineRule="auto"/>
        <w:ind w:firstLineChars="200" w:firstLine="480"/>
        <w:rPr>
          <w:rFonts w:ascii="宋体" w:hAnsi="宋体"/>
          <w:bCs/>
          <w:sz w:val="24"/>
        </w:rPr>
      </w:pPr>
      <w:r>
        <w:rPr>
          <w:rFonts w:ascii="宋体" w:hAnsi="宋体" w:hint="eastAsia"/>
          <w:bCs/>
          <w:sz w:val="24"/>
        </w:rPr>
        <w:t>（7）在基金托管人更换时，提名新的基金托管人；</w:t>
      </w:r>
    </w:p>
    <w:p w:rsidR="00562FFD" w:rsidRDefault="003317D3">
      <w:pPr>
        <w:spacing w:line="360" w:lineRule="auto"/>
        <w:ind w:firstLineChars="200" w:firstLine="480"/>
        <w:rPr>
          <w:rFonts w:ascii="宋体" w:hAnsi="宋体"/>
          <w:bCs/>
          <w:sz w:val="24"/>
        </w:rPr>
      </w:pPr>
      <w:r>
        <w:rPr>
          <w:rFonts w:ascii="宋体" w:hAnsi="宋体" w:hint="eastAsia"/>
          <w:bCs/>
          <w:sz w:val="24"/>
        </w:rPr>
        <w:t xml:space="preserve">（8）选择、更换基金销售机构，对基金销售机构的相关行为进行监督和处理； </w:t>
      </w:r>
    </w:p>
    <w:p w:rsidR="00562FFD" w:rsidRDefault="003317D3">
      <w:pPr>
        <w:spacing w:line="360" w:lineRule="auto"/>
        <w:ind w:firstLineChars="200" w:firstLine="480"/>
        <w:rPr>
          <w:rFonts w:ascii="宋体" w:hAnsi="宋体"/>
          <w:bCs/>
          <w:sz w:val="24"/>
        </w:rPr>
      </w:pPr>
      <w:r>
        <w:rPr>
          <w:rFonts w:ascii="宋体" w:hAnsi="宋体" w:hint="eastAsia"/>
          <w:bCs/>
          <w:sz w:val="24"/>
        </w:rPr>
        <w:t xml:space="preserve">（9）担任或委托其他符合条件的机构担任基金登记机构办理基金登记业务并获得《基金合同》规定的费用； </w:t>
      </w:r>
    </w:p>
    <w:p w:rsidR="00562FFD" w:rsidRDefault="003317D3">
      <w:pPr>
        <w:spacing w:line="360" w:lineRule="auto"/>
        <w:ind w:firstLineChars="200" w:firstLine="480"/>
        <w:rPr>
          <w:rFonts w:ascii="宋体" w:hAnsi="宋体"/>
          <w:bCs/>
          <w:sz w:val="24"/>
        </w:rPr>
      </w:pPr>
      <w:r>
        <w:rPr>
          <w:rFonts w:ascii="宋体" w:hAnsi="宋体" w:hint="eastAsia"/>
          <w:bCs/>
          <w:sz w:val="24"/>
        </w:rPr>
        <w:t>（10）依据《基金合同》及有关法律规定决定基金收益的分配方案；</w:t>
      </w:r>
    </w:p>
    <w:p w:rsidR="00562FFD" w:rsidRDefault="003317D3">
      <w:pPr>
        <w:spacing w:line="360" w:lineRule="auto"/>
        <w:ind w:firstLineChars="200" w:firstLine="480"/>
        <w:rPr>
          <w:rFonts w:ascii="宋体" w:hAnsi="宋体"/>
          <w:bCs/>
          <w:sz w:val="24"/>
        </w:rPr>
      </w:pPr>
      <w:r>
        <w:rPr>
          <w:rFonts w:ascii="宋体" w:hAnsi="宋体" w:hint="eastAsia"/>
          <w:bCs/>
          <w:sz w:val="24"/>
        </w:rPr>
        <w:t xml:space="preserve">（11）在《基金合同》约定的范围内，拒绝或暂停受理申购、赎回与转换申请； </w:t>
      </w:r>
    </w:p>
    <w:p w:rsidR="00562FFD" w:rsidRDefault="003317D3">
      <w:pPr>
        <w:spacing w:line="360" w:lineRule="auto"/>
        <w:ind w:firstLineChars="200" w:firstLine="480"/>
        <w:rPr>
          <w:rFonts w:ascii="宋体" w:hAnsi="宋体"/>
          <w:bCs/>
          <w:sz w:val="24"/>
        </w:rPr>
      </w:pPr>
      <w:r>
        <w:rPr>
          <w:rFonts w:ascii="宋体" w:hAnsi="宋体" w:hint="eastAsia"/>
          <w:bCs/>
          <w:sz w:val="24"/>
        </w:rPr>
        <w:t>（12）依照法律法规为基金的利益对被投资公司行使股东权利，为基金的利益行使因基金财产投资于证券所产生的权利；</w:t>
      </w:r>
      <w:r>
        <w:rPr>
          <w:rFonts w:ascii="宋体" w:hAnsi="宋体"/>
          <w:bCs/>
          <w:sz w:val="24"/>
        </w:rPr>
        <w:tab/>
      </w:r>
    </w:p>
    <w:p w:rsidR="00562FFD" w:rsidRDefault="003317D3">
      <w:pPr>
        <w:spacing w:line="360" w:lineRule="auto"/>
        <w:ind w:firstLineChars="200" w:firstLine="480"/>
        <w:rPr>
          <w:rFonts w:ascii="宋体" w:hAnsi="宋体"/>
          <w:bCs/>
          <w:sz w:val="24"/>
        </w:rPr>
      </w:pPr>
      <w:r>
        <w:rPr>
          <w:rFonts w:ascii="宋体" w:hAnsi="宋体" w:hint="eastAsia"/>
          <w:bCs/>
          <w:sz w:val="24"/>
        </w:rPr>
        <w:t xml:space="preserve">（13）在法律法规允许的前提下，为基金的利益依法为基金进行融资； </w:t>
      </w:r>
    </w:p>
    <w:p w:rsidR="00562FFD" w:rsidRDefault="003317D3">
      <w:pPr>
        <w:spacing w:line="360" w:lineRule="auto"/>
        <w:ind w:firstLineChars="200" w:firstLine="480"/>
        <w:rPr>
          <w:rFonts w:ascii="宋体" w:hAnsi="宋体"/>
          <w:bCs/>
          <w:sz w:val="24"/>
        </w:rPr>
      </w:pPr>
      <w:r>
        <w:rPr>
          <w:rFonts w:ascii="宋体" w:hAnsi="宋体" w:hint="eastAsia"/>
          <w:bCs/>
          <w:sz w:val="24"/>
        </w:rPr>
        <w:t>（14）以基金管理人的名义，代表基金份额持有人的利益行使诉讼权利或者实施其他法律行为；</w:t>
      </w:r>
    </w:p>
    <w:p w:rsidR="00562FFD" w:rsidRDefault="003317D3">
      <w:pPr>
        <w:spacing w:line="360" w:lineRule="auto"/>
        <w:ind w:firstLineChars="200" w:firstLine="480"/>
        <w:rPr>
          <w:rFonts w:ascii="宋体" w:hAnsi="宋体"/>
          <w:bCs/>
          <w:sz w:val="24"/>
        </w:rPr>
      </w:pPr>
      <w:r>
        <w:rPr>
          <w:rFonts w:ascii="宋体" w:hAnsi="宋体" w:hint="eastAsia"/>
          <w:bCs/>
          <w:sz w:val="24"/>
        </w:rPr>
        <w:t>（15）选择、更换律师事务所、会计师事务所、证券/期货经纪商或其他为</w:t>
      </w:r>
      <w:r>
        <w:rPr>
          <w:rFonts w:ascii="宋体" w:hAnsi="宋体" w:hint="eastAsia"/>
          <w:bCs/>
          <w:sz w:val="24"/>
        </w:rPr>
        <w:lastRenderedPageBreak/>
        <w:t>基金提供服务的外部机构；</w:t>
      </w:r>
      <w:r>
        <w:rPr>
          <w:rFonts w:ascii="宋体" w:hAnsi="宋体"/>
          <w:bCs/>
          <w:sz w:val="24"/>
        </w:rPr>
        <w:tab/>
      </w:r>
    </w:p>
    <w:p w:rsidR="00562FFD" w:rsidRDefault="003317D3">
      <w:pPr>
        <w:spacing w:line="360" w:lineRule="auto"/>
        <w:ind w:firstLineChars="200" w:firstLine="480"/>
        <w:rPr>
          <w:rFonts w:ascii="宋体" w:hAnsi="宋体"/>
          <w:bCs/>
          <w:sz w:val="24"/>
        </w:rPr>
      </w:pPr>
      <w:r>
        <w:rPr>
          <w:rFonts w:ascii="宋体" w:hAnsi="宋体" w:hint="eastAsia"/>
          <w:bCs/>
          <w:sz w:val="24"/>
        </w:rPr>
        <w:t>（16）在符合有关法律、法规的前提下，制订和调整有关基金认购、申购、赎回、转换、定期定额投资和</w:t>
      </w:r>
      <w:proofErr w:type="gramStart"/>
      <w:r>
        <w:rPr>
          <w:rFonts w:ascii="宋体" w:hAnsi="宋体" w:hint="eastAsia"/>
          <w:bCs/>
          <w:sz w:val="24"/>
        </w:rPr>
        <w:t>非交易</w:t>
      </w:r>
      <w:proofErr w:type="gramEnd"/>
      <w:r>
        <w:rPr>
          <w:rFonts w:ascii="宋体" w:hAnsi="宋体" w:hint="eastAsia"/>
          <w:bCs/>
          <w:sz w:val="24"/>
        </w:rPr>
        <w:t>过户等业务规则；</w:t>
      </w:r>
    </w:p>
    <w:p w:rsidR="00562FFD" w:rsidRDefault="003317D3">
      <w:pPr>
        <w:spacing w:line="360" w:lineRule="auto"/>
        <w:ind w:firstLineChars="200" w:firstLine="480"/>
        <w:rPr>
          <w:rFonts w:ascii="宋体" w:hAnsi="宋体"/>
          <w:bCs/>
          <w:sz w:val="24"/>
        </w:rPr>
      </w:pPr>
      <w:r>
        <w:rPr>
          <w:rFonts w:ascii="宋体" w:hAnsi="宋体" w:hint="eastAsia"/>
          <w:bCs/>
          <w:sz w:val="24"/>
        </w:rPr>
        <w:t>（17）法律法规及中国证监会规定的和《基金合同》约定的其他权利。</w:t>
      </w:r>
    </w:p>
    <w:p w:rsidR="00562FFD" w:rsidRDefault="003317D3">
      <w:pPr>
        <w:spacing w:line="360" w:lineRule="auto"/>
        <w:ind w:firstLineChars="200" w:firstLine="480"/>
        <w:rPr>
          <w:rFonts w:ascii="宋体" w:hAnsi="宋体"/>
          <w:bCs/>
          <w:sz w:val="24"/>
        </w:rPr>
      </w:pPr>
      <w:r>
        <w:rPr>
          <w:rFonts w:ascii="宋体" w:hAnsi="宋体" w:hint="eastAsia"/>
          <w:bCs/>
          <w:sz w:val="24"/>
        </w:rPr>
        <w:t>2、根据《基金法》、《运作办法》及其他有关规定，基金管理人的义务包括但不限于：</w:t>
      </w:r>
    </w:p>
    <w:p w:rsidR="00562FFD" w:rsidRDefault="003317D3">
      <w:pPr>
        <w:spacing w:line="360" w:lineRule="auto"/>
        <w:ind w:firstLineChars="200" w:firstLine="480"/>
        <w:rPr>
          <w:rFonts w:ascii="宋体" w:hAnsi="宋体"/>
          <w:bCs/>
          <w:sz w:val="24"/>
        </w:rPr>
      </w:pPr>
      <w:r>
        <w:rPr>
          <w:rFonts w:ascii="宋体" w:hAnsi="宋体" w:hint="eastAsia"/>
          <w:bCs/>
          <w:sz w:val="24"/>
        </w:rPr>
        <w:t>（1）依法募集资金，办理或者委托经中国证监会认定的其他机构代为办理基金份额的发售、申购、赎回和登记事宜；</w:t>
      </w:r>
    </w:p>
    <w:p w:rsidR="00562FFD" w:rsidRDefault="003317D3">
      <w:pPr>
        <w:spacing w:line="360" w:lineRule="auto"/>
        <w:ind w:firstLineChars="200" w:firstLine="480"/>
        <w:rPr>
          <w:rFonts w:ascii="宋体" w:hAnsi="宋体"/>
          <w:bCs/>
          <w:sz w:val="24"/>
        </w:rPr>
      </w:pPr>
      <w:r>
        <w:rPr>
          <w:rFonts w:ascii="宋体" w:hAnsi="宋体" w:hint="eastAsia"/>
          <w:bCs/>
          <w:sz w:val="24"/>
        </w:rPr>
        <w:t>（2）办理基金备案手续；</w:t>
      </w:r>
    </w:p>
    <w:p w:rsidR="00562FFD" w:rsidRDefault="003317D3">
      <w:pPr>
        <w:spacing w:line="360" w:lineRule="auto"/>
        <w:ind w:firstLineChars="200" w:firstLine="480"/>
        <w:rPr>
          <w:rFonts w:ascii="宋体" w:hAnsi="宋体"/>
          <w:bCs/>
          <w:sz w:val="24"/>
        </w:rPr>
      </w:pPr>
      <w:r>
        <w:rPr>
          <w:rFonts w:ascii="宋体" w:hAnsi="宋体" w:hint="eastAsia"/>
          <w:bCs/>
          <w:sz w:val="24"/>
        </w:rPr>
        <w:t>（3）自《基金合同》生效之日起,以诚实信用、谨慎勤勉的原则管理和运用基金财产；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（4）配备足够的具有专业资格的人员进行基金投资分析、决策，以专业化的经营方式管理和运作基金财产；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（5）建立健全内部风险控制、监察与稽核、财务管理及人事管理等制度，保证所管理的基金财产和基金管理人的财产相互</w:t>
      </w:r>
      <w:proofErr w:type="gramStart"/>
      <w:r>
        <w:rPr>
          <w:rFonts w:ascii="宋体" w:hAnsi="宋体" w:hint="eastAsia"/>
          <w:bCs/>
          <w:sz w:val="24"/>
        </w:rPr>
        <w:t>独立,</w:t>
      </w:r>
      <w:proofErr w:type="gramEnd"/>
      <w:r>
        <w:rPr>
          <w:rFonts w:ascii="宋体" w:hAnsi="宋体" w:hint="eastAsia"/>
          <w:bCs/>
          <w:sz w:val="24"/>
        </w:rPr>
        <w:t>对所管理的不同基金分别管理，分别记账，进行证券投资；</w:t>
      </w:r>
    </w:p>
    <w:p w:rsidR="00562FFD" w:rsidRDefault="003317D3">
      <w:pPr>
        <w:spacing w:line="360" w:lineRule="auto"/>
        <w:ind w:firstLineChars="200" w:firstLine="480"/>
        <w:rPr>
          <w:rFonts w:ascii="宋体" w:hAnsi="宋体"/>
          <w:bCs/>
          <w:sz w:val="24"/>
        </w:rPr>
      </w:pPr>
      <w:r>
        <w:rPr>
          <w:rFonts w:ascii="宋体" w:hAnsi="宋体" w:hint="eastAsia"/>
          <w:bCs/>
          <w:sz w:val="24"/>
        </w:rPr>
        <w:t>（6）除依据《基金法》、《基金合同》及其他有关规定外,不得利用基金财产为自己及任何第三人谋取利益，不得委托第三人运作基金财产；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（7）依法接受基金托管人的监督；</w:t>
      </w:r>
    </w:p>
    <w:p w:rsidR="00562FFD" w:rsidRDefault="003317D3">
      <w:pPr>
        <w:spacing w:line="360" w:lineRule="auto"/>
        <w:ind w:firstLineChars="200" w:firstLine="480"/>
        <w:rPr>
          <w:rFonts w:ascii="宋体" w:hAnsi="宋体"/>
          <w:bCs/>
          <w:sz w:val="24"/>
        </w:rPr>
      </w:pPr>
      <w:r>
        <w:rPr>
          <w:rFonts w:ascii="宋体" w:hAnsi="宋体" w:hint="eastAsia"/>
          <w:bCs/>
          <w:sz w:val="24"/>
        </w:rPr>
        <w:t>（8）采取适当合理的措施使计算基金份额认购、申购、赎回和注销价格的方法符合《基金合同》等法律文件的规定，按有关规定计算并公告基金净值信息，确定基金份额申购、赎回的价格；</w:t>
      </w:r>
    </w:p>
    <w:p w:rsidR="00562FFD" w:rsidRDefault="003317D3">
      <w:pPr>
        <w:spacing w:line="360" w:lineRule="auto"/>
        <w:ind w:firstLineChars="200" w:firstLine="480"/>
        <w:rPr>
          <w:rFonts w:ascii="宋体" w:hAnsi="宋体"/>
          <w:bCs/>
          <w:sz w:val="24"/>
        </w:rPr>
      </w:pPr>
      <w:r>
        <w:rPr>
          <w:rFonts w:ascii="宋体" w:hAnsi="宋体" w:hint="eastAsia"/>
          <w:bCs/>
          <w:sz w:val="24"/>
        </w:rPr>
        <w:t>（9）进行基金会计核算并编制基金财务会计报告；</w:t>
      </w:r>
    </w:p>
    <w:p w:rsidR="00562FFD" w:rsidRDefault="003317D3">
      <w:pPr>
        <w:spacing w:line="360" w:lineRule="auto"/>
        <w:ind w:firstLineChars="200" w:firstLine="480"/>
        <w:rPr>
          <w:rFonts w:ascii="宋体" w:hAnsi="宋体"/>
          <w:bCs/>
          <w:sz w:val="24"/>
        </w:rPr>
      </w:pPr>
      <w:r>
        <w:rPr>
          <w:rFonts w:ascii="宋体" w:hAnsi="宋体" w:hint="eastAsia"/>
          <w:bCs/>
          <w:sz w:val="24"/>
        </w:rPr>
        <w:t>（10）编制季度报告、中期报告和年度报告；</w:t>
      </w:r>
    </w:p>
    <w:p w:rsidR="00562FFD" w:rsidRDefault="003317D3">
      <w:pPr>
        <w:spacing w:line="360" w:lineRule="auto"/>
        <w:ind w:firstLineChars="200" w:firstLine="480"/>
        <w:rPr>
          <w:rFonts w:ascii="宋体" w:hAnsi="宋体"/>
          <w:bCs/>
          <w:sz w:val="24"/>
        </w:rPr>
      </w:pPr>
      <w:r>
        <w:rPr>
          <w:rFonts w:ascii="宋体" w:hAnsi="宋体" w:hint="eastAsia"/>
          <w:bCs/>
          <w:sz w:val="24"/>
        </w:rPr>
        <w:t>（11）严格按照《基金法》、《基金合同》及其他有关规定，履行信息披露及报告义务；</w:t>
      </w:r>
    </w:p>
    <w:p w:rsidR="00562FFD" w:rsidRDefault="003317D3">
      <w:pPr>
        <w:spacing w:line="360" w:lineRule="auto"/>
        <w:ind w:firstLineChars="200" w:firstLine="480"/>
        <w:rPr>
          <w:rFonts w:ascii="宋体" w:hAnsi="宋体"/>
          <w:bCs/>
          <w:sz w:val="24"/>
        </w:rPr>
      </w:pPr>
      <w:r>
        <w:rPr>
          <w:rFonts w:ascii="宋体" w:hAnsi="宋体" w:hint="eastAsia"/>
          <w:bCs/>
          <w:sz w:val="24"/>
        </w:rPr>
        <w:t>（12）保守基金商业秘密，不泄露基金投资计划、投资意向等。除《基金法》、《基金合同》及其他有关规定另有规定外，在基金信息公开披露前应予保密，不向他人泄露，审计、法律等外部专业顾问要求提供的除外；</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（13）按《基金合同》的约定确定基金收益分配方案，及时向基金份额持有人分配基金收益；</w:t>
      </w:r>
    </w:p>
    <w:p w:rsidR="00562FFD" w:rsidRDefault="003317D3">
      <w:pPr>
        <w:spacing w:line="360" w:lineRule="auto"/>
        <w:ind w:firstLineChars="200" w:firstLine="480"/>
        <w:rPr>
          <w:rFonts w:ascii="宋体" w:hAnsi="宋体"/>
          <w:bCs/>
          <w:sz w:val="24"/>
        </w:rPr>
      </w:pPr>
      <w:r>
        <w:rPr>
          <w:rFonts w:ascii="宋体" w:hAnsi="宋体" w:hint="eastAsia"/>
          <w:bCs/>
          <w:sz w:val="24"/>
        </w:rPr>
        <w:t>（14）按规定受理申购与赎回申请，及时、足额支付赎回款项；</w:t>
      </w:r>
    </w:p>
    <w:p w:rsidR="00562FFD" w:rsidRDefault="003317D3">
      <w:pPr>
        <w:spacing w:line="360" w:lineRule="auto"/>
        <w:ind w:firstLineChars="200" w:firstLine="480"/>
        <w:rPr>
          <w:rFonts w:ascii="宋体" w:hAnsi="宋体"/>
          <w:bCs/>
          <w:sz w:val="24"/>
        </w:rPr>
      </w:pPr>
      <w:r>
        <w:rPr>
          <w:rFonts w:ascii="宋体" w:hAnsi="宋体" w:hint="eastAsia"/>
          <w:bCs/>
          <w:sz w:val="24"/>
        </w:rPr>
        <w:t>（15）依据《基金法》、《基金合同》及其他有关规定召集基金份额持有人大会或配合基金托管人、基金份额持有人依法召集基金份额持有人大会；</w:t>
      </w:r>
    </w:p>
    <w:p w:rsidR="00562FFD" w:rsidRDefault="003317D3">
      <w:pPr>
        <w:spacing w:line="360" w:lineRule="auto"/>
        <w:ind w:firstLineChars="200" w:firstLine="480"/>
        <w:rPr>
          <w:rFonts w:ascii="宋体" w:hAnsi="宋体"/>
          <w:bCs/>
          <w:sz w:val="24"/>
        </w:rPr>
      </w:pPr>
      <w:r>
        <w:rPr>
          <w:rFonts w:ascii="宋体" w:hAnsi="宋体" w:hint="eastAsia"/>
          <w:bCs/>
          <w:sz w:val="24"/>
        </w:rPr>
        <w:t>（16）按规定保存基金财产管理业务活动的会计账册、报表、记录和其他相关资料，保存期限不少于法律法规规定的最低期限；</w:t>
      </w:r>
    </w:p>
    <w:p w:rsidR="00562FFD" w:rsidRDefault="003317D3">
      <w:pPr>
        <w:spacing w:line="360" w:lineRule="auto"/>
        <w:ind w:firstLineChars="200" w:firstLine="480"/>
        <w:rPr>
          <w:rFonts w:ascii="宋体" w:hAnsi="宋体"/>
          <w:bCs/>
          <w:sz w:val="24"/>
        </w:rPr>
      </w:pPr>
      <w:r>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62FFD" w:rsidRDefault="003317D3">
      <w:pPr>
        <w:spacing w:line="360" w:lineRule="auto"/>
        <w:ind w:firstLineChars="200" w:firstLine="480"/>
        <w:rPr>
          <w:rFonts w:ascii="宋体" w:hAnsi="宋体"/>
          <w:bCs/>
          <w:sz w:val="24"/>
        </w:rPr>
      </w:pPr>
      <w:r>
        <w:rPr>
          <w:rFonts w:ascii="宋体" w:hAnsi="宋体" w:hint="eastAsia"/>
          <w:bCs/>
          <w:sz w:val="24"/>
        </w:rPr>
        <w:t>（18）组织并参加基金财产清算小组,参与基金财产的保管、清理、估价、变现和分配；</w:t>
      </w:r>
    </w:p>
    <w:p w:rsidR="00562FFD" w:rsidRDefault="003317D3">
      <w:pPr>
        <w:spacing w:line="360" w:lineRule="auto"/>
        <w:ind w:firstLineChars="200" w:firstLine="480"/>
        <w:rPr>
          <w:rFonts w:ascii="宋体" w:hAnsi="宋体"/>
          <w:bCs/>
          <w:sz w:val="24"/>
        </w:rPr>
      </w:pPr>
      <w:r>
        <w:rPr>
          <w:rFonts w:ascii="宋体" w:hAnsi="宋体" w:hint="eastAsia"/>
          <w:bCs/>
          <w:sz w:val="24"/>
        </w:rPr>
        <w:t>（19）面临解散、依法被撤销或者被依法宣告破产时，及时报告中国证监会并通知基金托管人；</w:t>
      </w:r>
    </w:p>
    <w:p w:rsidR="00562FFD" w:rsidRDefault="003317D3">
      <w:pPr>
        <w:spacing w:line="360" w:lineRule="auto"/>
        <w:ind w:firstLineChars="200" w:firstLine="480"/>
        <w:rPr>
          <w:rFonts w:ascii="宋体" w:hAnsi="宋体"/>
          <w:bCs/>
          <w:sz w:val="24"/>
        </w:rPr>
      </w:pPr>
      <w:r>
        <w:rPr>
          <w:rFonts w:ascii="宋体" w:hAnsi="宋体" w:hint="eastAsia"/>
          <w:bCs/>
          <w:sz w:val="24"/>
        </w:rPr>
        <w:t>（20）因违反《基金合同》导致基金财产的损失或损害基金份额持有人合法权益时，应当承担赔偿责任，其赔偿责任不因其退任而免除；</w:t>
      </w:r>
    </w:p>
    <w:p w:rsidR="00562FFD" w:rsidRDefault="003317D3">
      <w:pPr>
        <w:spacing w:line="360" w:lineRule="auto"/>
        <w:ind w:firstLineChars="200" w:firstLine="480"/>
        <w:rPr>
          <w:rFonts w:ascii="宋体" w:hAnsi="宋体"/>
          <w:bCs/>
          <w:sz w:val="24"/>
        </w:rPr>
      </w:pPr>
      <w:r>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rsidR="00562FFD" w:rsidRDefault="003317D3">
      <w:pPr>
        <w:spacing w:line="360" w:lineRule="auto"/>
        <w:ind w:firstLineChars="200" w:firstLine="480"/>
        <w:rPr>
          <w:rFonts w:ascii="宋体" w:hAnsi="宋体"/>
          <w:bCs/>
          <w:sz w:val="24"/>
        </w:rPr>
      </w:pPr>
      <w:r>
        <w:rPr>
          <w:rFonts w:ascii="宋体" w:hAnsi="宋体" w:hint="eastAsia"/>
          <w:bCs/>
          <w:sz w:val="24"/>
        </w:rPr>
        <w:t>（22）当基金管理人将其义务委托第三方处理时，应当对第三方处理有关基金事务的行为承担责任；</w:t>
      </w:r>
    </w:p>
    <w:p w:rsidR="00562FFD" w:rsidRDefault="003317D3">
      <w:pPr>
        <w:spacing w:line="360" w:lineRule="auto"/>
        <w:ind w:firstLineChars="200" w:firstLine="480"/>
        <w:rPr>
          <w:rFonts w:ascii="宋体" w:hAnsi="宋体"/>
          <w:bCs/>
          <w:sz w:val="24"/>
        </w:rPr>
      </w:pPr>
      <w:r>
        <w:rPr>
          <w:rFonts w:ascii="宋体" w:hAnsi="宋体" w:hint="eastAsia"/>
          <w:bCs/>
          <w:sz w:val="24"/>
        </w:rPr>
        <w:t>（23）以基金管理人名义，代表基金份额持有人利益行使诉讼权利或实施其他法律行为；</w:t>
      </w:r>
      <w:r>
        <w:rPr>
          <w:rFonts w:ascii="宋体" w:hAnsi="宋体"/>
          <w:bCs/>
          <w:sz w:val="24"/>
        </w:rPr>
        <w:tab/>
      </w:r>
    </w:p>
    <w:p w:rsidR="00562FFD" w:rsidRDefault="003317D3">
      <w:pPr>
        <w:spacing w:line="360" w:lineRule="auto"/>
        <w:ind w:firstLineChars="200" w:firstLine="480"/>
        <w:rPr>
          <w:rFonts w:ascii="宋体" w:hAnsi="宋体"/>
          <w:bCs/>
          <w:sz w:val="24"/>
        </w:rPr>
      </w:pPr>
      <w:r>
        <w:rPr>
          <w:rFonts w:ascii="宋体" w:hAnsi="宋体" w:hint="eastAsia"/>
          <w:bCs/>
          <w:sz w:val="24"/>
        </w:rPr>
        <w:t>（24）基金管理人在募集期间未能达到基金的备案条件，《基金合同》不能生效，基金管理人承担全部募集费用，将已募集资金并加计银行同期活期存款利息（税后）在基金募集期结束后30日内退还基金认购人；</w:t>
      </w:r>
    </w:p>
    <w:p w:rsidR="00562FFD" w:rsidRDefault="003317D3">
      <w:pPr>
        <w:spacing w:line="360" w:lineRule="auto"/>
        <w:ind w:firstLineChars="200" w:firstLine="480"/>
        <w:rPr>
          <w:rFonts w:ascii="宋体" w:hAnsi="宋体"/>
          <w:bCs/>
          <w:sz w:val="24"/>
        </w:rPr>
      </w:pPr>
      <w:r>
        <w:rPr>
          <w:rFonts w:ascii="宋体" w:hAnsi="宋体" w:hint="eastAsia"/>
          <w:bCs/>
          <w:sz w:val="24"/>
        </w:rPr>
        <w:t>（25）执行生效的基金份额持有人大会的决议；</w:t>
      </w:r>
    </w:p>
    <w:p w:rsidR="00562FFD" w:rsidRDefault="003317D3">
      <w:pPr>
        <w:spacing w:line="360" w:lineRule="auto"/>
        <w:ind w:firstLineChars="200" w:firstLine="480"/>
        <w:rPr>
          <w:rFonts w:ascii="宋体" w:hAnsi="宋体"/>
          <w:bCs/>
          <w:sz w:val="24"/>
        </w:rPr>
      </w:pPr>
      <w:r>
        <w:rPr>
          <w:rFonts w:ascii="宋体" w:hAnsi="宋体" w:hint="eastAsia"/>
          <w:bCs/>
          <w:sz w:val="24"/>
        </w:rPr>
        <w:t>（26）建立并保存基金份额持有人名册；</w:t>
      </w:r>
    </w:p>
    <w:p w:rsidR="00562FFD" w:rsidRDefault="003317D3">
      <w:pPr>
        <w:spacing w:line="360" w:lineRule="auto"/>
        <w:ind w:firstLineChars="200" w:firstLine="480"/>
        <w:rPr>
          <w:rFonts w:ascii="宋体" w:hAnsi="宋体"/>
          <w:bCs/>
          <w:sz w:val="24"/>
        </w:rPr>
      </w:pPr>
      <w:r>
        <w:rPr>
          <w:rFonts w:ascii="宋体" w:hAnsi="宋体" w:hint="eastAsia"/>
          <w:bCs/>
          <w:sz w:val="24"/>
        </w:rPr>
        <w:t>（27）法律法规及中国证监会规定的和《基金合同》约定的其他义务。</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（二）基金托管人的权利与义务</w:t>
      </w:r>
    </w:p>
    <w:p w:rsidR="00562FFD" w:rsidRDefault="003317D3">
      <w:pPr>
        <w:spacing w:line="360" w:lineRule="auto"/>
        <w:ind w:firstLineChars="200" w:firstLine="480"/>
        <w:rPr>
          <w:rFonts w:ascii="宋体" w:hAnsi="宋体"/>
          <w:bCs/>
          <w:sz w:val="24"/>
        </w:rPr>
      </w:pPr>
      <w:r>
        <w:rPr>
          <w:rFonts w:ascii="宋体" w:hAnsi="宋体" w:hint="eastAsia"/>
          <w:bCs/>
          <w:sz w:val="24"/>
        </w:rPr>
        <w:t>1、根据《基金法》、《运作办法》及其他有关规定，基金托管人的权利包括但不限于：</w:t>
      </w:r>
    </w:p>
    <w:p w:rsidR="00562FFD" w:rsidRDefault="003317D3">
      <w:pPr>
        <w:spacing w:line="360" w:lineRule="auto"/>
        <w:ind w:firstLineChars="200" w:firstLine="480"/>
        <w:rPr>
          <w:rFonts w:ascii="宋体" w:hAnsi="宋体"/>
          <w:bCs/>
          <w:sz w:val="24"/>
        </w:rPr>
      </w:pPr>
      <w:r>
        <w:rPr>
          <w:rFonts w:ascii="宋体" w:hAnsi="宋体" w:hint="eastAsia"/>
          <w:bCs/>
          <w:sz w:val="24"/>
        </w:rPr>
        <w:t>（1）自《基金合同》生效之日起，依法</w:t>
      </w:r>
      <w:proofErr w:type="gramStart"/>
      <w:r>
        <w:rPr>
          <w:rFonts w:ascii="宋体" w:hAnsi="宋体" w:hint="eastAsia"/>
          <w:bCs/>
          <w:sz w:val="24"/>
        </w:rPr>
        <w:t>律法规</w:t>
      </w:r>
      <w:proofErr w:type="gramEnd"/>
      <w:r>
        <w:rPr>
          <w:rFonts w:ascii="宋体" w:hAnsi="宋体" w:hint="eastAsia"/>
          <w:bCs/>
          <w:sz w:val="24"/>
        </w:rPr>
        <w:t>和《基金合同》的规定安全保管基金财产；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（2）依《基金合同》约定获得基金托管费以及法律法规规定或监管部门批准的其他费用；</w:t>
      </w:r>
    </w:p>
    <w:p w:rsidR="00562FFD" w:rsidRDefault="003317D3">
      <w:pPr>
        <w:spacing w:line="360" w:lineRule="auto"/>
        <w:ind w:firstLineChars="200" w:firstLine="480"/>
        <w:rPr>
          <w:rFonts w:ascii="宋体" w:hAnsi="宋体"/>
          <w:bCs/>
          <w:sz w:val="24"/>
        </w:rPr>
      </w:pPr>
      <w:r>
        <w:rPr>
          <w:rFonts w:ascii="宋体" w:hAnsi="宋体" w:hint="eastAsia"/>
          <w:bCs/>
          <w:sz w:val="24"/>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rsidR="00562FFD" w:rsidRDefault="003317D3">
      <w:pPr>
        <w:spacing w:line="360" w:lineRule="auto"/>
        <w:ind w:firstLineChars="200" w:firstLine="480"/>
        <w:rPr>
          <w:rFonts w:ascii="宋体" w:hAnsi="宋体"/>
          <w:bCs/>
          <w:sz w:val="24"/>
        </w:rPr>
      </w:pPr>
      <w:r>
        <w:rPr>
          <w:rFonts w:ascii="宋体" w:hAnsi="宋体" w:hint="eastAsia"/>
          <w:bCs/>
          <w:sz w:val="24"/>
        </w:rPr>
        <w:t>（4）根据相关市场规则，为基金开设资金账户、证券账户、期货账户等投资所需账户，为基金办理证券、期货交易资金清算；</w:t>
      </w:r>
    </w:p>
    <w:p w:rsidR="00562FFD" w:rsidRDefault="003317D3">
      <w:pPr>
        <w:spacing w:line="360" w:lineRule="auto"/>
        <w:ind w:firstLineChars="200" w:firstLine="480"/>
        <w:rPr>
          <w:rFonts w:ascii="宋体" w:hAnsi="宋体"/>
          <w:bCs/>
          <w:sz w:val="24"/>
        </w:rPr>
      </w:pPr>
      <w:r>
        <w:rPr>
          <w:rFonts w:ascii="宋体" w:hAnsi="宋体" w:hint="eastAsia"/>
          <w:bCs/>
          <w:sz w:val="24"/>
        </w:rPr>
        <w:t>（5）提议召开或召集基金份额持有人大会；</w:t>
      </w:r>
    </w:p>
    <w:p w:rsidR="00562FFD" w:rsidRDefault="003317D3">
      <w:pPr>
        <w:spacing w:line="360" w:lineRule="auto"/>
        <w:ind w:firstLineChars="200" w:firstLine="480"/>
        <w:rPr>
          <w:rFonts w:ascii="宋体" w:hAnsi="宋体"/>
          <w:bCs/>
          <w:sz w:val="24"/>
        </w:rPr>
      </w:pPr>
      <w:r>
        <w:rPr>
          <w:rFonts w:ascii="宋体" w:hAnsi="宋体" w:hint="eastAsia"/>
          <w:bCs/>
          <w:sz w:val="24"/>
        </w:rPr>
        <w:t>（6）在基金管理人更换时，提名新的基金管理人；</w:t>
      </w:r>
    </w:p>
    <w:p w:rsidR="00562FFD" w:rsidRDefault="003317D3">
      <w:pPr>
        <w:spacing w:line="360" w:lineRule="auto"/>
        <w:ind w:firstLineChars="200" w:firstLine="480"/>
        <w:rPr>
          <w:rFonts w:ascii="宋体" w:hAnsi="宋体"/>
          <w:bCs/>
          <w:sz w:val="24"/>
        </w:rPr>
      </w:pPr>
      <w:r>
        <w:rPr>
          <w:rFonts w:ascii="宋体" w:hAnsi="宋体" w:hint="eastAsia"/>
          <w:bCs/>
          <w:sz w:val="24"/>
        </w:rPr>
        <w:t>（7）法律法规及中国证监会规定的和《基金合同》约定的其他权利。</w:t>
      </w:r>
    </w:p>
    <w:p w:rsidR="00562FFD" w:rsidRDefault="003317D3">
      <w:pPr>
        <w:spacing w:line="360" w:lineRule="auto"/>
        <w:ind w:firstLineChars="200" w:firstLine="480"/>
        <w:rPr>
          <w:rFonts w:ascii="宋体" w:hAnsi="宋体"/>
          <w:bCs/>
          <w:sz w:val="24"/>
        </w:rPr>
      </w:pPr>
      <w:r>
        <w:rPr>
          <w:rFonts w:ascii="宋体" w:hAnsi="宋体" w:hint="eastAsia"/>
          <w:bCs/>
          <w:sz w:val="24"/>
        </w:rPr>
        <w:t>2、根据《基金法》、《运作办法》及其他有关规定，基金托管人的义务包括但不限于：</w:t>
      </w:r>
    </w:p>
    <w:p w:rsidR="00562FFD" w:rsidRDefault="003317D3">
      <w:pPr>
        <w:spacing w:line="360" w:lineRule="auto"/>
        <w:ind w:firstLineChars="200" w:firstLine="480"/>
        <w:rPr>
          <w:rFonts w:ascii="宋体" w:hAnsi="宋体"/>
          <w:bCs/>
          <w:sz w:val="24"/>
        </w:rPr>
      </w:pPr>
      <w:r>
        <w:rPr>
          <w:rFonts w:ascii="宋体" w:hAnsi="宋体" w:hint="eastAsia"/>
          <w:bCs/>
          <w:sz w:val="24"/>
        </w:rPr>
        <w:t>（1）以诚实信用、勤勉尽责的原则持有并安全保管基金财产；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（2）设立专门的基金托管部门，具有符合要求的营业场所，配备足够的、合格的熟悉基金托管业务的专职人员，负责基金财产托管事宜；</w:t>
      </w:r>
    </w:p>
    <w:p w:rsidR="00562FFD" w:rsidRDefault="003317D3">
      <w:pPr>
        <w:spacing w:line="360" w:lineRule="auto"/>
        <w:ind w:firstLineChars="200" w:firstLine="480"/>
        <w:rPr>
          <w:rFonts w:ascii="宋体" w:hAnsi="宋体"/>
          <w:bCs/>
          <w:sz w:val="24"/>
        </w:rPr>
      </w:pPr>
      <w:r>
        <w:rPr>
          <w:rFonts w:ascii="宋体" w:hAnsi="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2FFD" w:rsidRDefault="003317D3">
      <w:pPr>
        <w:spacing w:line="360" w:lineRule="auto"/>
        <w:ind w:firstLineChars="200" w:firstLine="480"/>
        <w:rPr>
          <w:rFonts w:ascii="宋体" w:hAnsi="宋体"/>
          <w:bCs/>
          <w:sz w:val="24"/>
        </w:rPr>
      </w:pPr>
      <w:r>
        <w:rPr>
          <w:rFonts w:ascii="宋体" w:hAnsi="宋体" w:hint="eastAsia"/>
          <w:bCs/>
          <w:sz w:val="24"/>
        </w:rPr>
        <w:t>（4）除依据《基金法》、《基金合同》及其他有关规定外，不得利用基金财产为自己及任何第三人谋取非法利益，不得委托第三人托管基金财产；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（5）保管由基金管理人代表基金签订的与基金有关的重大合同及有关凭证；</w:t>
      </w:r>
    </w:p>
    <w:p w:rsidR="00562FFD" w:rsidRDefault="003317D3">
      <w:pPr>
        <w:spacing w:line="360" w:lineRule="auto"/>
        <w:ind w:firstLineChars="200" w:firstLine="480"/>
        <w:rPr>
          <w:rFonts w:ascii="宋体" w:hAnsi="宋体"/>
          <w:bCs/>
          <w:sz w:val="24"/>
        </w:rPr>
      </w:pPr>
      <w:r>
        <w:rPr>
          <w:rFonts w:ascii="宋体" w:hAnsi="宋体" w:hint="eastAsia"/>
          <w:bCs/>
          <w:sz w:val="24"/>
        </w:rPr>
        <w:t>（6）按规定开设基金财产的资金账户、证券账户、期货账户等投资所需账户,按照《基金合同》的约定，根据基金管理人的投资指令，及时办理清算、交</w:t>
      </w:r>
      <w:r>
        <w:rPr>
          <w:rFonts w:ascii="宋体" w:hAnsi="宋体" w:hint="eastAsia"/>
          <w:bCs/>
          <w:sz w:val="24"/>
        </w:rPr>
        <w:lastRenderedPageBreak/>
        <w:t>割事宜；</w:t>
      </w:r>
    </w:p>
    <w:p w:rsidR="00562FFD" w:rsidRDefault="003317D3">
      <w:pPr>
        <w:spacing w:line="360" w:lineRule="auto"/>
        <w:ind w:firstLineChars="200" w:firstLine="480"/>
        <w:rPr>
          <w:rFonts w:ascii="宋体" w:hAnsi="宋体"/>
          <w:bCs/>
          <w:sz w:val="24"/>
        </w:rPr>
      </w:pPr>
      <w:r>
        <w:rPr>
          <w:rFonts w:ascii="宋体" w:hAnsi="宋体" w:hint="eastAsia"/>
          <w:bCs/>
          <w:sz w:val="24"/>
        </w:rPr>
        <w:t>（7）保守基金商业秘密，除《基金法》、《基金合同》及其他有关法律法规另有规定外，在基金信息公开披露前予以保密，不得向他人泄露，但根据监管机构、司法机关等有权机关或其上市的证券交易所的要求，或因审计、法律等外部专业顾问要求提供的除外；</w:t>
      </w:r>
    </w:p>
    <w:p w:rsidR="00562FFD" w:rsidRDefault="003317D3">
      <w:pPr>
        <w:spacing w:line="360" w:lineRule="auto"/>
        <w:ind w:firstLineChars="200" w:firstLine="480"/>
        <w:rPr>
          <w:rFonts w:ascii="宋体" w:hAnsi="宋体"/>
          <w:bCs/>
          <w:sz w:val="24"/>
        </w:rPr>
      </w:pPr>
      <w:r>
        <w:rPr>
          <w:rFonts w:ascii="宋体" w:hAnsi="宋体" w:hint="eastAsia"/>
          <w:bCs/>
          <w:sz w:val="24"/>
        </w:rPr>
        <w:t>（8）复核、审查基金管理人计算的基金资产净值、基金份额净值、基金份额申购、赎回价格；</w:t>
      </w:r>
    </w:p>
    <w:p w:rsidR="00562FFD" w:rsidRDefault="003317D3">
      <w:pPr>
        <w:spacing w:line="360" w:lineRule="auto"/>
        <w:ind w:firstLineChars="200" w:firstLine="480"/>
        <w:rPr>
          <w:rFonts w:ascii="宋体" w:hAnsi="宋体"/>
          <w:bCs/>
          <w:sz w:val="24"/>
        </w:rPr>
      </w:pPr>
      <w:r>
        <w:rPr>
          <w:rFonts w:ascii="宋体" w:hAnsi="宋体" w:hint="eastAsia"/>
          <w:bCs/>
          <w:sz w:val="24"/>
        </w:rPr>
        <w:t>（9）办理与基金托管业务活动有关的信息披露事项；</w:t>
      </w:r>
    </w:p>
    <w:p w:rsidR="00562FFD" w:rsidRDefault="003317D3">
      <w:pPr>
        <w:spacing w:line="360" w:lineRule="auto"/>
        <w:ind w:firstLineChars="200" w:firstLine="480"/>
        <w:rPr>
          <w:rFonts w:ascii="宋体" w:hAnsi="宋体"/>
          <w:bCs/>
          <w:sz w:val="24"/>
        </w:rPr>
      </w:pPr>
      <w:r>
        <w:rPr>
          <w:rFonts w:ascii="宋体" w:hAnsi="宋体"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62FFD" w:rsidRDefault="003317D3">
      <w:pPr>
        <w:spacing w:line="360" w:lineRule="auto"/>
        <w:ind w:firstLineChars="200" w:firstLine="480"/>
        <w:rPr>
          <w:rFonts w:ascii="宋体" w:hAnsi="宋体"/>
          <w:bCs/>
          <w:sz w:val="24"/>
        </w:rPr>
      </w:pPr>
      <w:r>
        <w:rPr>
          <w:rFonts w:ascii="宋体" w:hAnsi="宋体" w:hint="eastAsia"/>
          <w:bCs/>
          <w:sz w:val="24"/>
        </w:rPr>
        <w:t>（11）保存基金托管业务活动的记录、账册、报表和其他相关资料，保存期限不少于法律法规规定的最低期限；</w:t>
      </w:r>
    </w:p>
    <w:p w:rsidR="00562FFD" w:rsidRDefault="003317D3">
      <w:pPr>
        <w:spacing w:line="360" w:lineRule="auto"/>
        <w:ind w:firstLineChars="200" w:firstLine="480"/>
        <w:rPr>
          <w:rFonts w:ascii="宋体" w:hAnsi="宋体"/>
          <w:bCs/>
          <w:sz w:val="24"/>
        </w:rPr>
      </w:pPr>
      <w:r>
        <w:rPr>
          <w:rFonts w:ascii="宋体" w:hAnsi="宋体" w:hint="eastAsia"/>
          <w:bCs/>
          <w:sz w:val="24"/>
        </w:rPr>
        <w:t>（12）从基金管理人或其委托的登记机构处接收并保存基金份额持有人名册；</w:t>
      </w:r>
    </w:p>
    <w:p w:rsidR="00562FFD" w:rsidRDefault="003317D3">
      <w:pPr>
        <w:spacing w:line="360" w:lineRule="auto"/>
        <w:ind w:firstLineChars="200" w:firstLine="480"/>
        <w:rPr>
          <w:rFonts w:ascii="宋体" w:hAnsi="宋体"/>
          <w:bCs/>
          <w:sz w:val="24"/>
        </w:rPr>
      </w:pPr>
      <w:r>
        <w:rPr>
          <w:rFonts w:ascii="宋体" w:hAnsi="宋体" w:hint="eastAsia"/>
          <w:bCs/>
          <w:sz w:val="24"/>
        </w:rPr>
        <w:t>（13）按规定制作相关账册并与基金管理人核对；</w:t>
      </w:r>
    </w:p>
    <w:p w:rsidR="00562FFD" w:rsidRDefault="003317D3">
      <w:pPr>
        <w:spacing w:line="360" w:lineRule="auto"/>
        <w:ind w:firstLineChars="200" w:firstLine="480"/>
        <w:rPr>
          <w:rFonts w:ascii="宋体" w:hAnsi="宋体"/>
          <w:bCs/>
          <w:sz w:val="24"/>
        </w:rPr>
      </w:pPr>
      <w:r>
        <w:rPr>
          <w:rFonts w:ascii="宋体" w:hAnsi="宋体" w:hint="eastAsia"/>
          <w:bCs/>
          <w:sz w:val="24"/>
        </w:rPr>
        <w:t>（14）依据基金管理人的指令或有关规定向基金份额持有人支付基金收益和赎回款项；</w:t>
      </w:r>
    </w:p>
    <w:p w:rsidR="00562FFD" w:rsidRDefault="003317D3">
      <w:pPr>
        <w:spacing w:line="360" w:lineRule="auto"/>
        <w:ind w:firstLineChars="200" w:firstLine="480"/>
        <w:rPr>
          <w:rFonts w:ascii="宋体" w:hAnsi="宋体"/>
          <w:bCs/>
          <w:sz w:val="24"/>
        </w:rPr>
      </w:pPr>
      <w:r>
        <w:rPr>
          <w:rFonts w:ascii="宋体" w:hAnsi="宋体" w:hint="eastAsia"/>
          <w:bCs/>
          <w:sz w:val="24"/>
        </w:rPr>
        <w:t>（15）依据《基金法》、《基金合同》及其他有关规定，召集基金份额持有人大会或配合基金管理人、基金份额持有人依法召集基金份额持有人大会；</w:t>
      </w:r>
    </w:p>
    <w:p w:rsidR="00562FFD" w:rsidRDefault="003317D3">
      <w:pPr>
        <w:spacing w:line="360" w:lineRule="auto"/>
        <w:ind w:firstLineChars="200" w:firstLine="480"/>
        <w:rPr>
          <w:rFonts w:ascii="宋体" w:hAnsi="宋体"/>
          <w:bCs/>
          <w:sz w:val="24"/>
        </w:rPr>
      </w:pPr>
      <w:r>
        <w:rPr>
          <w:rFonts w:ascii="宋体" w:hAnsi="宋体" w:hint="eastAsia"/>
          <w:bCs/>
          <w:sz w:val="24"/>
        </w:rPr>
        <w:t>（16）按照法律法规和《基金合同》的规定监督基金管理人的投资运作；</w:t>
      </w:r>
    </w:p>
    <w:p w:rsidR="00562FFD" w:rsidRDefault="003317D3">
      <w:pPr>
        <w:spacing w:line="360" w:lineRule="auto"/>
        <w:ind w:firstLineChars="200" w:firstLine="480"/>
        <w:rPr>
          <w:rFonts w:ascii="宋体" w:hAnsi="宋体"/>
          <w:bCs/>
          <w:sz w:val="24"/>
        </w:rPr>
      </w:pPr>
      <w:r>
        <w:rPr>
          <w:rFonts w:ascii="宋体" w:hAnsi="宋体" w:hint="eastAsia"/>
          <w:bCs/>
          <w:sz w:val="24"/>
        </w:rPr>
        <w:t>（17）参加基金财产清算小组，参与基金财产的保管、清理、估价、变现和分配；</w:t>
      </w:r>
    </w:p>
    <w:p w:rsidR="00562FFD" w:rsidRDefault="003317D3">
      <w:pPr>
        <w:spacing w:line="360" w:lineRule="auto"/>
        <w:ind w:firstLineChars="200" w:firstLine="480"/>
        <w:rPr>
          <w:rFonts w:ascii="宋体" w:hAnsi="宋体"/>
          <w:bCs/>
          <w:sz w:val="24"/>
        </w:rPr>
      </w:pPr>
      <w:r>
        <w:rPr>
          <w:rFonts w:ascii="宋体" w:hAnsi="宋体" w:hint="eastAsia"/>
          <w:bCs/>
          <w:sz w:val="24"/>
        </w:rPr>
        <w:t>（18）面临解散、依法被撤销或者被依法宣告破产时，及时报告中国证监会和银行监管机构，并通知基金管理人；</w:t>
      </w:r>
    </w:p>
    <w:p w:rsidR="00562FFD" w:rsidRDefault="003317D3">
      <w:pPr>
        <w:spacing w:line="360" w:lineRule="auto"/>
        <w:ind w:firstLineChars="200" w:firstLine="480"/>
        <w:rPr>
          <w:rFonts w:ascii="宋体" w:hAnsi="宋体"/>
          <w:bCs/>
          <w:sz w:val="24"/>
        </w:rPr>
      </w:pPr>
      <w:r>
        <w:rPr>
          <w:rFonts w:ascii="宋体" w:hAnsi="宋体" w:hint="eastAsia"/>
          <w:bCs/>
          <w:sz w:val="24"/>
        </w:rPr>
        <w:t>（19）因违反《基金合同》导致基金财产损失时，应承担赔偿责任，其赔偿责任不因其退任而免除；</w:t>
      </w:r>
    </w:p>
    <w:p w:rsidR="00562FFD" w:rsidRDefault="003317D3">
      <w:pPr>
        <w:spacing w:line="360" w:lineRule="auto"/>
        <w:ind w:firstLineChars="200" w:firstLine="480"/>
        <w:rPr>
          <w:rFonts w:ascii="宋体" w:hAnsi="宋体"/>
          <w:bCs/>
          <w:sz w:val="24"/>
        </w:rPr>
      </w:pPr>
      <w:r>
        <w:rPr>
          <w:rFonts w:ascii="宋体" w:hAnsi="宋体" w:hint="eastAsia"/>
          <w:bCs/>
          <w:sz w:val="24"/>
        </w:rPr>
        <w:t>（20）基金管理人因违反《基金合同》造成基金财产损失时，有权为基金份额持有人利益向基金管理人追偿；</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（21）执行生效的基金份额持有人大会的决议；</w:t>
      </w:r>
    </w:p>
    <w:p w:rsidR="00562FFD" w:rsidRDefault="003317D3">
      <w:pPr>
        <w:spacing w:line="360" w:lineRule="auto"/>
        <w:ind w:firstLineChars="200" w:firstLine="480"/>
        <w:rPr>
          <w:rFonts w:ascii="宋体" w:hAnsi="宋体"/>
          <w:bCs/>
          <w:sz w:val="24"/>
        </w:rPr>
      </w:pPr>
      <w:r>
        <w:rPr>
          <w:rFonts w:ascii="宋体" w:hAnsi="宋体" w:hint="eastAsia"/>
          <w:bCs/>
          <w:sz w:val="24"/>
        </w:rPr>
        <w:t>（22）法律法规及中国证监会规定的和《基金合同》约定的其他义务。</w:t>
      </w:r>
    </w:p>
    <w:p w:rsidR="00562FFD" w:rsidRDefault="003317D3">
      <w:pPr>
        <w:spacing w:line="360" w:lineRule="auto"/>
        <w:ind w:firstLineChars="200" w:firstLine="480"/>
        <w:rPr>
          <w:rFonts w:ascii="宋体" w:hAnsi="宋体"/>
          <w:bCs/>
          <w:sz w:val="24"/>
        </w:rPr>
      </w:pPr>
      <w:r>
        <w:rPr>
          <w:rFonts w:ascii="宋体" w:hAnsi="宋体" w:hint="eastAsia"/>
          <w:bCs/>
          <w:sz w:val="24"/>
        </w:rPr>
        <w:t>（三）基金份额持有人的权利与义务</w:t>
      </w:r>
    </w:p>
    <w:p w:rsidR="00562FFD" w:rsidRDefault="003317D3">
      <w:pPr>
        <w:spacing w:line="360" w:lineRule="auto"/>
        <w:ind w:firstLineChars="200" w:firstLine="480"/>
        <w:rPr>
          <w:rFonts w:ascii="宋体" w:hAnsi="宋体"/>
          <w:bCs/>
          <w:sz w:val="24"/>
        </w:rPr>
      </w:pPr>
      <w:r>
        <w:rPr>
          <w:rFonts w:ascii="宋体" w:hAnsi="宋体" w:hint="eastAsia"/>
          <w:bCs/>
          <w:sz w:val="24"/>
        </w:rPr>
        <w:t>基金投资者持有本</w:t>
      </w:r>
      <w:proofErr w:type="gramStart"/>
      <w:r>
        <w:rPr>
          <w:rFonts w:ascii="宋体" w:hAnsi="宋体" w:hint="eastAsia"/>
          <w:bCs/>
          <w:sz w:val="24"/>
        </w:rPr>
        <w:t>基金基金</w:t>
      </w:r>
      <w:proofErr w:type="gramEnd"/>
      <w:r>
        <w:rPr>
          <w:rFonts w:ascii="宋体" w:hAnsi="宋体" w:hint="eastAsia"/>
          <w:bCs/>
          <w:sz w:val="24"/>
        </w:rPr>
        <w:t>份额的行为即视为对《基金合同》的承认和接受，基金投资者</w:t>
      </w:r>
      <w:proofErr w:type="gramStart"/>
      <w:r>
        <w:rPr>
          <w:rFonts w:ascii="宋体" w:hAnsi="宋体" w:hint="eastAsia"/>
          <w:bCs/>
          <w:sz w:val="24"/>
        </w:rPr>
        <w:t>自依据</w:t>
      </w:r>
      <w:proofErr w:type="gramEnd"/>
      <w:r>
        <w:rPr>
          <w:rFonts w:ascii="宋体"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562FFD" w:rsidRDefault="003317D3">
      <w:pPr>
        <w:spacing w:line="360" w:lineRule="auto"/>
        <w:ind w:firstLineChars="200" w:firstLine="480"/>
        <w:rPr>
          <w:rFonts w:ascii="宋体" w:hAnsi="宋体"/>
          <w:bCs/>
          <w:sz w:val="24"/>
        </w:rPr>
      </w:pPr>
      <w:r>
        <w:rPr>
          <w:rFonts w:ascii="宋体" w:hAnsi="宋体" w:hint="eastAsia"/>
          <w:bCs/>
          <w:sz w:val="24"/>
        </w:rPr>
        <w:t>除法律法规另有规定或本基金合同另有约定外，同一类别每份基金份额具有同等的合法权益。本基金A类基金份额与C类基金份额由于基金份额净值的不同，基金收益分配的金额以及参与清算后的剩余基金财产分配的数量将可能有所不同。</w:t>
      </w:r>
    </w:p>
    <w:p w:rsidR="00562FFD" w:rsidRDefault="003317D3">
      <w:pPr>
        <w:spacing w:line="360" w:lineRule="auto"/>
        <w:ind w:firstLineChars="200" w:firstLine="480"/>
        <w:rPr>
          <w:rFonts w:ascii="宋体" w:hAnsi="宋体"/>
          <w:bCs/>
          <w:sz w:val="24"/>
        </w:rPr>
      </w:pPr>
      <w:r>
        <w:rPr>
          <w:rFonts w:ascii="宋体" w:hAnsi="宋体" w:hint="eastAsia"/>
          <w:bCs/>
          <w:sz w:val="24"/>
        </w:rPr>
        <w:t>1、根据《基金法》、《运作办法》及其他有关规定，基金份额持有人的权利包括但不限于：</w:t>
      </w:r>
    </w:p>
    <w:p w:rsidR="00562FFD" w:rsidRDefault="003317D3">
      <w:pPr>
        <w:spacing w:line="360" w:lineRule="auto"/>
        <w:ind w:firstLineChars="200" w:firstLine="480"/>
        <w:rPr>
          <w:rFonts w:ascii="宋体" w:hAnsi="宋体"/>
          <w:bCs/>
          <w:sz w:val="24"/>
        </w:rPr>
      </w:pPr>
      <w:r>
        <w:rPr>
          <w:rFonts w:ascii="宋体" w:hAnsi="宋体" w:hint="eastAsia"/>
          <w:bCs/>
          <w:sz w:val="24"/>
        </w:rPr>
        <w:t>（1）分享基金财产收益；</w:t>
      </w:r>
    </w:p>
    <w:p w:rsidR="00562FFD" w:rsidRDefault="003317D3">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562FFD" w:rsidRDefault="003317D3">
      <w:pPr>
        <w:spacing w:line="360" w:lineRule="auto"/>
        <w:ind w:firstLineChars="200" w:firstLine="480"/>
        <w:rPr>
          <w:rFonts w:ascii="宋体" w:hAnsi="宋体"/>
          <w:bCs/>
          <w:sz w:val="24"/>
        </w:rPr>
      </w:pPr>
      <w:r>
        <w:rPr>
          <w:rFonts w:ascii="宋体" w:hAnsi="宋体" w:hint="eastAsia"/>
          <w:bCs/>
          <w:sz w:val="24"/>
        </w:rPr>
        <w:t>（3）依法转让或者申请赎回其持有的基金份额；</w:t>
      </w:r>
    </w:p>
    <w:p w:rsidR="00562FFD" w:rsidRDefault="003317D3">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562FFD" w:rsidRDefault="003317D3">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562FFD" w:rsidRDefault="003317D3">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562FFD" w:rsidRDefault="003317D3">
      <w:pPr>
        <w:spacing w:line="360" w:lineRule="auto"/>
        <w:ind w:firstLineChars="200" w:firstLine="480"/>
        <w:rPr>
          <w:rFonts w:ascii="宋体" w:hAnsi="宋体"/>
          <w:bCs/>
          <w:sz w:val="24"/>
        </w:rPr>
      </w:pPr>
      <w:r>
        <w:rPr>
          <w:rFonts w:ascii="宋体" w:hAnsi="宋体" w:hint="eastAsia"/>
          <w:bCs/>
          <w:sz w:val="24"/>
        </w:rPr>
        <w:t>（7）监督基金管理人的投资运作；</w:t>
      </w:r>
    </w:p>
    <w:p w:rsidR="00562FFD" w:rsidRDefault="003317D3">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562FFD" w:rsidRDefault="003317D3">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562FFD" w:rsidRDefault="003317D3">
      <w:pPr>
        <w:spacing w:line="360" w:lineRule="auto"/>
        <w:ind w:firstLineChars="200" w:firstLine="480"/>
        <w:rPr>
          <w:rFonts w:ascii="宋体" w:hAnsi="宋体"/>
          <w:bCs/>
          <w:sz w:val="24"/>
        </w:rPr>
      </w:pPr>
      <w:r>
        <w:rPr>
          <w:rFonts w:ascii="宋体" w:hAnsi="宋体" w:hint="eastAsia"/>
          <w:bCs/>
          <w:sz w:val="24"/>
        </w:rPr>
        <w:t>2、根据《基金法》、《运作办法》及其他有关规定，基金份额持有人的义务包括但不限于：</w:t>
      </w:r>
    </w:p>
    <w:p w:rsidR="00562FFD" w:rsidRDefault="003317D3">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562FFD" w:rsidRDefault="003317D3">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562FFD" w:rsidRDefault="003317D3">
      <w:pPr>
        <w:spacing w:line="360" w:lineRule="auto"/>
        <w:ind w:firstLineChars="200" w:firstLine="480"/>
        <w:rPr>
          <w:rFonts w:ascii="宋体" w:hAnsi="宋体"/>
          <w:bCs/>
          <w:sz w:val="24"/>
        </w:rPr>
      </w:pPr>
      <w:r>
        <w:rPr>
          <w:rFonts w:ascii="宋体" w:hAnsi="宋体" w:hint="eastAsia"/>
          <w:bCs/>
          <w:sz w:val="24"/>
        </w:rPr>
        <w:lastRenderedPageBreak/>
        <w:t>（3）关注基金信息披露，及时行使权利和履行义务；</w:t>
      </w:r>
    </w:p>
    <w:p w:rsidR="00562FFD" w:rsidRDefault="003317D3">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562FFD" w:rsidRDefault="003317D3">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rsidR="00562FFD" w:rsidRDefault="003317D3">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562FFD" w:rsidRDefault="003317D3">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562FFD" w:rsidRDefault="003317D3">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562FFD" w:rsidRDefault="003317D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）遵守基金管理人、基金托管人、销售机构和登记机构的相关交易及业务规则；</w:t>
      </w:r>
    </w:p>
    <w:p w:rsidR="00562FFD" w:rsidRDefault="003317D3">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0</w:t>
      </w:r>
      <w:r>
        <w:rPr>
          <w:rFonts w:ascii="宋体" w:hAnsi="宋体" w:hint="eastAsia"/>
          <w:bCs/>
          <w:sz w:val="24"/>
        </w:rPr>
        <w:t>）法律法规及中国证监会规定的和《基金合同》约定的其他义务。</w:t>
      </w:r>
    </w:p>
    <w:p w:rsidR="00562FFD" w:rsidRDefault="003317D3">
      <w:pPr>
        <w:spacing w:line="360" w:lineRule="auto"/>
        <w:ind w:firstLineChars="200" w:firstLine="480"/>
        <w:rPr>
          <w:rFonts w:ascii="宋体" w:hAnsi="宋体"/>
          <w:b/>
          <w:sz w:val="24"/>
        </w:rPr>
      </w:pPr>
      <w:r>
        <w:rPr>
          <w:rFonts w:ascii="宋体" w:hAnsi="宋体" w:hint="eastAsia"/>
          <w:bCs/>
          <w:sz w:val="24"/>
        </w:rPr>
        <w:t>二、</w:t>
      </w:r>
      <w:r>
        <w:rPr>
          <w:rFonts w:ascii="宋体" w:hAnsi="宋体" w:hint="eastAsia"/>
          <w:b/>
          <w:sz w:val="24"/>
        </w:rPr>
        <w:t>基金份额持有人大会召集、议事及表决的程序和规则</w:t>
      </w:r>
    </w:p>
    <w:p w:rsidR="00562FFD" w:rsidRDefault="003317D3">
      <w:pPr>
        <w:spacing w:line="360" w:lineRule="auto"/>
        <w:ind w:firstLineChars="200" w:firstLine="480"/>
        <w:rPr>
          <w:sz w:val="24"/>
        </w:rPr>
      </w:pPr>
      <w:r>
        <w:rPr>
          <w:rFonts w:hint="eastAsia"/>
          <w:sz w:val="24"/>
        </w:rPr>
        <w:t>基金份额持有人大会由基金份额持有人组成，基金份额持有人的合法授权代表有权代表基金份额持有人出席会议并表决。本</w:t>
      </w:r>
      <w:proofErr w:type="gramStart"/>
      <w:r>
        <w:rPr>
          <w:rFonts w:hint="eastAsia"/>
          <w:sz w:val="24"/>
        </w:rPr>
        <w:t>基金基金</w:t>
      </w:r>
      <w:proofErr w:type="gramEnd"/>
      <w:r>
        <w:rPr>
          <w:rFonts w:hint="eastAsia"/>
          <w:sz w:val="24"/>
        </w:rPr>
        <w:t>份额持有人大会不设立日常机构。除法律法规另有规定或本基金合同另有约定外，基金份额持有人持有的同一类别每一基金份额拥有平等的投票权。</w:t>
      </w:r>
    </w:p>
    <w:p w:rsidR="00562FFD" w:rsidRDefault="003317D3">
      <w:pPr>
        <w:spacing w:line="360" w:lineRule="auto"/>
        <w:ind w:firstLineChars="200" w:firstLine="480"/>
        <w:rPr>
          <w:sz w:val="24"/>
        </w:rPr>
      </w:pPr>
      <w:r>
        <w:rPr>
          <w:rFonts w:hint="eastAsia"/>
          <w:sz w:val="24"/>
        </w:rPr>
        <w:t>（一）召开事由</w:t>
      </w:r>
    </w:p>
    <w:p w:rsidR="00562FFD" w:rsidRDefault="003317D3">
      <w:pPr>
        <w:spacing w:line="360" w:lineRule="auto"/>
        <w:ind w:firstLineChars="200" w:firstLine="480"/>
        <w:rPr>
          <w:sz w:val="24"/>
        </w:rPr>
      </w:pPr>
      <w:r>
        <w:rPr>
          <w:rFonts w:hint="eastAsia"/>
          <w:sz w:val="24"/>
        </w:rPr>
        <w:t>1</w:t>
      </w:r>
      <w:r>
        <w:rPr>
          <w:rFonts w:hint="eastAsia"/>
          <w:sz w:val="24"/>
        </w:rPr>
        <w:t>、除法律法规和中国证监会另有规定或《基金合同》另有约定外，当出现或需要决定下列事由之一的，应当召开基金份额持有人大会：</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）终止《基金合同》；</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）更换基金管理人；</w:t>
      </w:r>
    </w:p>
    <w:p w:rsidR="00562FFD" w:rsidRDefault="003317D3">
      <w:pPr>
        <w:spacing w:line="360" w:lineRule="auto"/>
        <w:ind w:firstLineChars="200" w:firstLine="480"/>
        <w:rPr>
          <w:sz w:val="24"/>
        </w:rPr>
      </w:pPr>
      <w:r>
        <w:rPr>
          <w:rFonts w:hint="eastAsia"/>
          <w:sz w:val="24"/>
        </w:rPr>
        <w:t>（</w:t>
      </w:r>
      <w:r>
        <w:rPr>
          <w:rFonts w:hint="eastAsia"/>
          <w:sz w:val="24"/>
        </w:rPr>
        <w:t>3</w:t>
      </w:r>
      <w:r>
        <w:rPr>
          <w:rFonts w:hint="eastAsia"/>
          <w:sz w:val="24"/>
        </w:rPr>
        <w:t>）更换基金托管人；</w:t>
      </w:r>
    </w:p>
    <w:p w:rsidR="00562FFD" w:rsidRDefault="003317D3">
      <w:pPr>
        <w:spacing w:line="360" w:lineRule="auto"/>
        <w:ind w:firstLineChars="200" w:firstLine="480"/>
        <w:rPr>
          <w:sz w:val="24"/>
        </w:rPr>
      </w:pPr>
      <w:r>
        <w:rPr>
          <w:rFonts w:hint="eastAsia"/>
          <w:sz w:val="24"/>
        </w:rPr>
        <w:t>（</w:t>
      </w:r>
      <w:r>
        <w:rPr>
          <w:rFonts w:hint="eastAsia"/>
          <w:sz w:val="24"/>
        </w:rPr>
        <w:t>4</w:t>
      </w:r>
      <w:r>
        <w:rPr>
          <w:rFonts w:hint="eastAsia"/>
          <w:sz w:val="24"/>
        </w:rPr>
        <w:t>）转换基金运作方式；</w:t>
      </w:r>
    </w:p>
    <w:p w:rsidR="00562FFD" w:rsidRDefault="003317D3">
      <w:pPr>
        <w:spacing w:line="360" w:lineRule="auto"/>
        <w:ind w:firstLineChars="200" w:firstLine="480"/>
        <w:rPr>
          <w:sz w:val="24"/>
        </w:rPr>
      </w:pPr>
      <w:r>
        <w:rPr>
          <w:rFonts w:hint="eastAsia"/>
          <w:sz w:val="24"/>
        </w:rPr>
        <w:t>（</w:t>
      </w:r>
      <w:r>
        <w:rPr>
          <w:rFonts w:hint="eastAsia"/>
          <w:sz w:val="24"/>
        </w:rPr>
        <w:t>5</w:t>
      </w:r>
      <w:r>
        <w:rPr>
          <w:rFonts w:hint="eastAsia"/>
          <w:sz w:val="24"/>
        </w:rPr>
        <w:t>）调整基金管理人、基金托管人的报酬标准或提高销售服务费率；</w:t>
      </w:r>
    </w:p>
    <w:p w:rsidR="00562FFD" w:rsidRDefault="003317D3">
      <w:pPr>
        <w:spacing w:line="360" w:lineRule="auto"/>
        <w:ind w:firstLineChars="200" w:firstLine="480"/>
        <w:rPr>
          <w:sz w:val="24"/>
        </w:rPr>
      </w:pPr>
      <w:r>
        <w:rPr>
          <w:rFonts w:hint="eastAsia"/>
          <w:sz w:val="24"/>
        </w:rPr>
        <w:t>（</w:t>
      </w:r>
      <w:r>
        <w:rPr>
          <w:rFonts w:hint="eastAsia"/>
          <w:sz w:val="24"/>
        </w:rPr>
        <w:t>6</w:t>
      </w:r>
      <w:r>
        <w:rPr>
          <w:rFonts w:hint="eastAsia"/>
          <w:sz w:val="24"/>
        </w:rPr>
        <w:t>）变更基金类别；</w:t>
      </w:r>
    </w:p>
    <w:p w:rsidR="00562FFD" w:rsidRDefault="003317D3">
      <w:pPr>
        <w:spacing w:line="360" w:lineRule="auto"/>
        <w:ind w:firstLineChars="200" w:firstLine="480"/>
        <w:rPr>
          <w:sz w:val="24"/>
        </w:rPr>
      </w:pPr>
      <w:r>
        <w:rPr>
          <w:rFonts w:hint="eastAsia"/>
          <w:sz w:val="24"/>
        </w:rPr>
        <w:t>（</w:t>
      </w:r>
      <w:r>
        <w:rPr>
          <w:rFonts w:hint="eastAsia"/>
          <w:sz w:val="24"/>
        </w:rPr>
        <w:t>7</w:t>
      </w:r>
      <w:r>
        <w:rPr>
          <w:rFonts w:hint="eastAsia"/>
          <w:sz w:val="24"/>
        </w:rPr>
        <w:t>）本基金与其他基金的合并；</w:t>
      </w:r>
    </w:p>
    <w:p w:rsidR="00562FFD" w:rsidRDefault="003317D3">
      <w:pPr>
        <w:spacing w:line="360" w:lineRule="auto"/>
        <w:ind w:firstLineChars="200" w:firstLine="480"/>
        <w:rPr>
          <w:sz w:val="24"/>
        </w:rPr>
      </w:pPr>
      <w:r>
        <w:rPr>
          <w:rFonts w:hint="eastAsia"/>
          <w:sz w:val="24"/>
        </w:rPr>
        <w:t>（</w:t>
      </w:r>
      <w:r>
        <w:rPr>
          <w:rFonts w:hint="eastAsia"/>
          <w:sz w:val="24"/>
        </w:rPr>
        <w:t>8</w:t>
      </w:r>
      <w:r>
        <w:rPr>
          <w:rFonts w:hint="eastAsia"/>
          <w:sz w:val="24"/>
        </w:rPr>
        <w:t>）变更基金投资目标、范围或策略；</w:t>
      </w:r>
    </w:p>
    <w:p w:rsidR="00562FFD" w:rsidRDefault="003317D3">
      <w:pPr>
        <w:spacing w:line="360" w:lineRule="auto"/>
        <w:ind w:firstLineChars="200" w:firstLine="480"/>
        <w:rPr>
          <w:sz w:val="24"/>
        </w:rPr>
      </w:pPr>
      <w:r>
        <w:rPr>
          <w:rFonts w:hint="eastAsia"/>
          <w:sz w:val="24"/>
        </w:rPr>
        <w:t>（</w:t>
      </w:r>
      <w:r>
        <w:rPr>
          <w:rFonts w:hint="eastAsia"/>
          <w:sz w:val="24"/>
        </w:rPr>
        <w:t>9</w:t>
      </w:r>
      <w:r>
        <w:rPr>
          <w:rFonts w:hint="eastAsia"/>
          <w:sz w:val="24"/>
        </w:rPr>
        <w:t>）变更基金份额持有人大会程序；</w:t>
      </w:r>
    </w:p>
    <w:p w:rsidR="00562FFD" w:rsidRDefault="003317D3">
      <w:pPr>
        <w:spacing w:line="360" w:lineRule="auto"/>
        <w:ind w:firstLineChars="200" w:firstLine="480"/>
        <w:rPr>
          <w:sz w:val="24"/>
        </w:rPr>
      </w:pPr>
      <w:r>
        <w:rPr>
          <w:rFonts w:hint="eastAsia"/>
          <w:sz w:val="24"/>
        </w:rPr>
        <w:t>（</w:t>
      </w:r>
      <w:r>
        <w:rPr>
          <w:rFonts w:hint="eastAsia"/>
          <w:sz w:val="24"/>
        </w:rPr>
        <w:t>10</w:t>
      </w:r>
      <w:r>
        <w:rPr>
          <w:rFonts w:hint="eastAsia"/>
          <w:sz w:val="24"/>
        </w:rPr>
        <w:t>）基金管理人或基金托管人要求召开基金份额持有人大会；</w:t>
      </w:r>
    </w:p>
    <w:p w:rsidR="00562FFD" w:rsidRDefault="003317D3">
      <w:pPr>
        <w:spacing w:line="360" w:lineRule="auto"/>
        <w:ind w:firstLineChars="200" w:firstLine="480"/>
        <w:rPr>
          <w:sz w:val="24"/>
        </w:rPr>
      </w:pPr>
      <w:r>
        <w:rPr>
          <w:rFonts w:hint="eastAsia"/>
          <w:sz w:val="24"/>
        </w:rPr>
        <w:t>（</w:t>
      </w:r>
      <w:r>
        <w:rPr>
          <w:rFonts w:hint="eastAsia"/>
          <w:sz w:val="24"/>
        </w:rPr>
        <w:t>11</w:t>
      </w:r>
      <w:r>
        <w:rPr>
          <w:rFonts w:hint="eastAsia"/>
          <w:sz w:val="24"/>
        </w:rPr>
        <w:t>）单独或合计持有本基金总份额</w:t>
      </w:r>
      <w:r>
        <w:rPr>
          <w:rFonts w:hint="eastAsia"/>
          <w:sz w:val="24"/>
        </w:rPr>
        <w:t>10%</w:t>
      </w:r>
      <w:r>
        <w:rPr>
          <w:rFonts w:hint="eastAsia"/>
          <w:sz w:val="24"/>
        </w:rPr>
        <w:t>以上（含</w:t>
      </w:r>
      <w:r>
        <w:rPr>
          <w:rFonts w:hint="eastAsia"/>
          <w:sz w:val="24"/>
        </w:rPr>
        <w:t>10%</w:t>
      </w:r>
      <w:r>
        <w:rPr>
          <w:rFonts w:hint="eastAsia"/>
          <w:sz w:val="24"/>
        </w:rPr>
        <w:t>）基金份额的基金份</w:t>
      </w:r>
      <w:r>
        <w:rPr>
          <w:rFonts w:hint="eastAsia"/>
          <w:sz w:val="24"/>
        </w:rPr>
        <w:lastRenderedPageBreak/>
        <w:t>额持有人（以基金管理人收到提议当日的基金份额计算，下同）就同一事项书面要求召开基金份额持有人大会；</w:t>
      </w:r>
    </w:p>
    <w:p w:rsidR="00562FFD" w:rsidRDefault="003317D3">
      <w:pPr>
        <w:spacing w:line="360" w:lineRule="auto"/>
        <w:ind w:firstLineChars="200" w:firstLine="480"/>
        <w:rPr>
          <w:sz w:val="24"/>
        </w:rPr>
      </w:pPr>
      <w:r>
        <w:rPr>
          <w:rFonts w:hint="eastAsia"/>
          <w:sz w:val="24"/>
        </w:rPr>
        <w:t>（</w:t>
      </w:r>
      <w:r>
        <w:rPr>
          <w:rFonts w:hint="eastAsia"/>
          <w:sz w:val="24"/>
        </w:rPr>
        <w:t>12</w:t>
      </w:r>
      <w:r>
        <w:rPr>
          <w:rFonts w:hint="eastAsia"/>
          <w:sz w:val="24"/>
        </w:rPr>
        <w:t>）对基金合同当事人权利和义务产生重大影响的其他事项；</w:t>
      </w:r>
    </w:p>
    <w:p w:rsidR="00562FFD" w:rsidRDefault="003317D3">
      <w:pPr>
        <w:spacing w:line="360" w:lineRule="auto"/>
        <w:ind w:firstLineChars="200" w:firstLine="480"/>
        <w:rPr>
          <w:sz w:val="24"/>
        </w:rPr>
      </w:pPr>
      <w:r>
        <w:rPr>
          <w:rFonts w:hint="eastAsia"/>
          <w:sz w:val="24"/>
        </w:rPr>
        <w:t>（</w:t>
      </w:r>
      <w:r>
        <w:rPr>
          <w:rFonts w:hint="eastAsia"/>
          <w:sz w:val="24"/>
        </w:rPr>
        <w:t>13</w:t>
      </w:r>
      <w:r>
        <w:rPr>
          <w:rFonts w:hint="eastAsia"/>
          <w:sz w:val="24"/>
        </w:rPr>
        <w:t>）法律法规、《基金合同》或中国证监会规定的其他应当召开基金份额持有人大会的事项。</w:t>
      </w:r>
    </w:p>
    <w:p w:rsidR="00562FFD" w:rsidRDefault="003317D3">
      <w:pPr>
        <w:spacing w:line="360" w:lineRule="auto"/>
        <w:ind w:firstLineChars="200" w:firstLine="480"/>
        <w:rPr>
          <w:sz w:val="24"/>
        </w:rPr>
      </w:pPr>
      <w:r>
        <w:rPr>
          <w:rFonts w:hint="eastAsia"/>
          <w:sz w:val="24"/>
        </w:rPr>
        <w:t>2</w:t>
      </w:r>
      <w:r>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）调低销售服务费率；</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）法律法规要求增加的基金费用的收取；</w:t>
      </w:r>
    </w:p>
    <w:p w:rsidR="00562FFD" w:rsidRDefault="003317D3">
      <w:pPr>
        <w:spacing w:line="360" w:lineRule="auto"/>
        <w:ind w:firstLineChars="200" w:firstLine="480"/>
        <w:rPr>
          <w:sz w:val="24"/>
        </w:rPr>
      </w:pPr>
      <w:r>
        <w:rPr>
          <w:rFonts w:hint="eastAsia"/>
          <w:sz w:val="24"/>
        </w:rPr>
        <w:t>（</w:t>
      </w:r>
      <w:r>
        <w:rPr>
          <w:rFonts w:hint="eastAsia"/>
          <w:sz w:val="24"/>
        </w:rPr>
        <w:t>3</w:t>
      </w:r>
      <w:r>
        <w:rPr>
          <w:rFonts w:hint="eastAsia"/>
          <w:sz w:val="24"/>
        </w:rPr>
        <w:t>）调整本基金的申购费率、调低赎回费率或变更收费方式；</w:t>
      </w:r>
    </w:p>
    <w:p w:rsidR="00562FFD" w:rsidRDefault="003317D3">
      <w:pPr>
        <w:spacing w:line="360" w:lineRule="auto"/>
        <w:ind w:firstLineChars="200" w:firstLine="480"/>
        <w:rPr>
          <w:sz w:val="24"/>
        </w:rPr>
      </w:pPr>
      <w:r>
        <w:rPr>
          <w:rFonts w:hint="eastAsia"/>
          <w:sz w:val="24"/>
        </w:rPr>
        <w:t>（</w:t>
      </w:r>
      <w:r>
        <w:rPr>
          <w:rFonts w:hint="eastAsia"/>
          <w:sz w:val="24"/>
        </w:rPr>
        <w:t>4</w:t>
      </w:r>
      <w:r>
        <w:rPr>
          <w:rFonts w:hint="eastAsia"/>
          <w:sz w:val="24"/>
        </w:rPr>
        <w:t>）</w:t>
      </w:r>
      <w:proofErr w:type="gramStart"/>
      <w:r>
        <w:rPr>
          <w:rFonts w:hint="eastAsia"/>
          <w:sz w:val="24"/>
        </w:rPr>
        <w:t>因相应</w:t>
      </w:r>
      <w:proofErr w:type="gramEnd"/>
      <w:r>
        <w:rPr>
          <w:rFonts w:hint="eastAsia"/>
          <w:sz w:val="24"/>
        </w:rPr>
        <w:t>的法律法规发生变动而应当对《基金合同》进行修改；</w:t>
      </w:r>
    </w:p>
    <w:p w:rsidR="00562FFD" w:rsidRDefault="003317D3">
      <w:pPr>
        <w:spacing w:line="360" w:lineRule="auto"/>
        <w:ind w:firstLineChars="200" w:firstLine="480"/>
        <w:rPr>
          <w:sz w:val="24"/>
        </w:rPr>
      </w:pPr>
      <w:r>
        <w:rPr>
          <w:rFonts w:hint="eastAsia"/>
          <w:sz w:val="24"/>
        </w:rPr>
        <w:t>（</w:t>
      </w:r>
      <w:r>
        <w:rPr>
          <w:rFonts w:hint="eastAsia"/>
          <w:sz w:val="24"/>
        </w:rPr>
        <w:t>5</w:t>
      </w:r>
      <w:r>
        <w:rPr>
          <w:rFonts w:hint="eastAsia"/>
          <w:sz w:val="24"/>
        </w:rPr>
        <w:t>）对《基金合同》的修改对基金份额持有人利益无实质性不利影响或修改不涉及《基金合同》当事人权利义务关系发生重大变化；</w:t>
      </w:r>
    </w:p>
    <w:p w:rsidR="00562FFD" w:rsidRDefault="003317D3">
      <w:pPr>
        <w:spacing w:line="360" w:lineRule="auto"/>
        <w:ind w:firstLineChars="200" w:firstLine="480"/>
        <w:rPr>
          <w:sz w:val="24"/>
        </w:rPr>
      </w:pPr>
      <w:r>
        <w:rPr>
          <w:rFonts w:hint="eastAsia"/>
          <w:sz w:val="24"/>
        </w:rPr>
        <w:t>（</w:t>
      </w:r>
      <w:r>
        <w:rPr>
          <w:rFonts w:hint="eastAsia"/>
          <w:sz w:val="24"/>
        </w:rPr>
        <w:t>6</w:t>
      </w:r>
      <w:r>
        <w:rPr>
          <w:rFonts w:hint="eastAsia"/>
          <w:sz w:val="24"/>
        </w:rPr>
        <w:t>）基金管理人、基金登记机构、基金销售机构调整有关申购、赎回、转换、基金交易、</w:t>
      </w:r>
      <w:proofErr w:type="gramStart"/>
      <w:r>
        <w:rPr>
          <w:rFonts w:hint="eastAsia"/>
          <w:sz w:val="24"/>
        </w:rPr>
        <w:t>非交易</w:t>
      </w:r>
      <w:proofErr w:type="gramEnd"/>
      <w:r>
        <w:rPr>
          <w:rFonts w:hint="eastAsia"/>
          <w:sz w:val="24"/>
        </w:rPr>
        <w:t>过户、转托管、质押等业务规则；</w:t>
      </w:r>
    </w:p>
    <w:p w:rsidR="00562FFD" w:rsidRDefault="003317D3">
      <w:pPr>
        <w:spacing w:line="360" w:lineRule="auto"/>
        <w:ind w:firstLineChars="200" w:firstLine="480"/>
        <w:rPr>
          <w:sz w:val="24"/>
        </w:rPr>
      </w:pPr>
      <w:r>
        <w:rPr>
          <w:rFonts w:hint="eastAsia"/>
          <w:sz w:val="24"/>
        </w:rPr>
        <w:t>（</w:t>
      </w:r>
      <w:r>
        <w:rPr>
          <w:rFonts w:hint="eastAsia"/>
          <w:sz w:val="24"/>
        </w:rPr>
        <w:t>7</w:t>
      </w:r>
      <w:r>
        <w:rPr>
          <w:rFonts w:hint="eastAsia"/>
          <w:sz w:val="24"/>
        </w:rPr>
        <w:t>）基金推出新业务或服务；</w:t>
      </w:r>
    </w:p>
    <w:p w:rsidR="00562FFD" w:rsidRDefault="003317D3">
      <w:pPr>
        <w:spacing w:line="360" w:lineRule="auto"/>
        <w:ind w:firstLineChars="200" w:firstLine="480"/>
        <w:rPr>
          <w:sz w:val="24"/>
        </w:rPr>
      </w:pPr>
      <w:r>
        <w:rPr>
          <w:rFonts w:hint="eastAsia"/>
          <w:sz w:val="24"/>
        </w:rPr>
        <w:t>（</w:t>
      </w:r>
      <w:r>
        <w:rPr>
          <w:rFonts w:hint="eastAsia"/>
          <w:sz w:val="24"/>
        </w:rPr>
        <w:t>8</w:t>
      </w:r>
      <w:r>
        <w:rPr>
          <w:rFonts w:hint="eastAsia"/>
          <w:sz w:val="24"/>
        </w:rPr>
        <w:t>）增加或减少基金份额类别，或调整基金份额分类办法及规则；</w:t>
      </w:r>
    </w:p>
    <w:p w:rsidR="00562FFD" w:rsidRDefault="003317D3">
      <w:pPr>
        <w:spacing w:line="360" w:lineRule="auto"/>
        <w:ind w:firstLineChars="200" w:firstLine="480"/>
        <w:rPr>
          <w:sz w:val="24"/>
        </w:rPr>
      </w:pPr>
      <w:r>
        <w:rPr>
          <w:rFonts w:hint="eastAsia"/>
          <w:sz w:val="24"/>
        </w:rPr>
        <w:t>（</w:t>
      </w:r>
      <w:r>
        <w:rPr>
          <w:rFonts w:hint="eastAsia"/>
          <w:sz w:val="24"/>
        </w:rPr>
        <w:t>9</w:t>
      </w:r>
      <w:r>
        <w:rPr>
          <w:rFonts w:hint="eastAsia"/>
          <w:sz w:val="24"/>
        </w:rPr>
        <w:t>）变更业绩比较基准；</w:t>
      </w:r>
    </w:p>
    <w:p w:rsidR="00562FFD" w:rsidRDefault="003317D3">
      <w:pPr>
        <w:spacing w:line="360" w:lineRule="auto"/>
        <w:ind w:firstLineChars="200" w:firstLine="480"/>
        <w:rPr>
          <w:sz w:val="24"/>
        </w:rPr>
      </w:pPr>
      <w:r>
        <w:rPr>
          <w:rFonts w:hint="eastAsia"/>
          <w:sz w:val="24"/>
        </w:rPr>
        <w:t>（</w:t>
      </w:r>
      <w:r>
        <w:rPr>
          <w:rFonts w:hint="eastAsia"/>
          <w:sz w:val="24"/>
        </w:rPr>
        <w:t>10</w:t>
      </w:r>
      <w:r>
        <w:rPr>
          <w:rFonts w:hint="eastAsia"/>
          <w:sz w:val="24"/>
        </w:rPr>
        <w:t>）调整基金收益的分配原则和支付方式；</w:t>
      </w:r>
    </w:p>
    <w:p w:rsidR="00562FFD" w:rsidRDefault="003317D3">
      <w:pPr>
        <w:spacing w:line="360" w:lineRule="auto"/>
        <w:ind w:firstLineChars="200" w:firstLine="480"/>
        <w:rPr>
          <w:sz w:val="24"/>
        </w:rPr>
      </w:pPr>
      <w:r>
        <w:rPr>
          <w:rFonts w:hint="eastAsia"/>
          <w:sz w:val="24"/>
        </w:rPr>
        <w:t>（</w:t>
      </w:r>
      <w:r>
        <w:rPr>
          <w:rFonts w:hint="eastAsia"/>
          <w:sz w:val="24"/>
        </w:rPr>
        <w:t>11</w:t>
      </w:r>
      <w:r>
        <w:rPr>
          <w:rFonts w:hint="eastAsia"/>
          <w:sz w:val="24"/>
        </w:rPr>
        <w:t>）按照法律法规和《基金合同》规定不需召开基金份额持有人大会的其他情形。</w:t>
      </w:r>
    </w:p>
    <w:p w:rsidR="00562FFD" w:rsidRDefault="003317D3">
      <w:pPr>
        <w:spacing w:line="360" w:lineRule="auto"/>
        <w:ind w:firstLineChars="200" w:firstLine="480"/>
        <w:rPr>
          <w:sz w:val="24"/>
        </w:rPr>
      </w:pPr>
      <w:r>
        <w:rPr>
          <w:rFonts w:hint="eastAsia"/>
          <w:sz w:val="24"/>
        </w:rPr>
        <w:t>（二）会议召集人及召集方式</w:t>
      </w:r>
    </w:p>
    <w:p w:rsidR="00562FFD" w:rsidRDefault="003317D3">
      <w:pPr>
        <w:spacing w:line="360" w:lineRule="auto"/>
        <w:ind w:firstLineChars="200" w:firstLine="480"/>
        <w:rPr>
          <w:sz w:val="24"/>
        </w:rPr>
      </w:pPr>
      <w:r>
        <w:rPr>
          <w:rFonts w:hint="eastAsia"/>
          <w:sz w:val="24"/>
        </w:rPr>
        <w:t>1</w:t>
      </w:r>
      <w:r>
        <w:rPr>
          <w:rFonts w:hint="eastAsia"/>
          <w:sz w:val="24"/>
        </w:rPr>
        <w:t>、除法律法规规定或《基金合同》另有约定外，基金份额持有人大会由基金管理人召集；</w:t>
      </w:r>
    </w:p>
    <w:p w:rsidR="00562FFD" w:rsidRDefault="003317D3">
      <w:pPr>
        <w:spacing w:line="360" w:lineRule="auto"/>
        <w:ind w:firstLineChars="200" w:firstLine="480"/>
        <w:rPr>
          <w:sz w:val="24"/>
        </w:rPr>
      </w:pPr>
      <w:r>
        <w:rPr>
          <w:rFonts w:hint="eastAsia"/>
          <w:sz w:val="24"/>
        </w:rPr>
        <w:t>2</w:t>
      </w:r>
      <w:r>
        <w:rPr>
          <w:rFonts w:hint="eastAsia"/>
          <w:sz w:val="24"/>
        </w:rPr>
        <w:t>、基金管理人未按规定召集或不能召集时，由基金托管人召集；</w:t>
      </w:r>
    </w:p>
    <w:p w:rsidR="00562FFD" w:rsidRDefault="003317D3">
      <w:pPr>
        <w:spacing w:line="360" w:lineRule="auto"/>
        <w:ind w:firstLineChars="200" w:firstLine="480"/>
        <w:rPr>
          <w:sz w:val="24"/>
        </w:rPr>
      </w:pPr>
      <w:r>
        <w:rPr>
          <w:rFonts w:hint="eastAsia"/>
          <w:sz w:val="24"/>
        </w:rPr>
        <w:t>3</w:t>
      </w:r>
      <w:r>
        <w:rPr>
          <w:rFonts w:hint="eastAsia"/>
          <w:sz w:val="24"/>
        </w:rPr>
        <w:t>、基金托管人认为有必要召开基金份额持有人大会的，应当向基金管理人提出书面提议。基金管理人应当自收到书面提议之日起</w:t>
      </w:r>
      <w:r>
        <w:rPr>
          <w:rFonts w:hint="eastAsia"/>
          <w:sz w:val="24"/>
        </w:rPr>
        <w:t>10</w:t>
      </w:r>
      <w:r>
        <w:rPr>
          <w:rFonts w:hint="eastAsia"/>
          <w:sz w:val="24"/>
        </w:rPr>
        <w:t>日内决定是否召集，并书面告知基金托管人。基金管理人决定召集的，应当自出具书面决定之日起</w:t>
      </w:r>
      <w:r>
        <w:rPr>
          <w:rFonts w:hint="eastAsia"/>
          <w:sz w:val="24"/>
        </w:rPr>
        <w:t>60</w:t>
      </w:r>
      <w:r>
        <w:rPr>
          <w:rFonts w:hint="eastAsia"/>
          <w:sz w:val="24"/>
        </w:rPr>
        <w:lastRenderedPageBreak/>
        <w:t>日内召开；基金管理人决定不召集，基金托管人仍认为有必要召开的，应当由基金托管人自行召集，并自出具书面决定之日起</w:t>
      </w:r>
      <w:r>
        <w:rPr>
          <w:rFonts w:hint="eastAsia"/>
          <w:sz w:val="24"/>
        </w:rPr>
        <w:t>60</w:t>
      </w:r>
      <w:r>
        <w:rPr>
          <w:rFonts w:hint="eastAsia"/>
          <w:sz w:val="24"/>
        </w:rPr>
        <w:t>日内召开并告知基金管理人，基金管理人应当配合；</w:t>
      </w:r>
    </w:p>
    <w:p w:rsidR="00562FFD" w:rsidRDefault="003317D3">
      <w:pPr>
        <w:spacing w:line="360" w:lineRule="auto"/>
        <w:ind w:firstLineChars="200" w:firstLine="480"/>
        <w:rPr>
          <w:sz w:val="24"/>
        </w:rPr>
      </w:pPr>
      <w:r>
        <w:rPr>
          <w:rFonts w:hint="eastAsia"/>
          <w:sz w:val="24"/>
        </w:rPr>
        <w:t>4</w:t>
      </w:r>
      <w:r>
        <w:rPr>
          <w:rFonts w:hint="eastAsia"/>
          <w:sz w:val="24"/>
        </w:rPr>
        <w:t>、代表基金份额</w:t>
      </w:r>
      <w:r>
        <w:rPr>
          <w:rFonts w:hint="eastAsia"/>
          <w:sz w:val="24"/>
        </w:rPr>
        <w:t>10%</w:t>
      </w:r>
      <w:r>
        <w:rPr>
          <w:rFonts w:hint="eastAsia"/>
          <w:sz w:val="24"/>
        </w:rPr>
        <w:t>以上（含</w:t>
      </w:r>
      <w:r>
        <w:rPr>
          <w:rFonts w:hint="eastAsia"/>
          <w:sz w:val="24"/>
        </w:rPr>
        <w:t>10%</w:t>
      </w:r>
      <w:r>
        <w:rPr>
          <w:rFonts w:hint="eastAsia"/>
          <w:sz w:val="24"/>
        </w:rPr>
        <w:t>）的基金份额持有人就同一事项书面要求召开基金份额持有人大会，应当向基金管理人提出书面提议。基金管理人应当自收到书面提议之日起</w:t>
      </w:r>
      <w:r>
        <w:rPr>
          <w:rFonts w:hint="eastAsia"/>
          <w:sz w:val="24"/>
        </w:rPr>
        <w:t>10</w:t>
      </w:r>
      <w:r>
        <w:rPr>
          <w:rFonts w:hint="eastAsia"/>
          <w:sz w:val="24"/>
        </w:rPr>
        <w:t>日内决定是否召集，并书面告知提出提议的基金份额持有人代表和基金托管人。基金管理人决定召集的，应当自出具书面决定之日起</w:t>
      </w:r>
      <w:r>
        <w:rPr>
          <w:rFonts w:hint="eastAsia"/>
          <w:sz w:val="24"/>
        </w:rPr>
        <w:t>60</w:t>
      </w:r>
      <w:r>
        <w:rPr>
          <w:rFonts w:hint="eastAsia"/>
          <w:sz w:val="24"/>
        </w:rPr>
        <w:t>日内召开；基金管理人决定不召集，代表基金份额</w:t>
      </w:r>
      <w:r>
        <w:rPr>
          <w:rFonts w:hint="eastAsia"/>
          <w:sz w:val="24"/>
        </w:rPr>
        <w:t>10%</w:t>
      </w:r>
      <w:r>
        <w:rPr>
          <w:rFonts w:hint="eastAsia"/>
          <w:sz w:val="24"/>
        </w:rPr>
        <w:t>以上（含</w:t>
      </w:r>
      <w:r>
        <w:rPr>
          <w:rFonts w:hint="eastAsia"/>
          <w:sz w:val="24"/>
        </w:rPr>
        <w:t>10%</w:t>
      </w:r>
      <w:r>
        <w:rPr>
          <w:rFonts w:hint="eastAsia"/>
          <w:sz w:val="24"/>
        </w:rPr>
        <w:t>）的基金份额持有人仍认为有必要召开的，应当向基金托管人提出书面提议。基金托管人应当自收到书面提议之日起</w:t>
      </w:r>
      <w:r>
        <w:rPr>
          <w:rFonts w:hint="eastAsia"/>
          <w:sz w:val="24"/>
        </w:rPr>
        <w:t>10</w:t>
      </w:r>
      <w:r>
        <w:rPr>
          <w:rFonts w:hint="eastAsia"/>
          <w:sz w:val="24"/>
        </w:rPr>
        <w:t>日内决定是否召集，并书面告知提出提议的基金份额持有人代表和基金管理人；基金托管人决定召集的，应当自出具书面决定之日起</w:t>
      </w:r>
      <w:r>
        <w:rPr>
          <w:rFonts w:hint="eastAsia"/>
          <w:sz w:val="24"/>
        </w:rPr>
        <w:t>60</w:t>
      </w:r>
      <w:r>
        <w:rPr>
          <w:rFonts w:hint="eastAsia"/>
          <w:sz w:val="24"/>
        </w:rPr>
        <w:t>日内召开，并告知基金管理人，基金管理人应当配合；</w:t>
      </w:r>
    </w:p>
    <w:p w:rsidR="00562FFD" w:rsidRDefault="003317D3">
      <w:pPr>
        <w:spacing w:line="360" w:lineRule="auto"/>
        <w:ind w:firstLineChars="200" w:firstLine="480"/>
        <w:rPr>
          <w:sz w:val="24"/>
        </w:rPr>
      </w:pPr>
      <w:r>
        <w:rPr>
          <w:rFonts w:hint="eastAsia"/>
          <w:sz w:val="24"/>
        </w:rPr>
        <w:t>5</w:t>
      </w:r>
      <w:r>
        <w:rPr>
          <w:rFonts w:hint="eastAsia"/>
          <w:sz w:val="24"/>
        </w:rPr>
        <w:t>、代表基金份额</w:t>
      </w:r>
      <w:r>
        <w:rPr>
          <w:rFonts w:hint="eastAsia"/>
          <w:sz w:val="24"/>
        </w:rPr>
        <w:t>10%</w:t>
      </w:r>
      <w:r>
        <w:rPr>
          <w:rFonts w:hint="eastAsia"/>
          <w:sz w:val="24"/>
        </w:rPr>
        <w:t>以上（含</w:t>
      </w:r>
      <w:r>
        <w:rPr>
          <w:rFonts w:hint="eastAsia"/>
          <w:sz w:val="24"/>
        </w:rPr>
        <w:t>10%</w:t>
      </w:r>
      <w:r>
        <w:rPr>
          <w:rFonts w:hint="eastAsia"/>
          <w:sz w:val="24"/>
        </w:rPr>
        <w:t>）的基金份额持有人就同一事项要求召开基金份额持有人大会，而基金管理人、基金托管人都不召集的，单独或合计代表基金份额</w:t>
      </w:r>
      <w:r>
        <w:rPr>
          <w:rFonts w:hint="eastAsia"/>
          <w:sz w:val="24"/>
        </w:rPr>
        <w:t>10%</w:t>
      </w:r>
      <w:r>
        <w:rPr>
          <w:rFonts w:hint="eastAsia"/>
          <w:sz w:val="24"/>
        </w:rPr>
        <w:t>以上（含</w:t>
      </w:r>
      <w:r>
        <w:rPr>
          <w:rFonts w:hint="eastAsia"/>
          <w:sz w:val="24"/>
        </w:rPr>
        <w:t>10%</w:t>
      </w:r>
      <w:r>
        <w:rPr>
          <w:rFonts w:hint="eastAsia"/>
          <w:sz w:val="24"/>
        </w:rPr>
        <w:t>）的基金份额持有人有权自行召集，并至少提前</w:t>
      </w:r>
      <w:r>
        <w:rPr>
          <w:rFonts w:hint="eastAsia"/>
          <w:sz w:val="24"/>
        </w:rPr>
        <w:t>30</w:t>
      </w:r>
      <w:r>
        <w:rPr>
          <w:rFonts w:hint="eastAsia"/>
          <w:sz w:val="24"/>
        </w:rPr>
        <w:t>日报中国证监会备案。基金份额持有人依法自行召集基金份额持有人大会的，基金管理人、基金托管人应当配合，不得阻碍、干扰；</w:t>
      </w:r>
    </w:p>
    <w:p w:rsidR="00562FFD" w:rsidRDefault="003317D3">
      <w:pPr>
        <w:spacing w:line="360" w:lineRule="auto"/>
        <w:ind w:firstLineChars="200" w:firstLine="480"/>
        <w:rPr>
          <w:sz w:val="24"/>
        </w:rPr>
      </w:pPr>
      <w:r>
        <w:rPr>
          <w:rFonts w:hint="eastAsia"/>
          <w:sz w:val="24"/>
        </w:rPr>
        <w:t>6</w:t>
      </w:r>
      <w:r>
        <w:rPr>
          <w:rFonts w:hint="eastAsia"/>
          <w:sz w:val="24"/>
        </w:rPr>
        <w:t>、基金份额持有人会议的召集人负责选择确定开会时间、地点、方式和权益登记日。</w:t>
      </w:r>
    </w:p>
    <w:p w:rsidR="00562FFD" w:rsidRDefault="003317D3">
      <w:pPr>
        <w:spacing w:line="360" w:lineRule="auto"/>
        <w:ind w:firstLineChars="200" w:firstLine="480"/>
        <w:rPr>
          <w:sz w:val="24"/>
        </w:rPr>
      </w:pPr>
      <w:r>
        <w:rPr>
          <w:rFonts w:hint="eastAsia"/>
          <w:sz w:val="24"/>
        </w:rPr>
        <w:t>（三）召开基金份额持有人大会的通知时间、通知内容、通知方式</w:t>
      </w:r>
    </w:p>
    <w:p w:rsidR="00562FFD" w:rsidRDefault="003317D3">
      <w:pPr>
        <w:spacing w:line="360" w:lineRule="auto"/>
        <w:ind w:firstLineChars="200" w:firstLine="480"/>
        <w:rPr>
          <w:sz w:val="24"/>
        </w:rPr>
      </w:pPr>
      <w:r>
        <w:rPr>
          <w:rFonts w:hint="eastAsia"/>
          <w:sz w:val="24"/>
        </w:rPr>
        <w:t>1</w:t>
      </w:r>
      <w:r>
        <w:rPr>
          <w:rFonts w:hint="eastAsia"/>
          <w:sz w:val="24"/>
        </w:rPr>
        <w:t>、召开基金份额持有人大会，召集人应于会议召开前</w:t>
      </w:r>
      <w:r>
        <w:rPr>
          <w:rFonts w:hint="eastAsia"/>
          <w:sz w:val="24"/>
        </w:rPr>
        <w:t>30</w:t>
      </w:r>
      <w:r>
        <w:rPr>
          <w:rFonts w:hint="eastAsia"/>
          <w:sz w:val="24"/>
        </w:rPr>
        <w:t>日，在规定媒介公告。基金份额持有人大会通知应至少载明以下内容：</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）会议召开的时间、地点和会议形式；</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）会议</w:t>
      </w:r>
      <w:proofErr w:type="gramStart"/>
      <w:r>
        <w:rPr>
          <w:rFonts w:hint="eastAsia"/>
          <w:sz w:val="24"/>
        </w:rPr>
        <w:t>拟审议</w:t>
      </w:r>
      <w:proofErr w:type="gramEnd"/>
      <w:r>
        <w:rPr>
          <w:rFonts w:hint="eastAsia"/>
          <w:sz w:val="24"/>
        </w:rPr>
        <w:t>的事项、议事程序和表决方式；</w:t>
      </w:r>
    </w:p>
    <w:p w:rsidR="00562FFD" w:rsidRDefault="003317D3">
      <w:pPr>
        <w:spacing w:line="360" w:lineRule="auto"/>
        <w:ind w:firstLineChars="200" w:firstLine="480"/>
        <w:rPr>
          <w:sz w:val="24"/>
        </w:rPr>
      </w:pPr>
      <w:r>
        <w:rPr>
          <w:rFonts w:hint="eastAsia"/>
          <w:sz w:val="24"/>
        </w:rPr>
        <w:t>（</w:t>
      </w:r>
      <w:r>
        <w:rPr>
          <w:rFonts w:hint="eastAsia"/>
          <w:sz w:val="24"/>
        </w:rPr>
        <w:t>3</w:t>
      </w:r>
      <w:r>
        <w:rPr>
          <w:rFonts w:hint="eastAsia"/>
          <w:sz w:val="24"/>
        </w:rPr>
        <w:t>）有权出席基金份额持有人大会的基金份额持有人的权益登记日；</w:t>
      </w:r>
    </w:p>
    <w:p w:rsidR="00562FFD" w:rsidRDefault="003317D3">
      <w:pPr>
        <w:spacing w:line="360" w:lineRule="auto"/>
        <w:ind w:firstLineChars="200" w:firstLine="480"/>
        <w:rPr>
          <w:sz w:val="24"/>
        </w:rPr>
      </w:pPr>
      <w:r>
        <w:rPr>
          <w:rFonts w:hint="eastAsia"/>
          <w:sz w:val="24"/>
        </w:rPr>
        <w:t>（</w:t>
      </w:r>
      <w:r>
        <w:rPr>
          <w:rFonts w:hint="eastAsia"/>
          <w:sz w:val="24"/>
        </w:rPr>
        <w:t>4</w:t>
      </w:r>
      <w:r>
        <w:rPr>
          <w:rFonts w:hint="eastAsia"/>
          <w:sz w:val="24"/>
        </w:rPr>
        <w:t>）授权委托证明的内容要求（包括但不限于代理人身份，代理权限和代理有效期限等）、送达时间和地点；</w:t>
      </w:r>
    </w:p>
    <w:p w:rsidR="00562FFD" w:rsidRDefault="003317D3">
      <w:pPr>
        <w:spacing w:line="360" w:lineRule="auto"/>
        <w:ind w:firstLineChars="200" w:firstLine="480"/>
        <w:rPr>
          <w:sz w:val="24"/>
        </w:rPr>
      </w:pPr>
      <w:r>
        <w:rPr>
          <w:rFonts w:hint="eastAsia"/>
          <w:sz w:val="24"/>
        </w:rPr>
        <w:t>（</w:t>
      </w:r>
      <w:r>
        <w:rPr>
          <w:rFonts w:hint="eastAsia"/>
          <w:sz w:val="24"/>
        </w:rPr>
        <w:t>5</w:t>
      </w:r>
      <w:r>
        <w:rPr>
          <w:rFonts w:hint="eastAsia"/>
          <w:sz w:val="24"/>
        </w:rPr>
        <w:t>）会务常设联系人姓名及联系电话；</w:t>
      </w:r>
    </w:p>
    <w:p w:rsidR="00562FFD" w:rsidRDefault="003317D3">
      <w:pPr>
        <w:spacing w:line="360" w:lineRule="auto"/>
        <w:ind w:firstLineChars="200" w:firstLine="480"/>
        <w:rPr>
          <w:sz w:val="24"/>
        </w:rPr>
      </w:pPr>
      <w:r>
        <w:rPr>
          <w:rFonts w:hint="eastAsia"/>
          <w:sz w:val="24"/>
        </w:rPr>
        <w:t>（</w:t>
      </w:r>
      <w:r>
        <w:rPr>
          <w:rFonts w:hint="eastAsia"/>
          <w:sz w:val="24"/>
        </w:rPr>
        <w:t>6</w:t>
      </w:r>
      <w:r>
        <w:rPr>
          <w:rFonts w:hint="eastAsia"/>
          <w:sz w:val="24"/>
        </w:rPr>
        <w:t>）出席会议者必须准备的文件和必须履行的手续；</w:t>
      </w:r>
    </w:p>
    <w:p w:rsidR="00562FFD" w:rsidRDefault="003317D3">
      <w:pPr>
        <w:spacing w:line="360" w:lineRule="auto"/>
        <w:ind w:firstLineChars="200" w:firstLine="480"/>
        <w:rPr>
          <w:sz w:val="24"/>
        </w:rPr>
      </w:pPr>
      <w:r>
        <w:rPr>
          <w:rFonts w:hint="eastAsia"/>
          <w:sz w:val="24"/>
        </w:rPr>
        <w:lastRenderedPageBreak/>
        <w:t>（</w:t>
      </w:r>
      <w:r>
        <w:rPr>
          <w:rFonts w:hint="eastAsia"/>
          <w:sz w:val="24"/>
        </w:rPr>
        <w:t>7</w:t>
      </w:r>
      <w:r>
        <w:rPr>
          <w:rFonts w:hint="eastAsia"/>
          <w:sz w:val="24"/>
        </w:rPr>
        <w:t>）召集人需要通知的其他事项。</w:t>
      </w:r>
    </w:p>
    <w:p w:rsidR="00562FFD" w:rsidRDefault="003317D3">
      <w:pPr>
        <w:spacing w:line="360" w:lineRule="auto"/>
        <w:ind w:firstLineChars="200" w:firstLine="480"/>
        <w:rPr>
          <w:sz w:val="24"/>
        </w:rPr>
      </w:pPr>
      <w:r>
        <w:rPr>
          <w:rFonts w:hint="eastAsia"/>
          <w:sz w:val="24"/>
        </w:rPr>
        <w:t>2</w:t>
      </w:r>
      <w:r>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62FFD" w:rsidRDefault="003317D3">
      <w:pPr>
        <w:spacing w:line="360" w:lineRule="auto"/>
        <w:ind w:firstLineChars="200" w:firstLine="480"/>
        <w:rPr>
          <w:sz w:val="24"/>
        </w:rPr>
      </w:pPr>
      <w:r>
        <w:rPr>
          <w:rFonts w:hint="eastAsia"/>
          <w:sz w:val="24"/>
        </w:rPr>
        <w:t>3</w:t>
      </w:r>
      <w:r>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rPr>
        <w:t>拒不派</w:t>
      </w:r>
      <w:proofErr w:type="gramEnd"/>
      <w:r>
        <w:rPr>
          <w:rFonts w:hint="eastAsia"/>
          <w:sz w:val="24"/>
        </w:rPr>
        <w:t>代表对表决意见的计票进行监督的，不影响表决意见的计票效力。</w:t>
      </w:r>
    </w:p>
    <w:p w:rsidR="00562FFD" w:rsidRDefault="003317D3">
      <w:pPr>
        <w:spacing w:line="360" w:lineRule="auto"/>
        <w:ind w:firstLineChars="200" w:firstLine="480"/>
        <w:rPr>
          <w:sz w:val="24"/>
        </w:rPr>
      </w:pPr>
      <w:r>
        <w:rPr>
          <w:rFonts w:hint="eastAsia"/>
          <w:sz w:val="24"/>
        </w:rPr>
        <w:t>（四）基金份额持有人出席会议的方式</w:t>
      </w:r>
    </w:p>
    <w:p w:rsidR="00562FFD" w:rsidRDefault="003317D3">
      <w:pPr>
        <w:spacing w:line="360" w:lineRule="auto"/>
        <w:ind w:firstLineChars="200" w:firstLine="480"/>
        <w:rPr>
          <w:sz w:val="24"/>
        </w:rPr>
      </w:pPr>
      <w:r>
        <w:rPr>
          <w:rFonts w:hint="eastAsia"/>
          <w:sz w:val="24"/>
        </w:rPr>
        <w:t>基金份额持有人大会可通过现场开会方式、通讯开会方式或法律法规、监管机构允许的其他方式召开，会议的召开方式由会议召集人确定。</w:t>
      </w:r>
    </w:p>
    <w:p w:rsidR="00562FFD" w:rsidRDefault="003317D3">
      <w:pPr>
        <w:spacing w:line="360" w:lineRule="auto"/>
        <w:ind w:firstLineChars="200" w:firstLine="480"/>
        <w:rPr>
          <w:sz w:val="24"/>
        </w:rPr>
      </w:pPr>
      <w:r>
        <w:rPr>
          <w:rFonts w:hint="eastAsia"/>
          <w:sz w:val="24"/>
        </w:rPr>
        <w:t>1</w:t>
      </w:r>
      <w:r>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62FFD" w:rsidRDefault="003317D3">
      <w:pPr>
        <w:spacing w:line="360" w:lineRule="auto"/>
        <w:ind w:firstLineChars="200" w:firstLine="480"/>
        <w:rPr>
          <w:sz w:val="24"/>
        </w:rPr>
      </w:pPr>
      <w:r>
        <w:rPr>
          <w:rFonts w:hint="eastAsia"/>
          <w:sz w:val="24"/>
        </w:rPr>
        <w:t>2</w:t>
      </w:r>
      <w:r>
        <w:rPr>
          <w:rFonts w:hint="eastAsia"/>
          <w:sz w:val="24"/>
        </w:rPr>
        <w:t>、通讯开会。通讯开会是指基金份额持有人将其对表决事项的投票以书面</w:t>
      </w:r>
      <w:r>
        <w:rPr>
          <w:rFonts w:hint="eastAsia"/>
          <w:sz w:val="24"/>
        </w:rPr>
        <w:lastRenderedPageBreak/>
        <w:t>形式</w:t>
      </w:r>
      <w:proofErr w:type="gramStart"/>
      <w:r>
        <w:rPr>
          <w:rFonts w:hint="eastAsia"/>
          <w:sz w:val="24"/>
        </w:rPr>
        <w:t>或大会</w:t>
      </w:r>
      <w:proofErr w:type="gramEnd"/>
      <w:r>
        <w:rPr>
          <w:rFonts w:hint="eastAsia"/>
          <w:sz w:val="24"/>
        </w:rPr>
        <w:t>公告载明的其他方式在表决截止日以前送达至召集人指定的地址。通讯开会应以书面方式</w:t>
      </w:r>
      <w:proofErr w:type="gramStart"/>
      <w:r>
        <w:rPr>
          <w:rFonts w:hint="eastAsia"/>
          <w:sz w:val="24"/>
        </w:rPr>
        <w:t>或大会</w:t>
      </w:r>
      <w:proofErr w:type="gramEnd"/>
      <w:r>
        <w:rPr>
          <w:rFonts w:hint="eastAsia"/>
          <w:sz w:val="24"/>
        </w:rPr>
        <w:t>公告载明的其他方式进行表决。</w:t>
      </w:r>
    </w:p>
    <w:p w:rsidR="00562FFD" w:rsidRDefault="003317D3">
      <w:pPr>
        <w:spacing w:line="360" w:lineRule="auto"/>
        <w:ind w:firstLineChars="200" w:firstLine="480"/>
        <w:rPr>
          <w:sz w:val="24"/>
        </w:rPr>
      </w:pPr>
      <w:r>
        <w:rPr>
          <w:rFonts w:hint="eastAsia"/>
          <w:sz w:val="24"/>
        </w:rPr>
        <w:t>在同时符合以下条件时，通讯开会的方式视为有效：</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）会议召集人按《基金合同》约定公布会议通知后，在</w:t>
      </w:r>
      <w:r>
        <w:rPr>
          <w:rFonts w:hint="eastAsia"/>
          <w:sz w:val="24"/>
        </w:rPr>
        <w:t>2</w:t>
      </w:r>
      <w:r>
        <w:rPr>
          <w:rFonts w:hint="eastAsia"/>
          <w:sz w:val="24"/>
        </w:rPr>
        <w:t>个工作日内连续公布相关提示性公告；</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62FFD" w:rsidRDefault="003317D3">
      <w:pPr>
        <w:spacing w:line="360" w:lineRule="auto"/>
        <w:ind w:firstLineChars="200" w:firstLine="480"/>
        <w:rPr>
          <w:sz w:val="24"/>
        </w:rPr>
      </w:pPr>
      <w:r>
        <w:rPr>
          <w:rFonts w:hint="eastAsia"/>
          <w:sz w:val="24"/>
        </w:rPr>
        <w:t>（</w:t>
      </w:r>
      <w:r>
        <w:rPr>
          <w:rFonts w:hint="eastAsia"/>
          <w:sz w:val="24"/>
        </w:rPr>
        <w:t>3</w:t>
      </w:r>
      <w:r>
        <w:rPr>
          <w:rFonts w:hint="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562FFD" w:rsidRDefault="003317D3">
      <w:pPr>
        <w:spacing w:line="360" w:lineRule="auto"/>
        <w:ind w:firstLineChars="200" w:firstLine="480"/>
        <w:rPr>
          <w:sz w:val="24"/>
        </w:rPr>
      </w:pPr>
      <w:r>
        <w:rPr>
          <w:rFonts w:hint="eastAsia"/>
          <w:sz w:val="24"/>
        </w:rPr>
        <w:t>（</w:t>
      </w:r>
      <w:r>
        <w:rPr>
          <w:rFonts w:hint="eastAsia"/>
          <w:sz w:val="24"/>
        </w:rPr>
        <w:t>4</w:t>
      </w:r>
      <w:r>
        <w:rPr>
          <w:rFonts w:hint="eastAsia"/>
          <w:sz w:val="24"/>
        </w:rPr>
        <w:t>）上述第（</w:t>
      </w:r>
      <w:r>
        <w:rPr>
          <w:rFonts w:hint="eastAsia"/>
          <w:sz w:val="24"/>
        </w:rPr>
        <w:t>3</w:t>
      </w:r>
      <w:r>
        <w:rPr>
          <w:rFonts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62FFD" w:rsidRDefault="003317D3">
      <w:pPr>
        <w:spacing w:line="360" w:lineRule="auto"/>
        <w:ind w:firstLineChars="200" w:firstLine="480"/>
        <w:rPr>
          <w:sz w:val="24"/>
        </w:rPr>
      </w:pPr>
      <w:r>
        <w:rPr>
          <w:rFonts w:hint="eastAsia"/>
          <w:sz w:val="24"/>
        </w:rPr>
        <w:t>3</w:t>
      </w:r>
      <w:r>
        <w:rPr>
          <w:rFonts w:hint="eastAsia"/>
          <w:sz w:val="24"/>
        </w:rPr>
        <w:t>、在法律法规和监管机关允许的情况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562FFD" w:rsidRDefault="003317D3">
      <w:pPr>
        <w:spacing w:line="360" w:lineRule="auto"/>
        <w:ind w:firstLineChars="200" w:firstLine="480"/>
        <w:rPr>
          <w:sz w:val="24"/>
        </w:rPr>
      </w:pPr>
      <w:r>
        <w:rPr>
          <w:rFonts w:hint="eastAsia"/>
          <w:sz w:val="24"/>
        </w:rPr>
        <w:t>4</w:t>
      </w:r>
      <w:r>
        <w:rPr>
          <w:rFonts w:hint="eastAsia"/>
          <w:sz w:val="24"/>
        </w:rPr>
        <w:t>、在法律法规和监管机关允许的情况下，基金份额持有人授权他人代为出席会议并表决的，授权方式可以采用书面、网络、电话、短信或其他方式，具体</w:t>
      </w:r>
      <w:r>
        <w:rPr>
          <w:rFonts w:hint="eastAsia"/>
          <w:sz w:val="24"/>
        </w:rPr>
        <w:lastRenderedPageBreak/>
        <w:t>方式由会议召集人确定并在会议通知中列明。</w:t>
      </w:r>
    </w:p>
    <w:p w:rsidR="00562FFD" w:rsidRDefault="003317D3">
      <w:pPr>
        <w:spacing w:line="360" w:lineRule="auto"/>
        <w:ind w:firstLineChars="200" w:firstLine="480"/>
        <w:rPr>
          <w:sz w:val="24"/>
        </w:rPr>
      </w:pPr>
      <w:r>
        <w:rPr>
          <w:rFonts w:hint="eastAsia"/>
          <w:sz w:val="24"/>
        </w:rPr>
        <w:t>（五）议事内容与程序</w:t>
      </w:r>
    </w:p>
    <w:p w:rsidR="00562FFD" w:rsidRDefault="003317D3">
      <w:pPr>
        <w:spacing w:line="360" w:lineRule="auto"/>
        <w:ind w:firstLineChars="200" w:firstLine="480"/>
        <w:rPr>
          <w:sz w:val="24"/>
        </w:rPr>
      </w:pPr>
      <w:r>
        <w:rPr>
          <w:rFonts w:hint="eastAsia"/>
          <w:sz w:val="24"/>
        </w:rPr>
        <w:t>1</w:t>
      </w:r>
      <w:r>
        <w:rPr>
          <w:rFonts w:hint="eastAsia"/>
          <w:sz w:val="24"/>
        </w:rPr>
        <w:t>、议事内容及提案权</w:t>
      </w:r>
    </w:p>
    <w:p w:rsidR="00562FFD" w:rsidRDefault="003317D3">
      <w:pPr>
        <w:spacing w:line="360" w:lineRule="auto"/>
        <w:ind w:firstLineChars="200" w:firstLine="480"/>
        <w:rPr>
          <w:sz w:val="24"/>
        </w:rPr>
      </w:pPr>
      <w:r>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62FFD" w:rsidRDefault="003317D3">
      <w:pPr>
        <w:spacing w:line="360" w:lineRule="auto"/>
        <w:ind w:firstLineChars="200" w:firstLine="480"/>
        <w:rPr>
          <w:sz w:val="24"/>
        </w:rPr>
      </w:pPr>
      <w:r>
        <w:rPr>
          <w:rFonts w:hint="eastAsia"/>
          <w:sz w:val="24"/>
        </w:rPr>
        <w:t>基金份额持有人大会的召集人发出召集会议的通知后，对原有提案的修改应当在基金份额持有人大会召开前及时公告。</w:t>
      </w:r>
    </w:p>
    <w:p w:rsidR="00562FFD" w:rsidRDefault="003317D3">
      <w:pPr>
        <w:spacing w:line="360" w:lineRule="auto"/>
        <w:ind w:firstLineChars="200" w:firstLine="480"/>
        <w:rPr>
          <w:sz w:val="24"/>
        </w:rPr>
      </w:pPr>
      <w:r>
        <w:rPr>
          <w:rFonts w:hint="eastAsia"/>
          <w:sz w:val="24"/>
        </w:rPr>
        <w:t>基金份额持有人大会不得对未事先公告的议事内容进行表决。</w:t>
      </w:r>
    </w:p>
    <w:p w:rsidR="00562FFD" w:rsidRDefault="003317D3">
      <w:pPr>
        <w:spacing w:line="360" w:lineRule="auto"/>
        <w:ind w:firstLineChars="200" w:firstLine="480"/>
        <w:rPr>
          <w:sz w:val="24"/>
        </w:rPr>
      </w:pPr>
      <w:r>
        <w:rPr>
          <w:rFonts w:hint="eastAsia"/>
          <w:sz w:val="24"/>
        </w:rPr>
        <w:t>2</w:t>
      </w:r>
      <w:r>
        <w:rPr>
          <w:rFonts w:hint="eastAsia"/>
          <w:sz w:val="24"/>
        </w:rPr>
        <w:t>、议事程序</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）现场开会</w:t>
      </w:r>
    </w:p>
    <w:p w:rsidR="00562FFD" w:rsidRDefault="003317D3">
      <w:pPr>
        <w:spacing w:line="360" w:lineRule="auto"/>
        <w:ind w:firstLineChars="200" w:firstLine="480"/>
        <w:rPr>
          <w:sz w:val="24"/>
        </w:rPr>
      </w:pPr>
      <w:r>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rPr>
        <w:t>作出</w:t>
      </w:r>
      <w:proofErr w:type="gramEnd"/>
      <w:r>
        <w:rPr>
          <w:rFonts w:hint="eastAsia"/>
          <w:sz w:val="24"/>
        </w:rPr>
        <w:t>的决议的效力。</w:t>
      </w:r>
    </w:p>
    <w:p w:rsidR="00562FFD" w:rsidRDefault="003317D3">
      <w:pPr>
        <w:spacing w:line="360" w:lineRule="auto"/>
        <w:ind w:firstLineChars="200" w:firstLine="480"/>
        <w:rPr>
          <w:sz w:val="24"/>
        </w:rPr>
      </w:pPr>
      <w:r>
        <w:rPr>
          <w:rFonts w:hint="eastAsia"/>
          <w:sz w:val="24"/>
        </w:rPr>
        <w:t>会议召集人应当制作出席会议人员的签名册。签名</w:t>
      </w:r>
      <w:proofErr w:type="gramStart"/>
      <w:r>
        <w:rPr>
          <w:rFonts w:hint="eastAsia"/>
          <w:sz w:val="24"/>
        </w:rPr>
        <w:t>册</w:t>
      </w:r>
      <w:proofErr w:type="gramEnd"/>
      <w:r>
        <w:rPr>
          <w:rFonts w:hint="eastAsia"/>
          <w:sz w:val="24"/>
        </w:rPr>
        <w:t>载明参加会议人员姓名（或单位名称）、身份证明文件号码、持有或代表有表决权的基金份额、委托人姓名（或单位名称）和联系方式等事项。</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）通讯开会</w:t>
      </w:r>
    </w:p>
    <w:p w:rsidR="00562FFD" w:rsidRDefault="003317D3">
      <w:pPr>
        <w:spacing w:line="360" w:lineRule="auto"/>
        <w:ind w:firstLineChars="200" w:firstLine="480"/>
        <w:rPr>
          <w:sz w:val="24"/>
        </w:rPr>
      </w:pPr>
      <w:r>
        <w:rPr>
          <w:rFonts w:hint="eastAsia"/>
          <w:sz w:val="24"/>
        </w:rPr>
        <w:t>在通讯开会的情况下，首先由召集人提前</w:t>
      </w:r>
      <w:r>
        <w:rPr>
          <w:rFonts w:hint="eastAsia"/>
          <w:sz w:val="24"/>
        </w:rPr>
        <w:t>30</w:t>
      </w:r>
      <w:r>
        <w:rPr>
          <w:rFonts w:hint="eastAsia"/>
          <w:sz w:val="24"/>
        </w:rPr>
        <w:t>日公布提案，在所通知的表决截止日期后</w:t>
      </w:r>
      <w:r>
        <w:rPr>
          <w:rFonts w:hint="eastAsia"/>
          <w:sz w:val="24"/>
        </w:rPr>
        <w:t>2</w:t>
      </w:r>
      <w:r>
        <w:rPr>
          <w:rFonts w:hint="eastAsia"/>
          <w:sz w:val="24"/>
        </w:rPr>
        <w:t>个工作日内在公证机关监督下由召集人统计全部有效表决，在公证机关监督下形成决议。</w:t>
      </w:r>
    </w:p>
    <w:p w:rsidR="00562FFD" w:rsidRDefault="003317D3">
      <w:pPr>
        <w:spacing w:line="360" w:lineRule="auto"/>
        <w:ind w:firstLineChars="200" w:firstLine="480"/>
        <w:rPr>
          <w:sz w:val="24"/>
        </w:rPr>
      </w:pPr>
      <w:r>
        <w:rPr>
          <w:rFonts w:hint="eastAsia"/>
          <w:sz w:val="24"/>
        </w:rPr>
        <w:t>（六）表决</w:t>
      </w:r>
    </w:p>
    <w:p w:rsidR="00562FFD" w:rsidRDefault="003317D3">
      <w:pPr>
        <w:spacing w:line="360" w:lineRule="auto"/>
        <w:ind w:firstLineChars="200" w:firstLine="480"/>
        <w:rPr>
          <w:sz w:val="24"/>
        </w:rPr>
      </w:pPr>
      <w:r>
        <w:rPr>
          <w:rFonts w:hint="eastAsia"/>
          <w:sz w:val="24"/>
        </w:rPr>
        <w:t>基金份额持有人所持每份基金份额有一票表决权。</w:t>
      </w:r>
    </w:p>
    <w:p w:rsidR="00562FFD" w:rsidRDefault="003317D3">
      <w:pPr>
        <w:spacing w:line="360" w:lineRule="auto"/>
        <w:ind w:firstLineChars="200" w:firstLine="480"/>
        <w:rPr>
          <w:sz w:val="24"/>
        </w:rPr>
      </w:pPr>
      <w:r>
        <w:rPr>
          <w:rFonts w:hint="eastAsia"/>
          <w:sz w:val="24"/>
        </w:rPr>
        <w:lastRenderedPageBreak/>
        <w:t>基金份额持有人大会决议分为一般决议和特别决议：</w:t>
      </w:r>
    </w:p>
    <w:p w:rsidR="00562FFD" w:rsidRDefault="003317D3">
      <w:pPr>
        <w:spacing w:line="360" w:lineRule="auto"/>
        <w:ind w:firstLineChars="200" w:firstLine="480"/>
        <w:rPr>
          <w:sz w:val="24"/>
        </w:rPr>
      </w:pPr>
      <w:r>
        <w:rPr>
          <w:rFonts w:hint="eastAsia"/>
          <w:sz w:val="24"/>
        </w:rPr>
        <w:t>1</w:t>
      </w:r>
      <w:r>
        <w:rPr>
          <w:rFonts w:hint="eastAsia"/>
          <w:sz w:val="24"/>
        </w:rPr>
        <w:t>、一般决议，一般决议须经参加大会的基金份额持有人或其代理人所持表决权的二分之一以上（含二分之一）通过方为有效；除下列第</w:t>
      </w:r>
      <w:r>
        <w:rPr>
          <w:rFonts w:hint="eastAsia"/>
          <w:sz w:val="24"/>
        </w:rPr>
        <w:t>2</w:t>
      </w:r>
      <w:r>
        <w:rPr>
          <w:rFonts w:hint="eastAsia"/>
          <w:sz w:val="24"/>
        </w:rPr>
        <w:t>项所规定的须以特别决议通过事项以外的其他事项均以一般决议的方式通过。</w:t>
      </w:r>
    </w:p>
    <w:p w:rsidR="00562FFD" w:rsidRDefault="003317D3">
      <w:pPr>
        <w:spacing w:line="360" w:lineRule="auto"/>
        <w:ind w:firstLineChars="200" w:firstLine="480"/>
        <w:rPr>
          <w:sz w:val="24"/>
        </w:rPr>
      </w:pPr>
      <w:r>
        <w:rPr>
          <w:rFonts w:hint="eastAsia"/>
          <w:sz w:val="24"/>
        </w:rPr>
        <w:t>2</w:t>
      </w:r>
      <w:r>
        <w:rPr>
          <w:rFonts w:hint="eastAsia"/>
          <w:sz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rsidR="00562FFD" w:rsidRDefault="003317D3">
      <w:pPr>
        <w:spacing w:line="360" w:lineRule="auto"/>
        <w:ind w:firstLineChars="200" w:firstLine="480"/>
        <w:rPr>
          <w:sz w:val="24"/>
        </w:rPr>
      </w:pPr>
      <w:r>
        <w:rPr>
          <w:rFonts w:hint="eastAsia"/>
          <w:sz w:val="24"/>
        </w:rPr>
        <w:t>基金份额持有人大会采取记名方式进行投票表决。</w:t>
      </w:r>
    </w:p>
    <w:p w:rsidR="00562FFD" w:rsidRDefault="003317D3">
      <w:pPr>
        <w:spacing w:line="360" w:lineRule="auto"/>
        <w:ind w:firstLineChars="200" w:firstLine="480"/>
        <w:rPr>
          <w:sz w:val="24"/>
        </w:rPr>
      </w:pPr>
      <w:r>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62FFD" w:rsidRDefault="003317D3">
      <w:pPr>
        <w:spacing w:line="360" w:lineRule="auto"/>
        <w:ind w:firstLineChars="200" w:firstLine="480"/>
        <w:rPr>
          <w:sz w:val="24"/>
        </w:rPr>
      </w:pPr>
      <w:r>
        <w:rPr>
          <w:rFonts w:hint="eastAsia"/>
          <w:sz w:val="24"/>
        </w:rPr>
        <w:t>基金份额持有人大会的各项提案或同一项提案内并列的各项议题应当分开审议、逐项表决。</w:t>
      </w:r>
    </w:p>
    <w:p w:rsidR="00562FFD" w:rsidRDefault="003317D3">
      <w:pPr>
        <w:spacing w:line="360" w:lineRule="auto"/>
        <w:ind w:firstLineChars="200" w:firstLine="480"/>
        <w:rPr>
          <w:sz w:val="24"/>
        </w:rPr>
      </w:pPr>
      <w:r>
        <w:rPr>
          <w:rFonts w:hint="eastAsia"/>
          <w:sz w:val="24"/>
        </w:rPr>
        <w:t>（七）计票</w:t>
      </w:r>
    </w:p>
    <w:p w:rsidR="00562FFD" w:rsidRDefault="003317D3">
      <w:pPr>
        <w:spacing w:line="360" w:lineRule="auto"/>
        <w:ind w:firstLineChars="200" w:firstLine="480"/>
        <w:rPr>
          <w:sz w:val="24"/>
        </w:rPr>
      </w:pPr>
      <w:r>
        <w:rPr>
          <w:rFonts w:hint="eastAsia"/>
          <w:sz w:val="24"/>
        </w:rPr>
        <w:t>1</w:t>
      </w:r>
      <w:r>
        <w:rPr>
          <w:rFonts w:hint="eastAsia"/>
          <w:sz w:val="24"/>
        </w:rPr>
        <w:t>、现场开会</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sz w:val="24"/>
        </w:rPr>
        <w:t>或大会</w:t>
      </w:r>
      <w:proofErr w:type="gramEnd"/>
      <w:r>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）监票人应当在基金份额持有人表决后立即进行清点并由大会主持人当场公布计票结果。</w:t>
      </w:r>
    </w:p>
    <w:p w:rsidR="00562FFD" w:rsidRDefault="003317D3">
      <w:pPr>
        <w:spacing w:line="360" w:lineRule="auto"/>
        <w:ind w:firstLineChars="200" w:firstLine="480"/>
        <w:rPr>
          <w:sz w:val="24"/>
        </w:rPr>
      </w:pPr>
      <w:r>
        <w:rPr>
          <w:rFonts w:hint="eastAsia"/>
          <w:sz w:val="24"/>
        </w:rPr>
        <w:t>（</w:t>
      </w:r>
      <w:r>
        <w:rPr>
          <w:rFonts w:hint="eastAsia"/>
          <w:sz w:val="24"/>
        </w:rPr>
        <w:t>3</w:t>
      </w:r>
      <w:r>
        <w:rPr>
          <w:rFonts w:hint="eastAsia"/>
          <w:sz w:val="24"/>
        </w:rPr>
        <w:t>）如果会议主持人或基金份额持有人或代理人对于提交的表决结果有怀疑，可以在宣布表决结果后立即对所投票</w:t>
      </w:r>
      <w:proofErr w:type="gramStart"/>
      <w:r>
        <w:rPr>
          <w:rFonts w:hint="eastAsia"/>
          <w:sz w:val="24"/>
        </w:rPr>
        <w:t>数要求</w:t>
      </w:r>
      <w:proofErr w:type="gramEnd"/>
      <w:r>
        <w:rPr>
          <w:rFonts w:hint="eastAsia"/>
          <w:sz w:val="24"/>
        </w:rPr>
        <w:t>进行重新清点。监票人应当进行重新清点，重新清点以一次为限。重新清点后，大会主持人应当当场公布重新清</w:t>
      </w:r>
      <w:r>
        <w:rPr>
          <w:rFonts w:hint="eastAsia"/>
          <w:sz w:val="24"/>
        </w:rPr>
        <w:lastRenderedPageBreak/>
        <w:t>点结果。</w:t>
      </w:r>
    </w:p>
    <w:p w:rsidR="00562FFD" w:rsidRDefault="003317D3">
      <w:pPr>
        <w:spacing w:line="360" w:lineRule="auto"/>
        <w:ind w:firstLineChars="200" w:firstLine="480"/>
        <w:rPr>
          <w:sz w:val="24"/>
        </w:rPr>
      </w:pPr>
      <w:r>
        <w:rPr>
          <w:rFonts w:hint="eastAsia"/>
          <w:sz w:val="24"/>
        </w:rPr>
        <w:t>（</w:t>
      </w:r>
      <w:r>
        <w:rPr>
          <w:rFonts w:hint="eastAsia"/>
          <w:sz w:val="24"/>
        </w:rPr>
        <w:t>4</w:t>
      </w:r>
      <w:r>
        <w:rPr>
          <w:rFonts w:hint="eastAsia"/>
          <w:sz w:val="24"/>
        </w:rPr>
        <w:t>）计票过程应由公证机关予以公证</w:t>
      </w:r>
      <w:r>
        <w:rPr>
          <w:rFonts w:hint="eastAsia"/>
          <w:sz w:val="24"/>
        </w:rPr>
        <w:t>,</w:t>
      </w:r>
      <w:r>
        <w:rPr>
          <w:rFonts w:hint="eastAsia"/>
          <w:sz w:val="24"/>
        </w:rPr>
        <w:t>基金管理人或基金托管人拒不出席大会的，不影响计票的效力。</w:t>
      </w:r>
    </w:p>
    <w:p w:rsidR="00562FFD" w:rsidRDefault="003317D3">
      <w:pPr>
        <w:spacing w:line="360" w:lineRule="auto"/>
        <w:ind w:firstLineChars="200" w:firstLine="480"/>
        <w:rPr>
          <w:sz w:val="24"/>
        </w:rPr>
      </w:pPr>
      <w:r>
        <w:rPr>
          <w:rFonts w:hint="eastAsia"/>
          <w:sz w:val="24"/>
        </w:rPr>
        <w:t>2</w:t>
      </w:r>
      <w:r>
        <w:rPr>
          <w:rFonts w:hint="eastAsia"/>
          <w:sz w:val="24"/>
        </w:rPr>
        <w:t>、通讯开会</w:t>
      </w:r>
    </w:p>
    <w:p w:rsidR="00562FFD" w:rsidRDefault="003317D3">
      <w:pPr>
        <w:spacing w:line="360" w:lineRule="auto"/>
        <w:ind w:firstLineChars="200" w:firstLine="480"/>
        <w:rPr>
          <w:sz w:val="24"/>
        </w:rPr>
      </w:pPr>
      <w:r>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sz w:val="24"/>
        </w:rPr>
        <w:t>人拒派</w:t>
      </w:r>
      <w:proofErr w:type="gramEnd"/>
      <w:r>
        <w:rPr>
          <w:rFonts w:hint="eastAsia"/>
          <w:sz w:val="24"/>
        </w:rPr>
        <w:t>代表对表决意见的计票进行监督的，不影响计票和表决结果。</w:t>
      </w:r>
    </w:p>
    <w:p w:rsidR="00562FFD" w:rsidRDefault="003317D3">
      <w:pPr>
        <w:spacing w:line="360" w:lineRule="auto"/>
        <w:ind w:firstLineChars="200" w:firstLine="480"/>
        <w:rPr>
          <w:sz w:val="24"/>
        </w:rPr>
      </w:pPr>
      <w:r>
        <w:rPr>
          <w:rFonts w:hint="eastAsia"/>
          <w:sz w:val="24"/>
        </w:rPr>
        <w:t>（八）生效与公告</w:t>
      </w:r>
    </w:p>
    <w:p w:rsidR="00562FFD" w:rsidRDefault="003317D3">
      <w:pPr>
        <w:spacing w:line="360" w:lineRule="auto"/>
        <w:ind w:firstLineChars="200" w:firstLine="480"/>
        <w:rPr>
          <w:sz w:val="24"/>
        </w:rPr>
      </w:pPr>
      <w:r>
        <w:rPr>
          <w:rFonts w:hint="eastAsia"/>
          <w:sz w:val="24"/>
        </w:rPr>
        <w:t>基金份额持有人大会的决议，召集人应当自通过之日起</w:t>
      </w:r>
      <w:r>
        <w:rPr>
          <w:rFonts w:hint="eastAsia"/>
          <w:sz w:val="24"/>
        </w:rPr>
        <w:t>5</w:t>
      </w:r>
      <w:r>
        <w:rPr>
          <w:rFonts w:hint="eastAsia"/>
          <w:sz w:val="24"/>
        </w:rPr>
        <w:t>日内报中国证监会备案。</w:t>
      </w:r>
    </w:p>
    <w:p w:rsidR="00562FFD" w:rsidRDefault="003317D3">
      <w:pPr>
        <w:spacing w:line="360" w:lineRule="auto"/>
        <w:ind w:firstLineChars="200" w:firstLine="480"/>
        <w:rPr>
          <w:sz w:val="24"/>
        </w:rPr>
      </w:pPr>
      <w:r>
        <w:rPr>
          <w:rFonts w:hint="eastAsia"/>
          <w:sz w:val="24"/>
        </w:rPr>
        <w:t>基金份额持有人大会的决议自表决通过之日起生效。</w:t>
      </w:r>
    </w:p>
    <w:p w:rsidR="00562FFD" w:rsidRDefault="003317D3">
      <w:pPr>
        <w:spacing w:line="360" w:lineRule="auto"/>
        <w:ind w:firstLineChars="200" w:firstLine="480"/>
        <w:rPr>
          <w:sz w:val="24"/>
        </w:rPr>
      </w:pPr>
      <w:r>
        <w:rPr>
          <w:rFonts w:hint="eastAsia"/>
          <w:sz w:val="24"/>
        </w:rPr>
        <w:t>基金份额持有人大会决议自生效之日起按规定在规定媒介上公告。如果采用通讯方式进行表决，在公告基金份额持有人大会决议时，必须将公证书全文、公证机构、公证员姓名等一同公告。</w:t>
      </w:r>
    </w:p>
    <w:p w:rsidR="00562FFD" w:rsidRDefault="003317D3">
      <w:pPr>
        <w:spacing w:line="360" w:lineRule="auto"/>
        <w:ind w:firstLineChars="200" w:firstLine="480"/>
        <w:rPr>
          <w:sz w:val="24"/>
        </w:rPr>
      </w:pPr>
      <w:r>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562FFD" w:rsidRDefault="003317D3">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期间基金份额持有人大会的特殊约定</w:t>
      </w:r>
    </w:p>
    <w:p w:rsidR="00562FFD" w:rsidRDefault="003317D3">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rsidR="00562FFD" w:rsidRDefault="003317D3">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rsidR="00562FFD" w:rsidRDefault="003317D3">
      <w:pPr>
        <w:spacing w:line="360" w:lineRule="auto"/>
        <w:ind w:firstLineChars="200" w:firstLine="480"/>
        <w:rPr>
          <w:sz w:val="24"/>
        </w:rPr>
      </w:pPr>
      <w:r>
        <w:rPr>
          <w:rFonts w:hint="eastAsia"/>
          <w:sz w:val="24"/>
        </w:rPr>
        <w:t>3</w:t>
      </w:r>
      <w:r>
        <w:rPr>
          <w:rFonts w:hint="eastAsia"/>
          <w:sz w:val="24"/>
        </w:rPr>
        <w:t>、通讯开会的直接出具表决意见或授权他人代表出具表决意见的基金份额持有人所持有的基金份额不小于在权益登记</w:t>
      </w:r>
      <w:proofErr w:type="gramStart"/>
      <w:r>
        <w:rPr>
          <w:rFonts w:hint="eastAsia"/>
          <w:sz w:val="24"/>
        </w:rPr>
        <w:t>日相关</w:t>
      </w:r>
      <w:proofErr w:type="gramEnd"/>
      <w:r>
        <w:rPr>
          <w:rFonts w:hint="eastAsia"/>
          <w:sz w:val="24"/>
        </w:rPr>
        <w:t>基金份额的二分之一（含二分</w:t>
      </w:r>
      <w:r>
        <w:rPr>
          <w:rFonts w:hint="eastAsia"/>
          <w:sz w:val="24"/>
        </w:rPr>
        <w:lastRenderedPageBreak/>
        <w:t>之一）；</w:t>
      </w:r>
    </w:p>
    <w:p w:rsidR="00562FFD" w:rsidRDefault="003317D3">
      <w:pPr>
        <w:spacing w:line="360" w:lineRule="auto"/>
        <w:ind w:firstLineChars="200" w:firstLine="480"/>
        <w:rPr>
          <w:sz w:val="24"/>
        </w:rPr>
      </w:pPr>
      <w:r>
        <w:rPr>
          <w:rFonts w:hint="eastAsia"/>
          <w:sz w:val="24"/>
        </w:rPr>
        <w:t>4</w:t>
      </w:r>
      <w:r>
        <w:rPr>
          <w:rFonts w:hint="eastAsia"/>
          <w:sz w:val="24"/>
        </w:rPr>
        <w:t>、当参与基金份额持有人大会投票的基金份额持有人所持有的基金份额小于在权益登记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rsidR="00562FFD" w:rsidRDefault="003317D3">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sz w:val="24"/>
        </w:rPr>
        <w:t>50%</w:t>
      </w:r>
      <w:r>
        <w:rPr>
          <w:rFonts w:hint="eastAsia"/>
          <w:sz w:val="24"/>
        </w:rPr>
        <w:t>以上（含</w:t>
      </w:r>
      <w:r>
        <w:rPr>
          <w:rFonts w:hint="eastAsia"/>
          <w:sz w:val="24"/>
        </w:rPr>
        <w:t>50%</w:t>
      </w:r>
      <w:r>
        <w:rPr>
          <w:rFonts w:hint="eastAsia"/>
          <w:sz w:val="24"/>
        </w:rPr>
        <w:t>）选举产生一名基金份额持有人作为该次基金份额持有人大会的主持人；</w:t>
      </w:r>
    </w:p>
    <w:p w:rsidR="00562FFD" w:rsidRDefault="003317D3">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rsidR="00562FFD" w:rsidRDefault="003317D3">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rsidR="00562FFD" w:rsidRDefault="003317D3">
      <w:pPr>
        <w:spacing w:line="360" w:lineRule="auto"/>
        <w:ind w:firstLineChars="200" w:firstLine="480"/>
        <w:rPr>
          <w:sz w:val="24"/>
        </w:rPr>
      </w:pPr>
      <w:proofErr w:type="gramStart"/>
      <w:r>
        <w:rPr>
          <w:rFonts w:hint="eastAsia"/>
          <w:sz w:val="24"/>
        </w:rPr>
        <w:t>侧袋机制</w:t>
      </w:r>
      <w:proofErr w:type="gramEnd"/>
      <w:r>
        <w:rPr>
          <w:rFonts w:hint="eastAsia"/>
          <w:sz w:val="24"/>
        </w:rPr>
        <w:t>实施期间，基金份额持有人大会审议事项</w:t>
      </w:r>
      <w:proofErr w:type="gramStart"/>
      <w:r>
        <w:rPr>
          <w:rFonts w:hint="eastAsia"/>
          <w:sz w:val="24"/>
        </w:rPr>
        <w:t>涉及主袋账户</w:t>
      </w:r>
      <w:proofErr w:type="gramEnd"/>
      <w:r>
        <w:rPr>
          <w:rFonts w:hint="eastAsia"/>
          <w:sz w:val="24"/>
        </w:rPr>
        <w:t>和</w:t>
      </w:r>
      <w:proofErr w:type="gramStart"/>
      <w:r>
        <w:rPr>
          <w:rFonts w:hint="eastAsia"/>
          <w:sz w:val="24"/>
        </w:rPr>
        <w:t>侧袋</w:t>
      </w:r>
      <w:proofErr w:type="gramEnd"/>
      <w:r>
        <w:rPr>
          <w:rFonts w:hint="eastAsia"/>
          <w:sz w:val="24"/>
        </w:rPr>
        <w:t>账户的，应分别</w:t>
      </w:r>
      <w:proofErr w:type="gramStart"/>
      <w:r>
        <w:rPr>
          <w:rFonts w:hint="eastAsia"/>
          <w:sz w:val="24"/>
        </w:rPr>
        <w:t>由主袋账户</w:t>
      </w:r>
      <w:proofErr w:type="gramEnd"/>
      <w:r>
        <w:rPr>
          <w:rFonts w:hint="eastAsia"/>
          <w:sz w:val="24"/>
        </w:rPr>
        <w:t>、</w:t>
      </w:r>
      <w:proofErr w:type="gramStart"/>
      <w:r>
        <w:rPr>
          <w:rFonts w:hint="eastAsia"/>
          <w:sz w:val="24"/>
        </w:rPr>
        <w:t>侧袋账户</w:t>
      </w:r>
      <w:proofErr w:type="gramEnd"/>
      <w:r>
        <w:rPr>
          <w:rFonts w:hint="eastAsia"/>
          <w:sz w:val="24"/>
        </w:rPr>
        <w:t>的基金份额持有人进行表决，同</w:t>
      </w:r>
      <w:proofErr w:type="gramStart"/>
      <w:r>
        <w:rPr>
          <w:rFonts w:hint="eastAsia"/>
          <w:sz w:val="24"/>
        </w:rPr>
        <w:t>一主侧袋账户</w:t>
      </w:r>
      <w:proofErr w:type="gramEnd"/>
      <w:r>
        <w:rPr>
          <w:rFonts w:hint="eastAsia"/>
          <w:sz w:val="24"/>
        </w:rPr>
        <w:t>内的同一类别每份基金份额具有平等的表决权。表决事项未</w:t>
      </w:r>
      <w:proofErr w:type="gramStart"/>
      <w:r>
        <w:rPr>
          <w:rFonts w:hint="eastAsia"/>
          <w:sz w:val="24"/>
        </w:rPr>
        <w:t>涉及侧袋账户</w:t>
      </w:r>
      <w:proofErr w:type="gramEnd"/>
      <w:r>
        <w:rPr>
          <w:rFonts w:hint="eastAsia"/>
          <w:sz w:val="24"/>
        </w:rPr>
        <w:t>的，</w:t>
      </w:r>
      <w:proofErr w:type="gramStart"/>
      <w:r>
        <w:rPr>
          <w:rFonts w:hint="eastAsia"/>
          <w:sz w:val="24"/>
        </w:rPr>
        <w:t>侧袋账户</w:t>
      </w:r>
      <w:proofErr w:type="gramEnd"/>
      <w:r>
        <w:rPr>
          <w:rFonts w:hint="eastAsia"/>
          <w:sz w:val="24"/>
        </w:rPr>
        <w:t>份额无表决权。</w:t>
      </w:r>
    </w:p>
    <w:p w:rsidR="00562FFD" w:rsidRDefault="003317D3">
      <w:pPr>
        <w:spacing w:line="360" w:lineRule="auto"/>
        <w:ind w:firstLineChars="200" w:firstLine="480"/>
        <w:rPr>
          <w:sz w:val="24"/>
        </w:rPr>
      </w:pPr>
      <w:proofErr w:type="gramStart"/>
      <w:r>
        <w:rPr>
          <w:rFonts w:hint="eastAsia"/>
          <w:sz w:val="24"/>
        </w:rPr>
        <w:t>侧袋机制</w:t>
      </w:r>
      <w:proofErr w:type="gramEnd"/>
      <w:r>
        <w:rPr>
          <w:rFonts w:hint="eastAsia"/>
          <w:sz w:val="24"/>
        </w:rPr>
        <w:t>实施期间，关于基金份额持有人大会的相关规定以本节特殊约定内容为准，本节没有规定的适用上文相关约定。</w:t>
      </w:r>
    </w:p>
    <w:p w:rsidR="00562FFD" w:rsidRDefault="003317D3">
      <w:pPr>
        <w:spacing w:line="360" w:lineRule="auto"/>
        <w:ind w:firstLineChars="200" w:firstLine="480"/>
        <w:rPr>
          <w:rFonts w:ascii="宋体" w:hAnsi="宋体"/>
          <w:sz w:val="24"/>
        </w:rPr>
      </w:pPr>
      <w:r>
        <w:rPr>
          <w:rFonts w:ascii="宋体" w:hAnsi="宋体" w:hint="eastAsia"/>
          <w:sz w:val="24"/>
        </w:rPr>
        <w:t>（十）本部</w:t>
      </w:r>
      <w:proofErr w:type="gramStart"/>
      <w:r>
        <w:rPr>
          <w:rFonts w:ascii="宋体" w:hAnsi="宋体" w:hint="eastAsia"/>
          <w:sz w:val="24"/>
        </w:rPr>
        <w:t>分关于</w:t>
      </w:r>
      <w:proofErr w:type="gramEnd"/>
      <w:r>
        <w:rPr>
          <w:rFonts w:ascii="宋体" w:hAnsi="宋体" w:hint="eastAsia"/>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562FFD" w:rsidRDefault="003317D3">
      <w:pPr>
        <w:spacing w:line="360" w:lineRule="auto"/>
        <w:ind w:firstLineChars="200" w:firstLine="480"/>
        <w:rPr>
          <w:rFonts w:ascii="宋体" w:hAnsi="宋体"/>
          <w:b/>
          <w:sz w:val="24"/>
        </w:rPr>
      </w:pPr>
      <w:r>
        <w:rPr>
          <w:rFonts w:ascii="宋体" w:hAnsi="宋体" w:hint="eastAsia"/>
          <w:bCs/>
          <w:sz w:val="24"/>
        </w:rPr>
        <w:t>三、</w:t>
      </w:r>
      <w:r>
        <w:rPr>
          <w:rFonts w:ascii="宋体" w:hAnsi="宋体" w:hint="eastAsia"/>
          <w:b/>
          <w:sz w:val="24"/>
        </w:rPr>
        <w:t>基金合同解除和终止的事由、程序以及基金财产清算方式</w:t>
      </w:r>
    </w:p>
    <w:p w:rsidR="00562FFD" w:rsidRDefault="003317D3">
      <w:pPr>
        <w:spacing w:line="360" w:lineRule="auto"/>
        <w:ind w:firstLineChars="200" w:firstLine="480"/>
        <w:rPr>
          <w:sz w:val="24"/>
          <w:szCs w:val="20"/>
        </w:rPr>
      </w:pPr>
      <w:r>
        <w:rPr>
          <w:rFonts w:hint="eastAsia"/>
          <w:sz w:val="24"/>
          <w:szCs w:val="20"/>
        </w:rPr>
        <w:t>（一）《基金合同》的变更</w:t>
      </w:r>
    </w:p>
    <w:p w:rsidR="00562FFD" w:rsidRDefault="003317D3">
      <w:pPr>
        <w:spacing w:line="360" w:lineRule="auto"/>
        <w:ind w:firstLineChars="200" w:firstLine="480"/>
        <w:rPr>
          <w:sz w:val="24"/>
          <w:szCs w:val="20"/>
        </w:rPr>
      </w:pPr>
      <w:r>
        <w:rPr>
          <w:sz w:val="24"/>
          <w:szCs w:val="20"/>
        </w:rPr>
        <w:t>1</w:t>
      </w:r>
      <w:r>
        <w:rPr>
          <w:rFonts w:hint="eastAsia"/>
          <w:sz w:val="24"/>
          <w:szCs w:val="20"/>
        </w:rPr>
        <w:t>、变更基金合同涉及法律法规规定或本基金合同约定应经基金份额持有人大会决议通过的事项的，应召</w:t>
      </w:r>
      <w:proofErr w:type="gramStart"/>
      <w:r>
        <w:rPr>
          <w:rFonts w:hint="eastAsia"/>
          <w:sz w:val="24"/>
          <w:szCs w:val="20"/>
        </w:rPr>
        <w:t>开基金</w:t>
      </w:r>
      <w:proofErr w:type="gramEnd"/>
      <w:r>
        <w:rPr>
          <w:rFonts w:hint="eastAsia"/>
          <w:sz w:val="24"/>
          <w:szCs w:val="20"/>
        </w:rPr>
        <w:t>份额持有人大会决议通过。对于法律法规规定和基金合同约定可不经基金份额持有人大会决议通过的事项，由基金管理人和</w:t>
      </w:r>
      <w:r>
        <w:rPr>
          <w:rFonts w:hint="eastAsia"/>
          <w:sz w:val="24"/>
          <w:szCs w:val="20"/>
        </w:rPr>
        <w:lastRenderedPageBreak/>
        <w:t>基金托管人同意后变更并公告，并报中国证监会备案。</w:t>
      </w:r>
    </w:p>
    <w:p w:rsidR="00562FFD" w:rsidRDefault="003317D3">
      <w:pPr>
        <w:spacing w:line="360" w:lineRule="auto"/>
        <w:ind w:firstLineChars="200" w:firstLine="480"/>
        <w:rPr>
          <w:sz w:val="24"/>
          <w:szCs w:val="20"/>
        </w:rPr>
      </w:pPr>
      <w:r>
        <w:rPr>
          <w:sz w:val="24"/>
          <w:szCs w:val="20"/>
        </w:rPr>
        <w:t>2</w:t>
      </w:r>
      <w:r>
        <w:rPr>
          <w:rFonts w:hint="eastAsia"/>
          <w:sz w:val="24"/>
          <w:szCs w:val="20"/>
        </w:rPr>
        <w:t>、关于《基金合同》变更的基金份额持有人大会决议</w:t>
      </w:r>
      <w:r>
        <w:rPr>
          <w:rFonts w:ascii="宋体" w:hAnsi="宋体" w:hint="eastAsia"/>
          <w:bCs/>
          <w:sz w:val="24"/>
          <w:szCs w:val="20"/>
        </w:rPr>
        <w:t>须</w:t>
      </w:r>
      <w:r>
        <w:rPr>
          <w:rFonts w:ascii="宋体" w:hAnsi="宋体"/>
          <w:bCs/>
          <w:sz w:val="24"/>
          <w:szCs w:val="20"/>
        </w:rPr>
        <w:t>报</w:t>
      </w:r>
      <w:r>
        <w:rPr>
          <w:rFonts w:ascii="宋体" w:hAnsi="宋体" w:hint="eastAsia"/>
          <w:bCs/>
          <w:sz w:val="24"/>
          <w:szCs w:val="20"/>
        </w:rPr>
        <w:t>中国</w:t>
      </w:r>
      <w:r>
        <w:rPr>
          <w:rFonts w:ascii="宋体" w:hAnsi="宋体"/>
          <w:bCs/>
          <w:sz w:val="24"/>
          <w:szCs w:val="20"/>
        </w:rPr>
        <w:t>证监会备案，</w:t>
      </w:r>
      <w:r>
        <w:rPr>
          <w:rFonts w:ascii="宋体" w:hAnsi="宋体" w:hint="eastAsia"/>
          <w:bCs/>
          <w:sz w:val="24"/>
          <w:szCs w:val="20"/>
        </w:rPr>
        <w:t>决议</w:t>
      </w:r>
      <w:r>
        <w:rPr>
          <w:rFonts w:hint="eastAsia"/>
          <w:sz w:val="24"/>
          <w:szCs w:val="20"/>
        </w:rPr>
        <w:t>自</w:t>
      </w:r>
      <w:r>
        <w:rPr>
          <w:rFonts w:ascii="宋体" w:hAnsi="宋体" w:hint="eastAsia"/>
          <w:bCs/>
          <w:sz w:val="24"/>
          <w:szCs w:val="20"/>
        </w:rPr>
        <w:t>表决</w:t>
      </w:r>
      <w:r>
        <w:rPr>
          <w:rFonts w:ascii="宋体" w:hAnsi="宋体"/>
          <w:bCs/>
          <w:sz w:val="24"/>
          <w:szCs w:val="20"/>
        </w:rPr>
        <w:t>通过之日</w:t>
      </w:r>
      <w:r>
        <w:rPr>
          <w:rFonts w:hint="eastAsia"/>
          <w:sz w:val="24"/>
          <w:szCs w:val="20"/>
        </w:rPr>
        <w:t>生效</w:t>
      </w:r>
      <w:r>
        <w:rPr>
          <w:rFonts w:ascii="宋体" w:hAnsi="宋体" w:hint="eastAsia"/>
          <w:bCs/>
          <w:sz w:val="24"/>
          <w:szCs w:val="20"/>
        </w:rPr>
        <w:t>，</w:t>
      </w:r>
      <w:proofErr w:type="gramStart"/>
      <w:r>
        <w:rPr>
          <w:rFonts w:hint="eastAsia"/>
          <w:sz w:val="24"/>
          <w:szCs w:val="20"/>
        </w:rPr>
        <w:t>自决议</w:t>
      </w:r>
      <w:proofErr w:type="gramEnd"/>
      <w:r>
        <w:rPr>
          <w:rFonts w:hint="eastAsia"/>
          <w:sz w:val="24"/>
          <w:szCs w:val="20"/>
        </w:rPr>
        <w:t>生效后</w:t>
      </w:r>
      <w:r>
        <w:rPr>
          <w:rFonts w:ascii="宋体" w:hAnsi="宋体" w:hint="eastAsia"/>
          <w:bCs/>
          <w:sz w:val="24"/>
          <w:szCs w:val="20"/>
        </w:rPr>
        <w:t>按规定</w:t>
      </w:r>
      <w:r>
        <w:rPr>
          <w:rFonts w:hint="eastAsia"/>
          <w:sz w:val="24"/>
          <w:szCs w:val="20"/>
        </w:rPr>
        <w:t>在规定媒介公告。</w:t>
      </w:r>
    </w:p>
    <w:p w:rsidR="00562FFD" w:rsidRDefault="003317D3">
      <w:pPr>
        <w:spacing w:line="360" w:lineRule="auto"/>
        <w:ind w:firstLineChars="200" w:firstLine="480"/>
        <w:rPr>
          <w:sz w:val="24"/>
          <w:szCs w:val="20"/>
        </w:rPr>
      </w:pPr>
      <w:r>
        <w:rPr>
          <w:rFonts w:hint="eastAsia"/>
          <w:sz w:val="24"/>
          <w:szCs w:val="20"/>
        </w:rPr>
        <w:t>（二）《基金合同》的终止事由</w:t>
      </w:r>
    </w:p>
    <w:p w:rsidR="00562FFD" w:rsidRDefault="003317D3">
      <w:pPr>
        <w:spacing w:line="360" w:lineRule="auto"/>
        <w:ind w:firstLineChars="200" w:firstLine="480"/>
        <w:rPr>
          <w:sz w:val="24"/>
          <w:szCs w:val="20"/>
        </w:rPr>
      </w:pPr>
      <w:r>
        <w:rPr>
          <w:rFonts w:hint="eastAsia"/>
          <w:sz w:val="24"/>
          <w:szCs w:val="20"/>
        </w:rPr>
        <w:t>有下列情形之一的，</w:t>
      </w:r>
      <w:r>
        <w:rPr>
          <w:rFonts w:ascii="宋体" w:hAnsi="宋体" w:hint="eastAsia"/>
          <w:bCs/>
          <w:sz w:val="24"/>
          <w:szCs w:val="20"/>
        </w:rPr>
        <w:t>经履行相关程序后，</w:t>
      </w:r>
      <w:r>
        <w:rPr>
          <w:rFonts w:hint="eastAsia"/>
          <w:sz w:val="24"/>
          <w:szCs w:val="20"/>
        </w:rPr>
        <w:t>《基金合同》应当终止：</w:t>
      </w:r>
    </w:p>
    <w:p w:rsidR="00562FFD" w:rsidRDefault="003317D3">
      <w:pPr>
        <w:spacing w:line="360" w:lineRule="auto"/>
        <w:ind w:firstLineChars="200" w:firstLine="480"/>
        <w:rPr>
          <w:sz w:val="24"/>
          <w:szCs w:val="20"/>
        </w:rPr>
      </w:pPr>
      <w:r>
        <w:rPr>
          <w:sz w:val="24"/>
          <w:szCs w:val="20"/>
        </w:rPr>
        <w:t>1</w:t>
      </w:r>
      <w:r>
        <w:rPr>
          <w:rFonts w:hint="eastAsia"/>
          <w:sz w:val="24"/>
          <w:szCs w:val="20"/>
        </w:rPr>
        <w:t>、基金份额持有人大会决定终止的</w:t>
      </w:r>
      <w:r>
        <w:rPr>
          <w:rFonts w:ascii="宋体" w:hAnsi="宋体" w:hint="eastAsia"/>
          <w:bCs/>
          <w:sz w:val="24"/>
          <w:szCs w:val="20"/>
        </w:rPr>
        <w:t>；</w:t>
      </w:r>
    </w:p>
    <w:p w:rsidR="00562FFD" w:rsidRDefault="003317D3">
      <w:pPr>
        <w:spacing w:line="360" w:lineRule="auto"/>
        <w:ind w:firstLineChars="200" w:firstLine="480"/>
        <w:rPr>
          <w:sz w:val="24"/>
          <w:szCs w:val="20"/>
        </w:rPr>
      </w:pPr>
      <w:r>
        <w:rPr>
          <w:sz w:val="24"/>
          <w:szCs w:val="20"/>
        </w:rPr>
        <w:t>2</w:t>
      </w:r>
      <w:r>
        <w:rPr>
          <w:rFonts w:hint="eastAsia"/>
          <w:sz w:val="24"/>
          <w:szCs w:val="20"/>
        </w:rPr>
        <w:t>、基金管理人、基金托管人职责终止，在</w:t>
      </w:r>
      <w:r>
        <w:rPr>
          <w:sz w:val="24"/>
          <w:szCs w:val="20"/>
        </w:rPr>
        <w:t>6</w:t>
      </w:r>
      <w:r>
        <w:rPr>
          <w:rFonts w:hint="eastAsia"/>
          <w:sz w:val="24"/>
          <w:szCs w:val="20"/>
        </w:rPr>
        <w:t>个月内没有新基金管理人、新基金托管人承接的</w:t>
      </w:r>
      <w:r>
        <w:rPr>
          <w:rFonts w:ascii="宋体" w:hAnsi="宋体" w:hint="eastAsia"/>
          <w:bCs/>
          <w:sz w:val="24"/>
          <w:szCs w:val="20"/>
        </w:rPr>
        <w:t>；</w:t>
      </w:r>
    </w:p>
    <w:p w:rsidR="00562FFD" w:rsidRDefault="003317D3">
      <w:pPr>
        <w:spacing w:line="360" w:lineRule="auto"/>
        <w:ind w:firstLineChars="200" w:firstLine="480"/>
        <w:rPr>
          <w:sz w:val="24"/>
          <w:szCs w:val="20"/>
        </w:rPr>
      </w:pPr>
      <w:r>
        <w:rPr>
          <w:sz w:val="24"/>
          <w:szCs w:val="20"/>
        </w:rPr>
        <w:t>3</w:t>
      </w:r>
      <w:r>
        <w:rPr>
          <w:rFonts w:hint="eastAsia"/>
          <w:sz w:val="24"/>
          <w:szCs w:val="20"/>
        </w:rPr>
        <w:t>、《基金合同》约定的其他情形</w:t>
      </w:r>
      <w:r>
        <w:rPr>
          <w:rFonts w:ascii="宋体" w:hAnsi="宋体" w:hint="eastAsia"/>
          <w:bCs/>
          <w:sz w:val="24"/>
          <w:szCs w:val="20"/>
        </w:rPr>
        <w:t>；</w:t>
      </w:r>
    </w:p>
    <w:p w:rsidR="00562FFD" w:rsidRDefault="003317D3">
      <w:pPr>
        <w:spacing w:line="360" w:lineRule="auto"/>
        <w:ind w:firstLineChars="200" w:firstLine="480"/>
        <w:rPr>
          <w:sz w:val="24"/>
          <w:szCs w:val="20"/>
        </w:rPr>
      </w:pPr>
      <w:r>
        <w:rPr>
          <w:rFonts w:ascii="宋体" w:hAnsi="宋体"/>
          <w:bCs/>
          <w:sz w:val="24"/>
          <w:szCs w:val="20"/>
        </w:rPr>
        <w:t>4</w:t>
      </w:r>
      <w:r>
        <w:rPr>
          <w:rFonts w:hint="eastAsia"/>
          <w:sz w:val="24"/>
          <w:szCs w:val="20"/>
        </w:rPr>
        <w:t>、相关法律法规和中国证监会规定的其他情况。</w:t>
      </w:r>
    </w:p>
    <w:p w:rsidR="00562FFD" w:rsidRDefault="003317D3">
      <w:pPr>
        <w:spacing w:line="360" w:lineRule="auto"/>
        <w:ind w:firstLineChars="200" w:firstLine="480"/>
        <w:rPr>
          <w:sz w:val="24"/>
          <w:szCs w:val="20"/>
        </w:rPr>
      </w:pPr>
      <w:r>
        <w:rPr>
          <w:rFonts w:hint="eastAsia"/>
          <w:sz w:val="24"/>
          <w:szCs w:val="20"/>
        </w:rPr>
        <w:t>（三）基金财产的清算</w:t>
      </w:r>
    </w:p>
    <w:p w:rsidR="00562FFD" w:rsidRDefault="003317D3">
      <w:pPr>
        <w:spacing w:line="360" w:lineRule="auto"/>
        <w:ind w:firstLineChars="200" w:firstLine="480"/>
        <w:rPr>
          <w:sz w:val="24"/>
          <w:szCs w:val="20"/>
        </w:rPr>
      </w:pPr>
      <w:r>
        <w:rPr>
          <w:sz w:val="24"/>
          <w:szCs w:val="20"/>
        </w:rPr>
        <w:t>1</w:t>
      </w:r>
      <w:r>
        <w:rPr>
          <w:rFonts w:hint="eastAsia"/>
          <w:sz w:val="24"/>
          <w:szCs w:val="20"/>
        </w:rPr>
        <w:t>、基金财产清算小组：自出现《基金合同》终止事由之日起</w:t>
      </w:r>
      <w:r>
        <w:rPr>
          <w:sz w:val="24"/>
          <w:szCs w:val="20"/>
        </w:rPr>
        <w:t>30</w:t>
      </w:r>
      <w:r>
        <w:rPr>
          <w:rFonts w:hint="eastAsia"/>
          <w:sz w:val="24"/>
          <w:szCs w:val="20"/>
        </w:rPr>
        <w:t>个工作日内成立基金财产清算小组，基金管理人组织基金财产清算小组并在中国证监会的监督下进行基金清算。</w:t>
      </w:r>
    </w:p>
    <w:p w:rsidR="00562FFD" w:rsidRDefault="003317D3">
      <w:pPr>
        <w:spacing w:line="360" w:lineRule="auto"/>
        <w:ind w:firstLineChars="200" w:firstLine="480"/>
        <w:rPr>
          <w:rFonts w:ascii="宋体" w:hAnsi="宋体"/>
          <w:bCs/>
          <w:sz w:val="24"/>
          <w:szCs w:val="20"/>
        </w:rPr>
      </w:pPr>
      <w:r>
        <w:rPr>
          <w:sz w:val="24"/>
          <w:szCs w:val="20"/>
        </w:rPr>
        <w:t>2</w:t>
      </w:r>
      <w:r>
        <w:rPr>
          <w:rFonts w:hint="eastAsia"/>
          <w:sz w:val="24"/>
          <w:szCs w:val="20"/>
        </w:rPr>
        <w:t>、</w:t>
      </w:r>
      <w:r>
        <w:rPr>
          <w:rFonts w:ascii="宋体" w:hAnsi="宋体" w:hint="eastAsia"/>
          <w:bCs/>
          <w:sz w:val="24"/>
          <w:szCs w:val="20"/>
        </w:rPr>
        <w:t>在基金财产清算小组接管基金财产之前，基金管理人和基金托管人应按照《基金合同》和托管协议的规定继续履行保护基金财产安全的职责。</w:t>
      </w:r>
    </w:p>
    <w:p w:rsidR="00562FFD" w:rsidRDefault="003317D3">
      <w:pPr>
        <w:spacing w:line="360" w:lineRule="auto"/>
        <w:ind w:firstLineChars="200" w:firstLine="480"/>
        <w:rPr>
          <w:sz w:val="24"/>
          <w:szCs w:val="20"/>
        </w:rPr>
      </w:pPr>
      <w:r>
        <w:rPr>
          <w:rFonts w:ascii="宋体" w:hAnsi="宋体"/>
          <w:bCs/>
          <w:sz w:val="24"/>
          <w:szCs w:val="20"/>
        </w:rPr>
        <w:t>3、</w:t>
      </w:r>
      <w:r>
        <w:rPr>
          <w:rFonts w:hint="eastAsia"/>
          <w:sz w:val="24"/>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562FFD" w:rsidRDefault="003317D3">
      <w:pPr>
        <w:spacing w:line="360" w:lineRule="auto"/>
        <w:ind w:firstLineChars="200" w:firstLine="480"/>
        <w:rPr>
          <w:sz w:val="24"/>
          <w:szCs w:val="20"/>
        </w:rPr>
      </w:pPr>
      <w:r>
        <w:rPr>
          <w:rFonts w:ascii="宋体" w:hAnsi="宋体"/>
          <w:bCs/>
          <w:sz w:val="24"/>
          <w:szCs w:val="20"/>
        </w:rPr>
        <w:t>4</w:t>
      </w:r>
      <w:r>
        <w:rPr>
          <w:rFonts w:hint="eastAsia"/>
          <w:sz w:val="24"/>
          <w:szCs w:val="20"/>
        </w:rPr>
        <w:t>、基金财产清算小组职责：基金财产清算小组负责基金财产的保管、清理、估价、变现和分配。基金财产清算小组可以依法进行必要的民事活动。</w:t>
      </w:r>
    </w:p>
    <w:p w:rsidR="00562FFD" w:rsidRDefault="003317D3">
      <w:pPr>
        <w:spacing w:line="360" w:lineRule="auto"/>
        <w:ind w:firstLineChars="200" w:firstLine="480"/>
        <w:rPr>
          <w:sz w:val="24"/>
          <w:szCs w:val="20"/>
        </w:rPr>
      </w:pPr>
      <w:r>
        <w:rPr>
          <w:rFonts w:ascii="宋体" w:hAnsi="宋体"/>
          <w:bCs/>
          <w:sz w:val="24"/>
          <w:szCs w:val="20"/>
        </w:rPr>
        <w:t>5</w:t>
      </w:r>
      <w:r>
        <w:rPr>
          <w:rFonts w:hint="eastAsia"/>
          <w:sz w:val="24"/>
          <w:szCs w:val="20"/>
        </w:rPr>
        <w:t>、基金财产清算程序：</w:t>
      </w:r>
    </w:p>
    <w:p w:rsidR="00562FFD" w:rsidRDefault="003317D3">
      <w:pPr>
        <w:spacing w:line="360" w:lineRule="auto"/>
        <w:ind w:firstLineChars="200" w:firstLine="480"/>
        <w:rPr>
          <w:sz w:val="24"/>
          <w:szCs w:val="20"/>
        </w:rPr>
      </w:pPr>
      <w:r>
        <w:rPr>
          <w:rFonts w:hint="eastAsia"/>
          <w:sz w:val="24"/>
          <w:szCs w:val="20"/>
        </w:rPr>
        <w:t>（</w:t>
      </w:r>
      <w:r>
        <w:rPr>
          <w:sz w:val="24"/>
          <w:szCs w:val="20"/>
        </w:rPr>
        <w:t>1</w:t>
      </w:r>
      <w:r>
        <w:rPr>
          <w:rFonts w:hint="eastAsia"/>
          <w:sz w:val="24"/>
          <w:szCs w:val="20"/>
        </w:rPr>
        <w:t>）《基金合同》终止情形出现时，由基金财产清算小组统一接管基金；</w:t>
      </w:r>
    </w:p>
    <w:p w:rsidR="00562FFD" w:rsidRDefault="003317D3">
      <w:pPr>
        <w:spacing w:line="360" w:lineRule="auto"/>
        <w:ind w:firstLineChars="200" w:firstLine="480"/>
        <w:rPr>
          <w:sz w:val="24"/>
          <w:szCs w:val="20"/>
        </w:rPr>
      </w:pPr>
      <w:r>
        <w:rPr>
          <w:rFonts w:hint="eastAsia"/>
          <w:sz w:val="24"/>
          <w:szCs w:val="20"/>
        </w:rPr>
        <w:t>（</w:t>
      </w:r>
      <w:r>
        <w:rPr>
          <w:sz w:val="24"/>
          <w:szCs w:val="20"/>
        </w:rPr>
        <w:t>2</w:t>
      </w:r>
      <w:r>
        <w:rPr>
          <w:rFonts w:hint="eastAsia"/>
          <w:sz w:val="24"/>
          <w:szCs w:val="20"/>
        </w:rPr>
        <w:t>）对基金财产和债权债务进行清理和确认；</w:t>
      </w:r>
    </w:p>
    <w:p w:rsidR="00562FFD" w:rsidRDefault="003317D3">
      <w:pPr>
        <w:spacing w:line="360" w:lineRule="auto"/>
        <w:ind w:firstLineChars="200" w:firstLine="480"/>
        <w:rPr>
          <w:sz w:val="24"/>
          <w:szCs w:val="20"/>
        </w:rPr>
      </w:pPr>
      <w:r>
        <w:rPr>
          <w:rFonts w:hint="eastAsia"/>
          <w:sz w:val="24"/>
          <w:szCs w:val="20"/>
        </w:rPr>
        <w:t>（</w:t>
      </w:r>
      <w:r>
        <w:rPr>
          <w:sz w:val="24"/>
          <w:szCs w:val="20"/>
        </w:rPr>
        <w:t>3</w:t>
      </w:r>
      <w:r>
        <w:rPr>
          <w:rFonts w:hint="eastAsia"/>
          <w:sz w:val="24"/>
          <w:szCs w:val="20"/>
        </w:rPr>
        <w:t>）对基金财产进行估值和变现；</w:t>
      </w:r>
    </w:p>
    <w:p w:rsidR="00562FFD" w:rsidRDefault="003317D3">
      <w:pPr>
        <w:spacing w:line="360" w:lineRule="auto"/>
        <w:ind w:firstLineChars="200" w:firstLine="480"/>
        <w:rPr>
          <w:sz w:val="24"/>
          <w:szCs w:val="20"/>
        </w:rPr>
      </w:pPr>
      <w:r>
        <w:rPr>
          <w:rFonts w:hint="eastAsia"/>
          <w:sz w:val="24"/>
          <w:szCs w:val="20"/>
        </w:rPr>
        <w:t>（</w:t>
      </w:r>
      <w:r>
        <w:rPr>
          <w:sz w:val="24"/>
          <w:szCs w:val="20"/>
        </w:rPr>
        <w:t>4</w:t>
      </w:r>
      <w:r>
        <w:rPr>
          <w:rFonts w:hint="eastAsia"/>
          <w:sz w:val="24"/>
          <w:szCs w:val="20"/>
        </w:rPr>
        <w:t>）制作清算报告；</w:t>
      </w:r>
    </w:p>
    <w:p w:rsidR="00562FFD" w:rsidRDefault="003317D3">
      <w:pPr>
        <w:spacing w:line="360" w:lineRule="auto"/>
        <w:ind w:firstLineChars="200" w:firstLine="480"/>
        <w:rPr>
          <w:sz w:val="24"/>
          <w:szCs w:val="20"/>
        </w:rPr>
      </w:pPr>
      <w:r>
        <w:rPr>
          <w:rFonts w:hint="eastAsia"/>
          <w:sz w:val="24"/>
          <w:szCs w:val="20"/>
        </w:rPr>
        <w:t>（</w:t>
      </w:r>
      <w:r>
        <w:rPr>
          <w:sz w:val="24"/>
          <w:szCs w:val="20"/>
        </w:rPr>
        <w:t>5</w:t>
      </w:r>
      <w:r>
        <w:rPr>
          <w:rFonts w:hint="eastAsia"/>
          <w:sz w:val="24"/>
          <w:szCs w:val="20"/>
        </w:rPr>
        <w:t>）聘请会计师事务所对清算报告进行外部审计，聘请律师事务所对清算报告出具法律意见书；</w:t>
      </w:r>
    </w:p>
    <w:p w:rsidR="00562FFD" w:rsidRDefault="003317D3">
      <w:pPr>
        <w:spacing w:line="360" w:lineRule="auto"/>
        <w:ind w:firstLineChars="200" w:firstLine="480"/>
        <w:rPr>
          <w:sz w:val="24"/>
          <w:szCs w:val="20"/>
        </w:rPr>
      </w:pPr>
      <w:r>
        <w:rPr>
          <w:rFonts w:hint="eastAsia"/>
          <w:sz w:val="24"/>
          <w:szCs w:val="20"/>
        </w:rPr>
        <w:t>（</w:t>
      </w:r>
      <w:r>
        <w:rPr>
          <w:sz w:val="24"/>
          <w:szCs w:val="20"/>
        </w:rPr>
        <w:t>6</w:t>
      </w:r>
      <w:r>
        <w:rPr>
          <w:rFonts w:hint="eastAsia"/>
          <w:sz w:val="24"/>
          <w:szCs w:val="20"/>
        </w:rPr>
        <w:t>）将清算报告报中国证监会备案并公告；</w:t>
      </w:r>
    </w:p>
    <w:p w:rsidR="00562FFD" w:rsidRDefault="003317D3">
      <w:pPr>
        <w:spacing w:line="360" w:lineRule="auto"/>
        <w:ind w:firstLineChars="200" w:firstLine="480"/>
        <w:rPr>
          <w:sz w:val="24"/>
          <w:szCs w:val="20"/>
        </w:rPr>
      </w:pPr>
      <w:r>
        <w:rPr>
          <w:rFonts w:hint="eastAsia"/>
          <w:sz w:val="24"/>
          <w:szCs w:val="20"/>
        </w:rPr>
        <w:lastRenderedPageBreak/>
        <w:t>（</w:t>
      </w:r>
      <w:r>
        <w:rPr>
          <w:sz w:val="24"/>
          <w:szCs w:val="20"/>
        </w:rPr>
        <w:t>7</w:t>
      </w:r>
      <w:r>
        <w:rPr>
          <w:rFonts w:hint="eastAsia"/>
          <w:sz w:val="24"/>
          <w:szCs w:val="20"/>
        </w:rPr>
        <w:t>）对基金剩余财产进行分配。</w:t>
      </w:r>
    </w:p>
    <w:p w:rsidR="00562FFD" w:rsidRDefault="003317D3">
      <w:pPr>
        <w:spacing w:line="360" w:lineRule="auto"/>
        <w:ind w:firstLineChars="200" w:firstLine="480"/>
        <w:rPr>
          <w:sz w:val="24"/>
          <w:szCs w:val="20"/>
        </w:rPr>
      </w:pPr>
      <w:r>
        <w:rPr>
          <w:rFonts w:ascii="宋体" w:hAnsi="宋体"/>
          <w:bCs/>
          <w:sz w:val="24"/>
          <w:szCs w:val="20"/>
        </w:rPr>
        <w:t>6</w:t>
      </w:r>
      <w:r>
        <w:rPr>
          <w:rFonts w:hint="eastAsia"/>
          <w:sz w:val="24"/>
          <w:szCs w:val="20"/>
        </w:rPr>
        <w:t>、基金财产清算的期限为</w:t>
      </w:r>
      <w:r>
        <w:rPr>
          <w:sz w:val="24"/>
          <w:szCs w:val="20"/>
        </w:rPr>
        <w:t>6</w:t>
      </w:r>
      <w:r>
        <w:rPr>
          <w:rFonts w:hint="eastAsia"/>
          <w:sz w:val="24"/>
          <w:szCs w:val="20"/>
        </w:rPr>
        <w:t>个月</w:t>
      </w:r>
      <w:r>
        <w:rPr>
          <w:rFonts w:ascii="宋体" w:hAnsi="宋体" w:hint="eastAsia"/>
          <w:bCs/>
          <w:sz w:val="24"/>
          <w:szCs w:val="20"/>
        </w:rPr>
        <w:t>，但因本基金所持证券的流动性受到限制而不能及时变现的，清算期限相应顺延</w:t>
      </w:r>
      <w:r>
        <w:rPr>
          <w:rFonts w:hint="eastAsia"/>
          <w:sz w:val="24"/>
          <w:szCs w:val="20"/>
        </w:rPr>
        <w:t>。</w:t>
      </w:r>
    </w:p>
    <w:p w:rsidR="00562FFD" w:rsidRDefault="003317D3">
      <w:pPr>
        <w:spacing w:line="360" w:lineRule="auto"/>
        <w:ind w:firstLineChars="200" w:firstLine="480"/>
        <w:rPr>
          <w:sz w:val="24"/>
          <w:szCs w:val="20"/>
        </w:rPr>
      </w:pPr>
      <w:r>
        <w:rPr>
          <w:rFonts w:hint="eastAsia"/>
          <w:sz w:val="24"/>
          <w:szCs w:val="20"/>
        </w:rPr>
        <w:t>（四）清算费用</w:t>
      </w:r>
    </w:p>
    <w:p w:rsidR="00562FFD" w:rsidRDefault="003317D3">
      <w:pPr>
        <w:spacing w:line="360" w:lineRule="auto"/>
        <w:ind w:firstLineChars="200" w:firstLine="480"/>
        <w:rPr>
          <w:sz w:val="24"/>
          <w:szCs w:val="20"/>
        </w:rPr>
      </w:pPr>
      <w:r>
        <w:rPr>
          <w:rFonts w:hint="eastAsia"/>
          <w:sz w:val="24"/>
          <w:szCs w:val="20"/>
        </w:rPr>
        <w:t>清算费用是指基金财产清算小组在进行基金财产清算过程中发生的所有合理费用，清算费用由基金财产清算小组优先从基金</w:t>
      </w:r>
      <w:r>
        <w:rPr>
          <w:rFonts w:ascii="宋体" w:hAnsi="宋体" w:hint="eastAsia"/>
          <w:bCs/>
          <w:sz w:val="24"/>
          <w:szCs w:val="20"/>
        </w:rPr>
        <w:t>剩余</w:t>
      </w:r>
      <w:r>
        <w:rPr>
          <w:rFonts w:hint="eastAsia"/>
          <w:sz w:val="24"/>
          <w:szCs w:val="20"/>
        </w:rPr>
        <w:t>财产中支付。</w:t>
      </w:r>
    </w:p>
    <w:p w:rsidR="00562FFD" w:rsidRDefault="003317D3">
      <w:pPr>
        <w:spacing w:line="360" w:lineRule="auto"/>
        <w:ind w:firstLineChars="200" w:firstLine="480"/>
        <w:rPr>
          <w:sz w:val="24"/>
          <w:szCs w:val="20"/>
        </w:rPr>
      </w:pPr>
      <w:r>
        <w:rPr>
          <w:rFonts w:hint="eastAsia"/>
          <w:sz w:val="24"/>
          <w:szCs w:val="20"/>
        </w:rPr>
        <w:t>（五）基金财产清算剩余资产的分配</w:t>
      </w:r>
    </w:p>
    <w:p w:rsidR="00562FFD" w:rsidRDefault="003317D3">
      <w:pPr>
        <w:spacing w:line="360" w:lineRule="auto"/>
        <w:ind w:firstLineChars="200" w:firstLine="480"/>
        <w:rPr>
          <w:sz w:val="24"/>
          <w:szCs w:val="20"/>
        </w:rPr>
      </w:pPr>
      <w:r>
        <w:rPr>
          <w:rFonts w:hint="eastAsia"/>
          <w:sz w:val="24"/>
          <w:szCs w:val="20"/>
        </w:rPr>
        <w:t>依据基金财产清算的分配方案，将基金财产清算后的全部剩余资产扣除基金财产清算费用、交纳所欠税款并清偿基金债务后，按基金份额持有人持有的基金份额比例进行分配。</w:t>
      </w:r>
    </w:p>
    <w:p w:rsidR="00562FFD" w:rsidRDefault="003317D3">
      <w:pPr>
        <w:spacing w:line="360" w:lineRule="auto"/>
        <w:ind w:firstLineChars="200" w:firstLine="480"/>
        <w:rPr>
          <w:sz w:val="24"/>
          <w:szCs w:val="20"/>
        </w:rPr>
      </w:pPr>
      <w:r>
        <w:rPr>
          <w:rFonts w:hint="eastAsia"/>
          <w:sz w:val="24"/>
          <w:szCs w:val="20"/>
        </w:rPr>
        <w:t>（六）基金财产清算的公告</w:t>
      </w:r>
    </w:p>
    <w:p w:rsidR="00562FFD" w:rsidRDefault="003317D3">
      <w:pPr>
        <w:spacing w:line="360" w:lineRule="auto"/>
        <w:ind w:firstLineChars="200" w:firstLine="480"/>
        <w:rPr>
          <w:sz w:val="24"/>
          <w:szCs w:val="20"/>
        </w:rPr>
      </w:pPr>
      <w:r>
        <w:rPr>
          <w:rFonts w:hint="eastAsia"/>
          <w:sz w:val="24"/>
          <w:szCs w:val="20"/>
        </w:rPr>
        <w:t>清算过程中的有关重大事项须及时公告；基金财产清算报告</w:t>
      </w:r>
      <w:proofErr w:type="gramStart"/>
      <w:r>
        <w:rPr>
          <w:rFonts w:hint="eastAsia"/>
          <w:sz w:val="24"/>
          <w:szCs w:val="20"/>
        </w:rPr>
        <w:t>经符合</w:t>
      </w:r>
      <w:proofErr w:type="gramEnd"/>
      <w:r>
        <w:rPr>
          <w:rFonts w:hint="eastAsia"/>
          <w:sz w:val="24"/>
          <w:szCs w:val="20"/>
        </w:rPr>
        <w:t>《中华人民共和国证券法》规定的会计师事务所审计并由律师事务所出具法律意见书后报中国证监会备案并公告。基金财产清算公告于基金财产清算报告报中国证监会备案后</w:t>
      </w:r>
      <w:r>
        <w:rPr>
          <w:sz w:val="24"/>
          <w:szCs w:val="20"/>
        </w:rPr>
        <w:t>5</w:t>
      </w:r>
      <w:r>
        <w:rPr>
          <w:rFonts w:hint="eastAsia"/>
          <w:sz w:val="24"/>
          <w:szCs w:val="20"/>
        </w:rPr>
        <w:t>个工作日内由基金财产清算小组进行公告</w:t>
      </w:r>
      <w:r>
        <w:rPr>
          <w:rFonts w:hint="eastAsia"/>
          <w:bCs/>
          <w:sz w:val="24"/>
          <w:szCs w:val="20"/>
        </w:rPr>
        <w:t>，基金财产清算小组应当将清算报告登载在规定网站上，并将清算报告提示性公告登载在规定报刊上</w:t>
      </w:r>
      <w:r>
        <w:rPr>
          <w:rFonts w:hint="eastAsia"/>
          <w:sz w:val="24"/>
          <w:szCs w:val="20"/>
        </w:rPr>
        <w:t>。</w:t>
      </w:r>
    </w:p>
    <w:p w:rsidR="00562FFD" w:rsidRDefault="003317D3">
      <w:pPr>
        <w:spacing w:line="360" w:lineRule="auto"/>
        <w:ind w:firstLineChars="200" w:firstLine="480"/>
        <w:rPr>
          <w:sz w:val="24"/>
          <w:szCs w:val="20"/>
        </w:rPr>
      </w:pPr>
      <w:r>
        <w:rPr>
          <w:rFonts w:hint="eastAsia"/>
          <w:sz w:val="24"/>
          <w:szCs w:val="20"/>
        </w:rPr>
        <w:t>（七）基金财产清算账册及文件的保存</w:t>
      </w:r>
    </w:p>
    <w:p w:rsidR="00562FFD" w:rsidRDefault="003317D3">
      <w:pPr>
        <w:spacing w:line="360" w:lineRule="auto"/>
        <w:ind w:firstLineChars="200" w:firstLine="480"/>
        <w:rPr>
          <w:sz w:val="24"/>
          <w:szCs w:val="20"/>
        </w:rPr>
      </w:pPr>
      <w:r>
        <w:rPr>
          <w:rFonts w:hint="eastAsia"/>
          <w:sz w:val="24"/>
          <w:szCs w:val="20"/>
        </w:rPr>
        <w:t>基金财产清算账册及有关文件由基金托管人保存，保存期限不少于法律法规规定的最低期限。</w:t>
      </w:r>
    </w:p>
    <w:p w:rsidR="00562FFD" w:rsidRDefault="003317D3">
      <w:pPr>
        <w:spacing w:line="360" w:lineRule="auto"/>
        <w:ind w:firstLineChars="200" w:firstLine="482"/>
        <w:rPr>
          <w:rFonts w:ascii="宋体" w:hAnsi="宋体"/>
          <w:b/>
          <w:sz w:val="24"/>
        </w:rPr>
      </w:pPr>
      <w:r>
        <w:rPr>
          <w:rFonts w:ascii="宋体" w:hAnsi="宋体" w:hint="eastAsia"/>
          <w:b/>
          <w:sz w:val="24"/>
        </w:rPr>
        <w:t>四、争议解决方式</w:t>
      </w:r>
    </w:p>
    <w:p w:rsidR="00562FFD" w:rsidRDefault="003317D3">
      <w:pPr>
        <w:spacing w:line="360" w:lineRule="auto"/>
        <w:ind w:firstLineChars="200" w:firstLine="480"/>
        <w:rPr>
          <w:rFonts w:ascii="宋体" w:hAnsi="宋体"/>
          <w:sz w:val="24"/>
        </w:rPr>
      </w:pPr>
      <w:r>
        <w:rPr>
          <w:rFonts w:ascii="宋体" w:hAnsi="宋体" w:hint="eastAsia"/>
          <w:bCs/>
          <w:sz w:val="24"/>
        </w:rPr>
        <w:t>各方当事人同意，</w:t>
      </w:r>
      <w:r>
        <w:rPr>
          <w:rFonts w:ascii="宋体" w:hAnsi="宋体" w:hint="eastAsia"/>
          <w:sz w:val="24"/>
        </w:rPr>
        <w:t>因《基金合同》</w:t>
      </w:r>
      <w:r>
        <w:rPr>
          <w:rFonts w:ascii="宋体" w:hAnsi="宋体" w:hint="eastAsia"/>
          <w:bCs/>
          <w:sz w:val="24"/>
        </w:rPr>
        <w:t>而</w:t>
      </w:r>
      <w:r>
        <w:rPr>
          <w:rFonts w:ascii="宋体" w:hAnsi="宋体" w:hint="eastAsia"/>
          <w:sz w:val="24"/>
        </w:rPr>
        <w:t>产生</w:t>
      </w:r>
      <w:r>
        <w:rPr>
          <w:rFonts w:ascii="宋体" w:hAnsi="宋体" w:hint="eastAsia"/>
          <w:bCs/>
          <w:sz w:val="24"/>
        </w:rPr>
        <w:t>的</w:t>
      </w:r>
      <w:r>
        <w:rPr>
          <w:rFonts w:ascii="宋体" w:hAnsi="宋体" w:hint="eastAsia"/>
          <w:sz w:val="24"/>
        </w:rPr>
        <w:t>或与</w:t>
      </w:r>
      <w:r>
        <w:rPr>
          <w:rFonts w:ascii="宋体" w:hAnsi="宋体" w:hint="eastAsia"/>
          <w:bCs/>
          <w:sz w:val="24"/>
        </w:rPr>
        <w:t>《基金合同》有关</w:t>
      </w:r>
      <w:r>
        <w:rPr>
          <w:rFonts w:ascii="宋体" w:hAnsi="宋体" w:hint="eastAsia"/>
          <w:sz w:val="24"/>
        </w:rPr>
        <w:t>的</w:t>
      </w:r>
      <w:r>
        <w:rPr>
          <w:rFonts w:ascii="宋体" w:hAnsi="宋体" w:hint="eastAsia"/>
          <w:bCs/>
          <w:sz w:val="24"/>
        </w:rPr>
        <w:t>一切</w:t>
      </w:r>
      <w:r>
        <w:rPr>
          <w:rFonts w:ascii="宋体" w:hAnsi="宋体" w:hint="eastAsia"/>
          <w:sz w:val="24"/>
        </w:rPr>
        <w:t>争议，</w:t>
      </w:r>
      <w:r>
        <w:rPr>
          <w:rFonts w:ascii="宋体" w:hAnsi="宋体" w:hint="eastAsia"/>
          <w:bCs/>
          <w:sz w:val="24"/>
        </w:rPr>
        <w:t>如经友好</w:t>
      </w:r>
      <w:r>
        <w:rPr>
          <w:rFonts w:ascii="宋体" w:hAnsi="宋体" w:hint="eastAsia"/>
          <w:sz w:val="24"/>
        </w:rPr>
        <w:t>协商</w:t>
      </w:r>
      <w:r>
        <w:rPr>
          <w:rFonts w:ascii="宋体" w:hAnsi="宋体" w:hint="eastAsia"/>
          <w:bCs/>
          <w:sz w:val="24"/>
        </w:rPr>
        <w:t>未能</w:t>
      </w:r>
      <w:r>
        <w:rPr>
          <w:rFonts w:ascii="宋体" w:hAnsi="宋体" w:hint="eastAsia"/>
          <w:sz w:val="24"/>
        </w:rPr>
        <w:t>解决的，任何一方均有权将争议提交中国国际经济贸易仲裁委员会，按照该会届时有效的仲裁规则进行仲裁。仲裁地点为北京市。仲裁裁决是终局的，对各方当事人均有约束力，除非仲裁裁决另有规定，仲裁费用、律师费用由败诉方承担。</w:t>
      </w:r>
    </w:p>
    <w:p w:rsidR="00562FFD" w:rsidRDefault="003317D3">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562FFD" w:rsidRDefault="003317D3">
      <w:pPr>
        <w:spacing w:line="360" w:lineRule="auto"/>
        <w:ind w:firstLineChars="200" w:firstLine="480"/>
        <w:rPr>
          <w:rFonts w:ascii="宋体" w:hAnsi="宋体"/>
          <w:sz w:val="24"/>
        </w:rPr>
      </w:pPr>
      <w:r>
        <w:rPr>
          <w:rFonts w:ascii="宋体" w:hAnsi="宋体" w:hint="eastAsia"/>
          <w:sz w:val="24"/>
        </w:rPr>
        <w:t>《基金合同》</w:t>
      </w:r>
      <w:r>
        <w:rPr>
          <w:rFonts w:ascii="宋体" w:hAnsi="宋体" w:hint="eastAsia"/>
          <w:bCs/>
          <w:sz w:val="24"/>
        </w:rPr>
        <w:t>受中国法律（为本基金合同之目的，不含</w:t>
      </w:r>
      <w:r>
        <w:rPr>
          <w:rFonts w:ascii="宋体" w:hAnsi="宋体"/>
          <w:bCs/>
          <w:sz w:val="24"/>
        </w:rPr>
        <w:t>港澳台</w:t>
      </w:r>
      <w:r>
        <w:rPr>
          <w:rFonts w:ascii="宋体" w:hAnsi="宋体" w:hint="eastAsia"/>
          <w:bCs/>
          <w:sz w:val="24"/>
        </w:rPr>
        <w:t>地区</w:t>
      </w:r>
      <w:r>
        <w:rPr>
          <w:rFonts w:ascii="宋体" w:hAnsi="宋体"/>
          <w:bCs/>
          <w:sz w:val="24"/>
        </w:rPr>
        <w:t>法律</w:t>
      </w:r>
      <w:r>
        <w:rPr>
          <w:rFonts w:ascii="宋体" w:hAnsi="宋体" w:hint="eastAsia"/>
          <w:bCs/>
          <w:sz w:val="24"/>
        </w:rPr>
        <w:t>）管辖</w:t>
      </w:r>
      <w:r>
        <w:rPr>
          <w:rFonts w:ascii="宋体" w:hAnsi="宋体" w:hint="eastAsia"/>
          <w:sz w:val="24"/>
        </w:rPr>
        <w:t>。</w:t>
      </w:r>
    </w:p>
    <w:p w:rsidR="00562FFD" w:rsidRDefault="003317D3">
      <w:pPr>
        <w:spacing w:line="360" w:lineRule="auto"/>
        <w:ind w:firstLineChars="200" w:firstLine="482"/>
        <w:rPr>
          <w:rFonts w:ascii="宋体" w:hAnsi="宋体"/>
          <w:b/>
          <w:sz w:val="24"/>
        </w:rPr>
      </w:pPr>
      <w:r>
        <w:rPr>
          <w:rFonts w:ascii="宋体" w:hAnsi="宋体" w:hint="eastAsia"/>
          <w:b/>
          <w:sz w:val="24"/>
        </w:rPr>
        <w:lastRenderedPageBreak/>
        <w:t>五、基金合同存放地和投资者取得基金合同的方式</w:t>
      </w:r>
    </w:p>
    <w:p w:rsidR="00562FFD" w:rsidRDefault="003317D3">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p>
    <w:p w:rsidR="00562FFD" w:rsidRDefault="003317D3">
      <w:pPr>
        <w:spacing w:line="360" w:lineRule="auto"/>
        <w:ind w:firstLineChars="200" w:firstLine="480"/>
        <w:rPr>
          <w:rFonts w:ascii="宋体" w:hAnsi="宋体"/>
          <w:bCs/>
          <w:sz w:val="24"/>
        </w:rPr>
      </w:pPr>
      <w:r>
        <w:rPr>
          <w:rFonts w:ascii="宋体" w:hAnsi="宋体"/>
          <w:bCs/>
          <w:sz w:val="24"/>
        </w:rPr>
        <w:br w:type="page"/>
      </w:r>
    </w:p>
    <w:p w:rsidR="00562FFD" w:rsidRDefault="003317D3">
      <w:pPr>
        <w:pStyle w:val="af0"/>
        <w:rPr>
          <w:rFonts w:hAnsi="宋体"/>
          <w:szCs w:val="28"/>
        </w:rPr>
      </w:pPr>
      <w:bookmarkStart w:id="97" w:name="_Toc34222312"/>
      <w:bookmarkStart w:id="98" w:name="_Toc56692703"/>
      <w:r>
        <w:rPr>
          <w:rFonts w:hint="eastAsia"/>
          <w:szCs w:val="28"/>
        </w:rPr>
        <w:lastRenderedPageBreak/>
        <w:t>第二十部分 基金托管协议的内容摘要</w:t>
      </w:r>
      <w:bookmarkEnd w:id="95"/>
      <w:bookmarkEnd w:id="96"/>
      <w:bookmarkEnd w:id="97"/>
      <w:bookmarkEnd w:id="98"/>
    </w:p>
    <w:p w:rsidR="00562FFD" w:rsidRDefault="003317D3">
      <w:pPr>
        <w:spacing w:line="360" w:lineRule="auto"/>
        <w:ind w:firstLineChars="200" w:firstLine="480"/>
        <w:rPr>
          <w:rFonts w:ascii="宋体" w:hAnsi="宋体"/>
          <w:color w:val="000000"/>
          <w:kern w:val="0"/>
          <w:sz w:val="24"/>
        </w:rPr>
      </w:pPr>
      <w:r>
        <w:rPr>
          <w:rFonts w:ascii="宋体" w:hAnsi="宋体" w:hint="eastAsia"/>
          <w:color w:val="000000"/>
          <w:kern w:val="0"/>
          <w:sz w:val="24"/>
        </w:rPr>
        <w:t>一、托管协议当事人</w:t>
      </w:r>
      <w:bookmarkStart w:id="99" w:name="_Toc48703885"/>
      <w:bookmarkStart w:id="100" w:name="_Toc22454433"/>
    </w:p>
    <w:bookmarkEnd w:id="99"/>
    <w:bookmarkEnd w:id="100"/>
    <w:p w:rsidR="00562FFD" w:rsidRDefault="003317D3">
      <w:pPr>
        <w:spacing w:line="360" w:lineRule="auto"/>
        <w:ind w:firstLineChars="200" w:firstLine="480"/>
        <w:rPr>
          <w:rFonts w:ascii="宋体" w:hAnsi="宋体"/>
          <w:sz w:val="24"/>
        </w:rPr>
      </w:pPr>
      <w:r>
        <w:rPr>
          <w:rFonts w:ascii="宋体" w:hAnsi="宋体" w:hint="eastAsia"/>
          <w:sz w:val="24"/>
        </w:rPr>
        <w:t>1、基金管理人</w:t>
      </w:r>
    </w:p>
    <w:p w:rsidR="00562FFD" w:rsidRDefault="003317D3">
      <w:pPr>
        <w:spacing w:line="360" w:lineRule="auto"/>
        <w:ind w:firstLineChars="200" w:firstLine="480"/>
        <w:rPr>
          <w:bCs/>
          <w:sz w:val="24"/>
        </w:rPr>
      </w:pPr>
      <w:bookmarkStart w:id="101" w:name="_Toc15118236"/>
      <w:r>
        <w:rPr>
          <w:rFonts w:hint="eastAsia"/>
          <w:bCs/>
          <w:sz w:val="24"/>
        </w:rPr>
        <w:t>名称：</w:t>
      </w:r>
      <w:proofErr w:type="gramStart"/>
      <w:r>
        <w:rPr>
          <w:rFonts w:hint="eastAsia"/>
          <w:bCs/>
          <w:sz w:val="24"/>
        </w:rPr>
        <w:t>天弘基金</w:t>
      </w:r>
      <w:proofErr w:type="gramEnd"/>
      <w:r>
        <w:rPr>
          <w:rFonts w:hint="eastAsia"/>
          <w:bCs/>
          <w:sz w:val="24"/>
        </w:rPr>
        <w:t>管理有限公司</w:t>
      </w:r>
    </w:p>
    <w:p w:rsidR="00562FFD" w:rsidRDefault="0013131D">
      <w:pPr>
        <w:spacing w:line="360" w:lineRule="auto"/>
        <w:ind w:firstLineChars="200" w:firstLine="480"/>
        <w:rPr>
          <w:bCs/>
          <w:sz w:val="24"/>
        </w:rPr>
      </w:pPr>
      <w:r>
        <w:rPr>
          <w:rFonts w:hint="eastAsia"/>
          <w:bCs/>
          <w:sz w:val="24"/>
        </w:rPr>
        <w:t>住所</w:t>
      </w:r>
      <w:r w:rsidR="003317D3">
        <w:rPr>
          <w:rFonts w:hint="eastAsia"/>
          <w:bCs/>
          <w:sz w:val="24"/>
        </w:rPr>
        <w:t>：</w:t>
      </w:r>
      <w:r w:rsidRPr="0013131D">
        <w:rPr>
          <w:rFonts w:hint="eastAsia"/>
          <w:bCs/>
          <w:sz w:val="24"/>
        </w:rPr>
        <w:t>天津自贸试验区（中心商务区）新华路</w:t>
      </w:r>
      <w:r w:rsidRPr="0013131D">
        <w:rPr>
          <w:rFonts w:hint="eastAsia"/>
          <w:bCs/>
          <w:sz w:val="24"/>
        </w:rPr>
        <w:t>3678</w:t>
      </w:r>
      <w:r w:rsidRPr="0013131D">
        <w:rPr>
          <w:rFonts w:hint="eastAsia"/>
          <w:bCs/>
          <w:sz w:val="24"/>
        </w:rPr>
        <w:t>号</w:t>
      </w:r>
      <w:proofErr w:type="gramStart"/>
      <w:r w:rsidRPr="0013131D">
        <w:rPr>
          <w:rFonts w:hint="eastAsia"/>
          <w:bCs/>
          <w:sz w:val="24"/>
        </w:rPr>
        <w:t>宝风大厦</w:t>
      </w:r>
      <w:proofErr w:type="gramEnd"/>
      <w:r w:rsidRPr="0013131D">
        <w:rPr>
          <w:rFonts w:hint="eastAsia"/>
          <w:bCs/>
          <w:sz w:val="24"/>
        </w:rPr>
        <w:t>23</w:t>
      </w:r>
      <w:r w:rsidRPr="0013131D">
        <w:rPr>
          <w:rFonts w:hint="eastAsia"/>
          <w:bCs/>
          <w:sz w:val="24"/>
        </w:rPr>
        <w:t>层</w:t>
      </w:r>
    </w:p>
    <w:p w:rsidR="00562FFD" w:rsidRDefault="003317D3">
      <w:pPr>
        <w:spacing w:line="360" w:lineRule="auto"/>
        <w:ind w:firstLineChars="200" w:firstLine="480"/>
        <w:rPr>
          <w:bCs/>
          <w:sz w:val="24"/>
        </w:rPr>
      </w:pPr>
      <w:r>
        <w:rPr>
          <w:rFonts w:hint="eastAsia"/>
          <w:bCs/>
          <w:sz w:val="24"/>
        </w:rPr>
        <w:t>办公地址：</w:t>
      </w:r>
      <w:r>
        <w:rPr>
          <w:rFonts w:hint="eastAsia"/>
          <w:bCs/>
          <w:sz w:val="24"/>
        </w:rPr>
        <w:t xml:space="preserve"> </w:t>
      </w:r>
      <w:r>
        <w:rPr>
          <w:rFonts w:hint="eastAsia"/>
          <w:bCs/>
          <w:sz w:val="24"/>
        </w:rPr>
        <w:t>北京市西城区月坛大厦</w:t>
      </w:r>
      <w:r>
        <w:rPr>
          <w:rFonts w:hint="eastAsia"/>
          <w:bCs/>
          <w:sz w:val="24"/>
        </w:rPr>
        <w:t>A</w:t>
      </w:r>
      <w:r>
        <w:rPr>
          <w:rFonts w:hint="eastAsia"/>
          <w:bCs/>
          <w:sz w:val="24"/>
        </w:rPr>
        <w:t>座</w:t>
      </w:r>
      <w:r>
        <w:rPr>
          <w:rFonts w:hint="eastAsia"/>
          <w:bCs/>
          <w:sz w:val="24"/>
        </w:rPr>
        <w:t>20</w:t>
      </w:r>
      <w:r>
        <w:rPr>
          <w:rFonts w:hint="eastAsia"/>
          <w:bCs/>
          <w:sz w:val="24"/>
        </w:rPr>
        <w:t>层</w:t>
      </w:r>
    </w:p>
    <w:p w:rsidR="00562FFD" w:rsidRDefault="003317D3">
      <w:pPr>
        <w:spacing w:line="360" w:lineRule="auto"/>
        <w:ind w:firstLineChars="200" w:firstLine="480"/>
        <w:rPr>
          <w:bCs/>
          <w:sz w:val="24"/>
        </w:rPr>
      </w:pPr>
      <w:r>
        <w:rPr>
          <w:rFonts w:hint="eastAsia"/>
          <w:bCs/>
          <w:sz w:val="24"/>
        </w:rPr>
        <w:t>法定代表人：</w:t>
      </w:r>
      <w:r w:rsidR="0013131D" w:rsidRPr="0013131D">
        <w:rPr>
          <w:rFonts w:hint="eastAsia"/>
          <w:bCs/>
          <w:sz w:val="24"/>
        </w:rPr>
        <w:t>韩歆毅</w:t>
      </w:r>
      <w:bookmarkStart w:id="102" w:name="_GoBack"/>
      <w:bookmarkEnd w:id="102"/>
    </w:p>
    <w:p w:rsidR="00562FFD" w:rsidRDefault="003317D3">
      <w:pPr>
        <w:spacing w:line="360" w:lineRule="auto"/>
        <w:ind w:firstLineChars="200" w:firstLine="480"/>
        <w:rPr>
          <w:bCs/>
          <w:sz w:val="24"/>
        </w:rPr>
      </w:pPr>
      <w:r>
        <w:rPr>
          <w:rFonts w:hint="eastAsia"/>
          <w:bCs/>
          <w:sz w:val="24"/>
        </w:rPr>
        <w:t>成立日期：</w:t>
      </w:r>
      <w:r>
        <w:rPr>
          <w:rFonts w:hint="eastAsia"/>
          <w:bCs/>
          <w:sz w:val="24"/>
        </w:rPr>
        <w:t xml:space="preserve"> 2004</w:t>
      </w:r>
      <w:r>
        <w:rPr>
          <w:rFonts w:hint="eastAsia"/>
          <w:bCs/>
          <w:sz w:val="24"/>
        </w:rPr>
        <w:t>年</w:t>
      </w:r>
      <w:r>
        <w:rPr>
          <w:rFonts w:hint="eastAsia"/>
          <w:bCs/>
          <w:sz w:val="24"/>
        </w:rPr>
        <w:t>11</w:t>
      </w:r>
      <w:r>
        <w:rPr>
          <w:rFonts w:hint="eastAsia"/>
          <w:bCs/>
          <w:sz w:val="24"/>
        </w:rPr>
        <w:t>月</w:t>
      </w:r>
      <w:r>
        <w:rPr>
          <w:rFonts w:hint="eastAsia"/>
          <w:bCs/>
          <w:sz w:val="24"/>
        </w:rPr>
        <w:t>8</w:t>
      </w:r>
      <w:r>
        <w:rPr>
          <w:rFonts w:hint="eastAsia"/>
          <w:bCs/>
          <w:sz w:val="24"/>
        </w:rPr>
        <w:t>日</w:t>
      </w:r>
    </w:p>
    <w:p w:rsidR="00562FFD" w:rsidRDefault="003317D3">
      <w:pPr>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rFonts w:hint="eastAsia"/>
          <w:bCs/>
          <w:sz w:val="24"/>
        </w:rPr>
        <w:t>[2004]164</w:t>
      </w:r>
      <w:r>
        <w:rPr>
          <w:rFonts w:hint="eastAsia"/>
          <w:bCs/>
          <w:sz w:val="24"/>
        </w:rPr>
        <w:t>号</w:t>
      </w:r>
    </w:p>
    <w:p w:rsidR="00562FFD" w:rsidRDefault="003317D3">
      <w:pPr>
        <w:spacing w:line="360" w:lineRule="auto"/>
        <w:ind w:firstLineChars="200" w:firstLine="480"/>
        <w:rPr>
          <w:bCs/>
          <w:sz w:val="24"/>
        </w:rPr>
      </w:pPr>
      <w:r>
        <w:rPr>
          <w:rFonts w:hint="eastAsia"/>
          <w:bCs/>
          <w:sz w:val="24"/>
        </w:rPr>
        <w:t>组织形式：有限责任公司</w:t>
      </w:r>
    </w:p>
    <w:p w:rsidR="00562FFD" w:rsidRDefault="003317D3">
      <w:pPr>
        <w:spacing w:line="360" w:lineRule="auto"/>
        <w:ind w:firstLineChars="200" w:firstLine="480"/>
        <w:rPr>
          <w:bCs/>
          <w:sz w:val="24"/>
        </w:rPr>
      </w:pPr>
      <w:r>
        <w:rPr>
          <w:rFonts w:hint="eastAsia"/>
          <w:bCs/>
          <w:sz w:val="24"/>
        </w:rPr>
        <w:t>注册资本：人民币</w:t>
      </w:r>
      <w:r>
        <w:rPr>
          <w:rFonts w:hint="eastAsia"/>
          <w:bCs/>
          <w:sz w:val="24"/>
        </w:rPr>
        <w:t>5.143</w:t>
      </w:r>
      <w:r>
        <w:rPr>
          <w:rFonts w:hint="eastAsia"/>
          <w:bCs/>
          <w:sz w:val="24"/>
        </w:rPr>
        <w:t>亿元</w:t>
      </w:r>
    </w:p>
    <w:p w:rsidR="00562FFD" w:rsidRDefault="003317D3">
      <w:pPr>
        <w:spacing w:line="360" w:lineRule="auto"/>
        <w:ind w:firstLineChars="200" w:firstLine="480"/>
        <w:rPr>
          <w:bCs/>
          <w:sz w:val="24"/>
        </w:rPr>
      </w:pPr>
      <w:r>
        <w:rPr>
          <w:rFonts w:hint="eastAsia"/>
          <w:bCs/>
          <w:sz w:val="24"/>
        </w:rPr>
        <w:t>存续期间：持续经营</w:t>
      </w:r>
    </w:p>
    <w:bookmarkEnd w:id="101"/>
    <w:p w:rsidR="00562FFD" w:rsidRDefault="003317D3">
      <w:pPr>
        <w:spacing w:line="360" w:lineRule="auto"/>
        <w:ind w:firstLineChars="200" w:firstLine="480"/>
        <w:rPr>
          <w:rFonts w:ascii="宋体" w:hAnsi="宋体"/>
          <w:sz w:val="24"/>
        </w:rPr>
      </w:pPr>
      <w:r>
        <w:rPr>
          <w:rFonts w:ascii="宋体" w:hAnsi="宋体" w:hint="eastAsia"/>
          <w:sz w:val="24"/>
        </w:rPr>
        <w:t>2、基金托管人</w:t>
      </w:r>
    </w:p>
    <w:p w:rsidR="00562FFD" w:rsidRDefault="003317D3">
      <w:pPr>
        <w:spacing w:line="360" w:lineRule="auto"/>
        <w:ind w:firstLineChars="200" w:firstLine="480"/>
        <w:rPr>
          <w:sz w:val="24"/>
        </w:rPr>
      </w:pPr>
      <w:r>
        <w:rPr>
          <w:rFonts w:hint="eastAsia"/>
          <w:sz w:val="24"/>
        </w:rPr>
        <w:t>名称：北京银行股份有限公司</w:t>
      </w:r>
    </w:p>
    <w:p w:rsidR="00562FFD" w:rsidRDefault="003317D3">
      <w:pPr>
        <w:spacing w:line="360" w:lineRule="auto"/>
        <w:ind w:firstLineChars="200" w:firstLine="480"/>
        <w:rPr>
          <w:sz w:val="24"/>
        </w:rPr>
      </w:pPr>
      <w:r>
        <w:rPr>
          <w:rFonts w:hint="eastAsia"/>
          <w:sz w:val="24"/>
        </w:rPr>
        <w:t>住所：北京市西城区金融大街甲</w:t>
      </w:r>
      <w:r>
        <w:rPr>
          <w:rFonts w:hint="eastAsia"/>
          <w:sz w:val="24"/>
        </w:rPr>
        <w:t>17</w:t>
      </w:r>
      <w:r>
        <w:rPr>
          <w:rFonts w:hint="eastAsia"/>
          <w:sz w:val="24"/>
        </w:rPr>
        <w:t>号首层</w:t>
      </w:r>
    </w:p>
    <w:p w:rsidR="00562FFD" w:rsidRDefault="003317D3">
      <w:pPr>
        <w:spacing w:line="360" w:lineRule="auto"/>
        <w:ind w:firstLineChars="200" w:firstLine="480"/>
        <w:rPr>
          <w:sz w:val="24"/>
        </w:rPr>
      </w:pPr>
      <w:r>
        <w:rPr>
          <w:rFonts w:hint="eastAsia"/>
          <w:sz w:val="24"/>
        </w:rPr>
        <w:t>法定代表人：张东宁</w:t>
      </w:r>
    </w:p>
    <w:p w:rsidR="00562FFD" w:rsidRDefault="003317D3">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66223583</w:t>
      </w:r>
    </w:p>
    <w:p w:rsidR="00562FFD" w:rsidRDefault="003317D3">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66226045</w:t>
      </w:r>
    </w:p>
    <w:p w:rsidR="00562FFD" w:rsidRDefault="003317D3">
      <w:pPr>
        <w:spacing w:line="360" w:lineRule="auto"/>
        <w:ind w:firstLineChars="200" w:firstLine="480"/>
        <w:rPr>
          <w:sz w:val="24"/>
        </w:rPr>
      </w:pPr>
      <w:r>
        <w:rPr>
          <w:rFonts w:hint="eastAsia"/>
          <w:sz w:val="24"/>
        </w:rPr>
        <w:t>成立时间：</w:t>
      </w:r>
      <w:r>
        <w:rPr>
          <w:rFonts w:hint="eastAsia"/>
          <w:sz w:val="24"/>
        </w:rPr>
        <w:t>1996</w:t>
      </w:r>
      <w:r>
        <w:rPr>
          <w:rFonts w:hint="eastAsia"/>
          <w:sz w:val="24"/>
        </w:rPr>
        <w:t>年</w:t>
      </w:r>
      <w:r>
        <w:rPr>
          <w:rFonts w:hint="eastAsia"/>
          <w:sz w:val="24"/>
        </w:rPr>
        <w:t>1</w:t>
      </w:r>
      <w:r>
        <w:rPr>
          <w:rFonts w:hint="eastAsia"/>
          <w:sz w:val="24"/>
        </w:rPr>
        <w:t>月</w:t>
      </w:r>
      <w:r>
        <w:rPr>
          <w:rFonts w:hint="eastAsia"/>
          <w:sz w:val="24"/>
        </w:rPr>
        <w:t>29</w:t>
      </w:r>
      <w:r>
        <w:rPr>
          <w:rFonts w:hint="eastAsia"/>
          <w:sz w:val="24"/>
        </w:rPr>
        <w:t>日</w:t>
      </w:r>
    </w:p>
    <w:p w:rsidR="00562FFD" w:rsidRDefault="003317D3">
      <w:pPr>
        <w:spacing w:line="360" w:lineRule="auto"/>
        <w:ind w:firstLineChars="200" w:firstLine="480"/>
        <w:rPr>
          <w:sz w:val="24"/>
        </w:rPr>
      </w:pPr>
      <w:r>
        <w:rPr>
          <w:rFonts w:hint="eastAsia"/>
          <w:sz w:val="24"/>
        </w:rPr>
        <w:t>组织形式：股份有限公司（上市）</w:t>
      </w:r>
    </w:p>
    <w:p w:rsidR="00562FFD" w:rsidRDefault="003317D3">
      <w:pPr>
        <w:spacing w:line="360" w:lineRule="auto"/>
        <w:ind w:firstLineChars="200" w:firstLine="480"/>
        <w:rPr>
          <w:sz w:val="24"/>
        </w:rPr>
      </w:pPr>
      <w:r>
        <w:rPr>
          <w:rFonts w:hint="eastAsia"/>
          <w:sz w:val="24"/>
        </w:rPr>
        <w:t>注册资本：</w:t>
      </w:r>
      <w:r>
        <w:rPr>
          <w:rFonts w:hint="eastAsia"/>
          <w:sz w:val="24"/>
        </w:rPr>
        <w:t>2114298.4272</w:t>
      </w:r>
      <w:r>
        <w:rPr>
          <w:rFonts w:hint="eastAsia"/>
          <w:sz w:val="24"/>
        </w:rPr>
        <w:t>万元人民币</w:t>
      </w:r>
    </w:p>
    <w:p w:rsidR="00562FFD" w:rsidRDefault="003317D3">
      <w:pPr>
        <w:spacing w:line="360" w:lineRule="auto"/>
        <w:ind w:firstLineChars="200" w:firstLine="480"/>
        <w:rPr>
          <w:sz w:val="24"/>
        </w:rPr>
      </w:pPr>
      <w:r>
        <w:rPr>
          <w:rFonts w:hint="eastAsia"/>
          <w:sz w:val="24"/>
        </w:rPr>
        <w:t>批准设立机关和设立文号：中国人民银行</w:t>
      </w:r>
      <w:r>
        <w:rPr>
          <w:rFonts w:hint="eastAsia"/>
          <w:sz w:val="24"/>
        </w:rPr>
        <w:t>1995</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日《关于北京城市合作银行开业的批复》（银复</w:t>
      </w:r>
      <w:r>
        <w:rPr>
          <w:rFonts w:hint="eastAsia"/>
          <w:sz w:val="24"/>
        </w:rPr>
        <w:t>[1995]470</w:t>
      </w:r>
      <w:r>
        <w:rPr>
          <w:rFonts w:hint="eastAsia"/>
          <w:sz w:val="24"/>
        </w:rPr>
        <w:t>号）</w:t>
      </w:r>
    </w:p>
    <w:p w:rsidR="00562FFD" w:rsidRDefault="003317D3">
      <w:pPr>
        <w:spacing w:line="360" w:lineRule="auto"/>
        <w:ind w:firstLineChars="200" w:firstLine="480"/>
        <w:rPr>
          <w:sz w:val="24"/>
        </w:rPr>
      </w:pPr>
      <w:r>
        <w:rPr>
          <w:rFonts w:hint="eastAsia"/>
          <w:sz w:val="24"/>
        </w:rPr>
        <w:t>基金托管资格批准文号：中国证监会证监许可</w:t>
      </w:r>
      <w:r>
        <w:rPr>
          <w:rFonts w:hint="eastAsia"/>
          <w:sz w:val="24"/>
        </w:rPr>
        <w:t xml:space="preserve"> [2008]776</w:t>
      </w:r>
      <w:r>
        <w:rPr>
          <w:rFonts w:hint="eastAsia"/>
          <w:sz w:val="24"/>
        </w:rPr>
        <w:t>号</w:t>
      </w:r>
    </w:p>
    <w:p w:rsidR="00562FFD" w:rsidRDefault="003317D3">
      <w:pPr>
        <w:spacing w:line="360" w:lineRule="auto"/>
        <w:ind w:firstLineChars="200" w:firstLine="480"/>
        <w:rPr>
          <w:sz w:val="24"/>
        </w:rPr>
      </w:pPr>
      <w:r>
        <w:rPr>
          <w:rFonts w:hint="eastAsia"/>
          <w:sz w:val="24"/>
        </w:rPr>
        <w:t>存续期间：持续经营</w:t>
      </w:r>
    </w:p>
    <w:p w:rsidR="00562FFD" w:rsidRDefault="003317D3">
      <w:pPr>
        <w:spacing w:line="360" w:lineRule="auto"/>
        <w:ind w:firstLineChars="200" w:firstLine="480"/>
        <w:rPr>
          <w:sz w:val="24"/>
        </w:rPr>
      </w:pPr>
      <w:r>
        <w:rPr>
          <w:rFonts w:hint="eastAsia"/>
          <w:sz w:val="24"/>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w:t>
      </w:r>
      <w:r>
        <w:rPr>
          <w:rFonts w:hint="eastAsia"/>
          <w:sz w:val="24"/>
        </w:rPr>
        <w:lastRenderedPageBreak/>
        <w:t>款；外币兑换；同业外汇拆借；国际结算；结汇、售汇；外汇票据的承兑和贴现；外汇担保；资信调查、咨询、见证业务；买卖和代理买卖股票以外的外币有价证券；自营和代客外汇买卖；证券结算业务；开放式证券投资基金代销业务；债券结算代理业务；短期融资</w:t>
      </w:r>
      <w:proofErr w:type="gramStart"/>
      <w:r>
        <w:rPr>
          <w:rFonts w:hint="eastAsia"/>
          <w:sz w:val="24"/>
        </w:rPr>
        <w:t>券</w:t>
      </w:r>
      <w:proofErr w:type="gramEnd"/>
      <w:r>
        <w:rPr>
          <w:rFonts w:hint="eastAsia"/>
          <w:sz w:val="24"/>
        </w:rPr>
        <w:t>主承销业务；经中国银行业监督管理委员会批准的其它业务。</w:t>
      </w:r>
    </w:p>
    <w:p w:rsidR="00562FFD" w:rsidRDefault="003317D3">
      <w:pPr>
        <w:spacing w:line="360" w:lineRule="auto"/>
        <w:ind w:firstLineChars="200" w:firstLine="480"/>
        <w:rPr>
          <w:rFonts w:ascii="宋体" w:hAnsi="宋体"/>
          <w:color w:val="000000"/>
          <w:sz w:val="24"/>
        </w:rPr>
      </w:pPr>
      <w:r>
        <w:rPr>
          <w:rFonts w:hint="eastAsia"/>
          <w:sz w:val="24"/>
        </w:rPr>
        <w:t>二、</w:t>
      </w:r>
      <w:r>
        <w:rPr>
          <w:rFonts w:ascii="宋体" w:hAnsi="宋体" w:hint="eastAsia"/>
          <w:color w:val="000000"/>
          <w:sz w:val="24"/>
        </w:rPr>
        <w:t>基金托管人对基金管理人的业务监督和核查</w:t>
      </w:r>
      <w:bookmarkStart w:id="103" w:name="_Toc263412174"/>
      <w:bookmarkStart w:id="104" w:name="_Toc252284837"/>
      <w:bookmarkStart w:id="105" w:name="_Toc263411905"/>
      <w:bookmarkStart w:id="106" w:name="_Toc265758896"/>
      <w:bookmarkStart w:id="107" w:name="_Toc252284747"/>
    </w:p>
    <w:p w:rsidR="00562FFD" w:rsidRDefault="003317D3">
      <w:pPr>
        <w:spacing w:line="360" w:lineRule="auto"/>
        <w:ind w:firstLineChars="200" w:firstLine="480"/>
        <w:rPr>
          <w:sz w:val="24"/>
        </w:rPr>
      </w:pPr>
      <w:r>
        <w:rPr>
          <w:rFonts w:hint="eastAsia"/>
          <w:sz w:val="24"/>
        </w:rPr>
        <w:t>（一）基金托管人对基金管理人的投资行为行使监督权</w:t>
      </w:r>
    </w:p>
    <w:p w:rsidR="00562FFD" w:rsidRDefault="003317D3">
      <w:pPr>
        <w:spacing w:line="360" w:lineRule="auto"/>
        <w:ind w:firstLineChars="200" w:firstLine="480"/>
        <w:rPr>
          <w:sz w:val="24"/>
        </w:rPr>
      </w:pPr>
      <w:r>
        <w:rPr>
          <w:rFonts w:hint="eastAsia"/>
          <w:sz w:val="24"/>
        </w:rPr>
        <w:t>1</w:t>
      </w:r>
      <w:r>
        <w:rPr>
          <w:rFonts w:hint="eastAsia"/>
          <w:sz w:val="24"/>
        </w:rPr>
        <w:t>、基金托管人根据有关法律法规的规定和《基金合同》的约定，对下述基金的投资范围、投资对象进行监督。</w:t>
      </w:r>
    </w:p>
    <w:p w:rsidR="00562FFD" w:rsidRDefault="003317D3">
      <w:pPr>
        <w:spacing w:line="360" w:lineRule="auto"/>
        <w:ind w:firstLineChars="200" w:firstLine="480"/>
        <w:rPr>
          <w:bCs/>
          <w:sz w:val="24"/>
        </w:rPr>
      </w:pPr>
      <w:r>
        <w:rPr>
          <w:rFonts w:hint="eastAsia"/>
          <w:bCs/>
          <w:sz w:val="24"/>
        </w:rPr>
        <w:t>本基金的投资范围为具有良好流动性的金融工具，包括国内依法发行或上市的股票（含主板、创业板及其他经中国证监会允许上市的股票）、存托凭证、港股通标的股票、债券（包括国债、央行票据、地方政府债、金融债、企业债、公司债、证券公司短期公司债、次级债、中期票据、短期融资</w:t>
      </w:r>
      <w:proofErr w:type="gramStart"/>
      <w:r>
        <w:rPr>
          <w:rFonts w:hint="eastAsia"/>
          <w:bCs/>
          <w:sz w:val="24"/>
        </w:rPr>
        <w:t>券</w:t>
      </w:r>
      <w:proofErr w:type="gramEnd"/>
      <w:r>
        <w:rPr>
          <w:rFonts w:hint="eastAsia"/>
          <w:bCs/>
          <w:sz w:val="24"/>
        </w:rPr>
        <w:t>、超短期融资债券、可转换债券、可交换债券）、资产支持证券、债券回购、银行存款、同业存单、货币市场工具、股指期货、股票期权、国债期货、信用衍生品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562FFD" w:rsidRDefault="003317D3">
      <w:pPr>
        <w:spacing w:line="360" w:lineRule="auto"/>
        <w:ind w:firstLineChars="200" w:firstLine="480"/>
        <w:rPr>
          <w:sz w:val="24"/>
        </w:rPr>
      </w:pPr>
      <w:r>
        <w:rPr>
          <w:rFonts w:hint="eastAsia"/>
          <w:sz w:val="24"/>
        </w:rPr>
        <w:t>如法律法规或监管机构以后允许基金投资其他品种，本基金可以将其纳入投资范围。</w:t>
      </w:r>
    </w:p>
    <w:p w:rsidR="00562FFD" w:rsidRDefault="003317D3">
      <w:pPr>
        <w:spacing w:line="360" w:lineRule="auto"/>
        <w:ind w:firstLineChars="200" w:firstLine="480"/>
        <w:rPr>
          <w:sz w:val="24"/>
        </w:rPr>
      </w:pPr>
      <w:r>
        <w:rPr>
          <w:rFonts w:hint="eastAsia"/>
          <w:sz w:val="24"/>
        </w:rPr>
        <w:t>基金的投资组合比例为：本基金股票资产占基金资产的比例为</w:t>
      </w:r>
      <w:r>
        <w:rPr>
          <w:rFonts w:hint="eastAsia"/>
          <w:sz w:val="24"/>
        </w:rPr>
        <w:t>0%</w:t>
      </w:r>
      <w:r>
        <w:rPr>
          <w:rFonts w:hint="eastAsia"/>
          <w:sz w:val="24"/>
        </w:rPr>
        <w:t>－</w:t>
      </w:r>
      <w:r>
        <w:rPr>
          <w:rFonts w:hint="eastAsia"/>
          <w:sz w:val="24"/>
        </w:rPr>
        <w:t>30%</w:t>
      </w:r>
      <w:r>
        <w:rPr>
          <w:rFonts w:hint="eastAsia"/>
          <w:sz w:val="24"/>
        </w:rPr>
        <w:t>（其中投资于港股通标的股票的比例占股票资产的</w:t>
      </w:r>
      <w:r>
        <w:rPr>
          <w:rFonts w:hint="eastAsia"/>
          <w:sz w:val="24"/>
        </w:rPr>
        <w:t>0-50%</w:t>
      </w:r>
      <w:r>
        <w:rPr>
          <w:rFonts w:hint="eastAsia"/>
          <w:sz w:val="24"/>
        </w:rPr>
        <w:t>）；本基金投资同业存单的比例不超过基金资产的</w:t>
      </w:r>
      <w:r>
        <w:rPr>
          <w:rFonts w:hint="eastAsia"/>
          <w:sz w:val="24"/>
        </w:rPr>
        <w:t>20%</w:t>
      </w:r>
      <w:r>
        <w:rPr>
          <w:rFonts w:hint="eastAsia"/>
          <w:sz w:val="24"/>
        </w:rPr>
        <w:t>；本基金每个交易日日终扣除股指期货、股票期权、国债期货合约需缴纳的交易保证金后，应当保持不低于基金资产净值</w:t>
      </w:r>
      <w:r>
        <w:rPr>
          <w:rFonts w:hint="eastAsia"/>
          <w:sz w:val="24"/>
        </w:rPr>
        <w:t>5%</w:t>
      </w:r>
      <w:r>
        <w:rPr>
          <w:rFonts w:hint="eastAsia"/>
          <w:sz w:val="24"/>
        </w:rPr>
        <w:t>的现金或者到期日在一年以内的政府债券，现金不包括结算备付金、存出保证金、应收申购款等。股指期货、股票期权、国债期货及其他金融工具的投资比例符合法律法规和监管机构的规定。</w:t>
      </w:r>
    </w:p>
    <w:p w:rsidR="00562FFD" w:rsidRDefault="003317D3">
      <w:pPr>
        <w:spacing w:line="360" w:lineRule="auto"/>
        <w:ind w:firstLineChars="200" w:firstLine="480"/>
        <w:rPr>
          <w:sz w:val="24"/>
        </w:rPr>
      </w:pPr>
      <w:r>
        <w:rPr>
          <w:rFonts w:hint="eastAsia"/>
          <w:sz w:val="24"/>
        </w:rPr>
        <w:t>如果法律法规或监管机构对该比例要求有变更的，以变更后的比例为准，本基金的投资范围会做相应调整。基金托管人对基金管理人业务进行监督和核查的义务自基金合同生效日起开始履行。</w:t>
      </w:r>
    </w:p>
    <w:p w:rsidR="00562FFD" w:rsidRDefault="003317D3">
      <w:pPr>
        <w:spacing w:line="360" w:lineRule="auto"/>
        <w:ind w:firstLineChars="200" w:firstLine="480"/>
        <w:rPr>
          <w:sz w:val="24"/>
        </w:rPr>
      </w:pPr>
      <w:r>
        <w:rPr>
          <w:rFonts w:hint="eastAsia"/>
          <w:sz w:val="24"/>
        </w:rPr>
        <w:t>2</w:t>
      </w:r>
      <w:r>
        <w:rPr>
          <w:rFonts w:hint="eastAsia"/>
          <w:sz w:val="24"/>
        </w:rPr>
        <w:t>、基金托管人根据有关法律法规的规定及《基金合同》的约定对下述基金</w:t>
      </w:r>
      <w:r>
        <w:rPr>
          <w:rFonts w:hint="eastAsia"/>
          <w:sz w:val="24"/>
        </w:rPr>
        <w:lastRenderedPageBreak/>
        <w:t>投资比例进行监督：</w:t>
      </w:r>
    </w:p>
    <w:p w:rsidR="00562FFD" w:rsidRDefault="003317D3">
      <w:pPr>
        <w:spacing w:line="360" w:lineRule="auto"/>
        <w:ind w:firstLineChars="200" w:firstLine="480"/>
        <w:rPr>
          <w:sz w:val="24"/>
        </w:rPr>
      </w:pPr>
      <w:r>
        <w:rPr>
          <w:rFonts w:hint="eastAsia"/>
          <w:sz w:val="24"/>
        </w:rPr>
        <w:t>1</w:t>
      </w:r>
      <w:r>
        <w:rPr>
          <w:rFonts w:hint="eastAsia"/>
          <w:sz w:val="24"/>
        </w:rPr>
        <w:t>）本基金投资组合中股票资产占基金资产的比例为</w:t>
      </w:r>
      <w:r>
        <w:rPr>
          <w:rFonts w:hint="eastAsia"/>
          <w:sz w:val="24"/>
        </w:rPr>
        <w:t>0%</w:t>
      </w:r>
      <w:r>
        <w:rPr>
          <w:rFonts w:hint="eastAsia"/>
          <w:sz w:val="24"/>
        </w:rPr>
        <w:t>－</w:t>
      </w:r>
      <w:r>
        <w:rPr>
          <w:rFonts w:hint="eastAsia"/>
          <w:sz w:val="24"/>
        </w:rPr>
        <w:t>30%</w:t>
      </w:r>
      <w:r>
        <w:rPr>
          <w:rFonts w:hint="eastAsia"/>
          <w:sz w:val="24"/>
        </w:rPr>
        <w:t>（投资于港股通标的股票占股票资产的比例不超过</w:t>
      </w:r>
      <w:r>
        <w:rPr>
          <w:rFonts w:hint="eastAsia"/>
          <w:sz w:val="24"/>
        </w:rPr>
        <w:t>50%</w:t>
      </w:r>
      <w:r>
        <w:rPr>
          <w:rFonts w:hint="eastAsia"/>
          <w:sz w:val="24"/>
        </w:rPr>
        <w:t>）；</w:t>
      </w:r>
      <w:r>
        <w:rPr>
          <w:rFonts w:hint="eastAsia"/>
          <w:sz w:val="24"/>
        </w:rPr>
        <w:t xml:space="preserve"> </w:t>
      </w:r>
    </w:p>
    <w:p w:rsidR="00562FFD" w:rsidRDefault="003317D3">
      <w:pPr>
        <w:spacing w:line="360" w:lineRule="auto"/>
        <w:ind w:firstLineChars="200" w:firstLine="480"/>
        <w:rPr>
          <w:sz w:val="24"/>
        </w:rPr>
      </w:pPr>
      <w:r>
        <w:rPr>
          <w:rFonts w:hint="eastAsia"/>
          <w:sz w:val="24"/>
        </w:rPr>
        <w:t>2</w:t>
      </w:r>
      <w:r>
        <w:rPr>
          <w:rFonts w:hint="eastAsia"/>
          <w:sz w:val="24"/>
        </w:rPr>
        <w:t>）本基金每个交易日日终扣除股指期货、股票期权、国债期货合约需缴纳的交易保证金后，应当保持不低于基金资产净值</w:t>
      </w:r>
      <w:r>
        <w:rPr>
          <w:rFonts w:hint="eastAsia"/>
          <w:sz w:val="24"/>
        </w:rPr>
        <w:t>5</w:t>
      </w:r>
      <w:r>
        <w:rPr>
          <w:rFonts w:hint="eastAsia"/>
          <w:sz w:val="24"/>
        </w:rPr>
        <w:t>％的现金或者到期日在一年以内的政府债券，现金不包括结算备付金、存出保证金、应收申购款等；</w:t>
      </w:r>
    </w:p>
    <w:p w:rsidR="00562FFD" w:rsidRDefault="003317D3">
      <w:pPr>
        <w:spacing w:line="360" w:lineRule="auto"/>
        <w:ind w:firstLineChars="200" w:firstLine="480"/>
        <w:rPr>
          <w:sz w:val="24"/>
        </w:rPr>
      </w:pPr>
      <w:r>
        <w:rPr>
          <w:rFonts w:hint="eastAsia"/>
          <w:sz w:val="24"/>
        </w:rPr>
        <w:t>3</w:t>
      </w:r>
      <w:r>
        <w:rPr>
          <w:rFonts w:hint="eastAsia"/>
          <w:sz w:val="24"/>
        </w:rPr>
        <w:t>）本基金持有一家公司发行的证券（同一家公司在内地和香港同时上市的</w:t>
      </w:r>
      <w:r>
        <w:rPr>
          <w:rFonts w:hint="eastAsia"/>
          <w:sz w:val="24"/>
        </w:rPr>
        <w:t>A+H</w:t>
      </w:r>
      <w:r>
        <w:rPr>
          <w:rFonts w:hint="eastAsia"/>
          <w:sz w:val="24"/>
        </w:rPr>
        <w:t>股合并计算），其市值不超过基金资产净值的</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4</w:t>
      </w:r>
      <w:r>
        <w:rPr>
          <w:rFonts w:hint="eastAsia"/>
          <w:sz w:val="24"/>
        </w:rPr>
        <w:t>）本基金管理人管理的全部基金持有一家公司发行的证券（同一家公司在内地和香港同时上市的</w:t>
      </w:r>
      <w:r>
        <w:rPr>
          <w:rFonts w:hint="eastAsia"/>
          <w:sz w:val="24"/>
        </w:rPr>
        <w:t>A+H</w:t>
      </w:r>
      <w:r>
        <w:rPr>
          <w:rFonts w:hint="eastAsia"/>
          <w:sz w:val="24"/>
        </w:rPr>
        <w:t>股合并计算），不超过该证券的</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5</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6</w:t>
      </w:r>
      <w:r>
        <w:rPr>
          <w:rFonts w:hint="eastAsia"/>
          <w:sz w:val="24"/>
        </w:rPr>
        <w:t>）本基金持有的全部资产支持证券，其市值不得超过基金资产净值的</w:t>
      </w:r>
      <w:r>
        <w:rPr>
          <w:rFonts w:hint="eastAsia"/>
          <w:sz w:val="24"/>
        </w:rPr>
        <w:t>20</w:t>
      </w:r>
      <w:r>
        <w:rPr>
          <w:rFonts w:hint="eastAsia"/>
          <w:sz w:val="24"/>
        </w:rPr>
        <w:t>％；</w:t>
      </w:r>
    </w:p>
    <w:p w:rsidR="00562FFD" w:rsidRDefault="003317D3">
      <w:pPr>
        <w:spacing w:line="360" w:lineRule="auto"/>
        <w:ind w:firstLineChars="200" w:firstLine="480"/>
        <w:rPr>
          <w:sz w:val="24"/>
        </w:rPr>
      </w:pPr>
      <w:r>
        <w:rPr>
          <w:rFonts w:hint="eastAsia"/>
          <w:sz w:val="24"/>
        </w:rPr>
        <w:t>7</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8</w:t>
      </w:r>
      <w:r>
        <w:rPr>
          <w:rFonts w:hint="eastAsia"/>
          <w:sz w:val="24"/>
        </w:rPr>
        <w:t>）本基金管理人管理的全部基金投资于同一原始权益人的各类资产支持证券，不得超过其各类资产支持证券合计规模的</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9</w:t>
      </w:r>
      <w:r>
        <w:rPr>
          <w:rFonts w:hint="eastAsia"/>
          <w:sz w:val="24"/>
        </w:rPr>
        <w:t>）本基金应投资于信用级别评级为</w:t>
      </w:r>
      <w:r>
        <w:rPr>
          <w:rFonts w:hint="eastAsia"/>
          <w:sz w:val="24"/>
        </w:rPr>
        <w:t>BBB</w:t>
      </w:r>
      <w:r>
        <w:rPr>
          <w:rFonts w:hint="eastAsia"/>
          <w:sz w:val="24"/>
        </w:rPr>
        <w:t>以上</w:t>
      </w:r>
      <w:r>
        <w:rPr>
          <w:rFonts w:hint="eastAsia"/>
          <w:sz w:val="24"/>
        </w:rPr>
        <w:t>(</w:t>
      </w:r>
      <w:r>
        <w:rPr>
          <w:rFonts w:hint="eastAsia"/>
          <w:sz w:val="24"/>
        </w:rPr>
        <w:t>含</w:t>
      </w:r>
      <w:r>
        <w:rPr>
          <w:rFonts w:hint="eastAsia"/>
          <w:sz w:val="24"/>
        </w:rPr>
        <w:t>BBB)</w:t>
      </w:r>
      <w:r>
        <w:rPr>
          <w:rFonts w:hint="eastAsia"/>
          <w:sz w:val="24"/>
        </w:rPr>
        <w:t>的资产支持证券。基金持有资产支持证券期间，如果其信用等级下降、不再符合投资标准，应在评级报告发布之日起</w:t>
      </w:r>
      <w:r>
        <w:rPr>
          <w:rFonts w:hint="eastAsia"/>
          <w:sz w:val="24"/>
        </w:rPr>
        <w:t>3</w:t>
      </w:r>
      <w:r>
        <w:rPr>
          <w:rFonts w:hint="eastAsia"/>
          <w:sz w:val="24"/>
        </w:rPr>
        <w:t>个月内予以全部卖出；</w:t>
      </w:r>
    </w:p>
    <w:p w:rsidR="00562FFD" w:rsidRDefault="003317D3">
      <w:pPr>
        <w:spacing w:line="360" w:lineRule="auto"/>
        <w:ind w:firstLineChars="200" w:firstLine="480"/>
        <w:rPr>
          <w:sz w:val="24"/>
        </w:rPr>
      </w:pPr>
      <w:r>
        <w:rPr>
          <w:rFonts w:hint="eastAsia"/>
          <w:sz w:val="24"/>
        </w:rPr>
        <w:t>10</w:t>
      </w:r>
      <w:r>
        <w:rPr>
          <w:rFonts w:hint="eastAsia"/>
          <w:sz w:val="24"/>
        </w:rPr>
        <w:t>）基金财产参与股票发行申购，本基金所申报的金额不超过本基金的总资产，本基金所申报的股票数量不超过拟发行股票公司本次发行股票的总量；</w:t>
      </w:r>
    </w:p>
    <w:p w:rsidR="00562FFD" w:rsidRDefault="003317D3">
      <w:pPr>
        <w:spacing w:line="360" w:lineRule="auto"/>
        <w:ind w:firstLineChars="200" w:firstLine="480"/>
        <w:rPr>
          <w:sz w:val="24"/>
        </w:rPr>
      </w:pPr>
      <w:r>
        <w:rPr>
          <w:rFonts w:hint="eastAsia"/>
          <w:sz w:val="24"/>
        </w:rPr>
        <w:t>11</w:t>
      </w:r>
      <w:r>
        <w:rPr>
          <w:rFonts w:hint="eastAsia"/>
          <w:sz w:val="24"/>
        </w:rPr>
        <w:t>）本基金进入全国银行间同业市场进行债券回购的资金余额不得超过基金资产净值的</w:t>
      </w:r>
      <w:r>
        <w:rPr>
          <w:rFonts w:hint="eastAsia"/>
          <w:sz w:val="24"/>
        </w:rPr>
        <w:t>40%</w:t>
      </w:r>
      <w:r>
        <w:rPr>
          <w:rFonts w:hint="eastAsia"/>
          <w:sz w:val="24"/>
        </w:rPr>
        <w:t>，进入全国银行间同业市场进行债券回购的最长期限为</w:t>
      </w:r>
      <w:r>
        <w:rPr>
          <w:rFonts w:hint="eastAsia"/>
          <w:sz w:val="24"/>
        </w:rPr>
        <w:t>1</w:t>
      </w:r>
      <w:r>
        <w:rPr>
          <w:rFonts w:hint="eastAsia"/>
          <w:sz w:val="24"/>
        </w:rPr>
        <w:t>年，债券回购到期后不得展期；</w:t>
      </w:r>
    </w:p>
    <w:p w:rsidR="00562FFD" w:rsidRDefault="003317D3">
      <w:pPr>
        <w:spacing w:line="360" w:lineRule="auto"/>
        <w:ind w:firstLineChars="200" w:firstLine="480"/>
        <w:rPr>
          <w:sz w:val="24"/>
        </w:rPr>
      </w:pPr>
      <w:r>
        <w:rPr>
          <w:rFonts w:hint="eastAsia"/>
          <w:sz w:val="24"/>
        </w:rPr>
        <w:t>12</w:t>
      </w:r>
      <w:r>
        <w:rPr>
          <w:rFonts w:hint="eastAsia"/>
          <w:sz w:val="24"/>
        </w:rPr>
        <w:t>）本基金管理人管理的全部开放式基金持有一家上市公司发行的可流通股票，不得超过该上市公司可流通股票的</w:t>
      </w:r>
      <w:r>
        <w:rPr>
          <w:rFonts w:hint="eastAsia"/>
          <w:sz w:val="24"/>
        </w:rPr>
        <w:t>15%</w:t>
      </w:r>
      <w:r>
        <w:rPr>
          <w:rFonts w:hint="eastAsia"/>
          <w:sz w:val="24"/>
        </w:rPr>
        <w:t>；本基金管理人管理的全部投资组合持有一家上市公司发行的可流通股票，不得超过该上市公司可流通股票的</w:t>
      </w:r>
      <w:r>
        <w:rPr>
          <w:rFonts w:hint="eastAsia"/>
          <w:sz w:val="24"/>
        </w:rPr>
        <w:t>30%</w:t>
      </w:r>
      <w:r>
        <w:rPr>
          <w:rFonts w:hint="eastAsia"/>
          <w:sz w:val="24"/>
        </w:rPr>
        <w:t>；</w:t>
      </w:r>
    </w:p>
    <w:p w:rsidR="00562FFD" w:rsidRDefault="003317D3">
      <w:pPr>
        <w:spacing w:line="360" w:lineRule="auto"/>
        <w:ind w:firstLineChars="200" w:firstLine="480"/>
        <w:rPr>
          <w:sz w:val="24"/>
        </w:rPr>
      </w:pPr>
      <w:r>
        <w:rPr>
          <w:rFonts w:hint="eastAsia"/>
          <w:sz w:val="24"/>
        </w:rPr>
        <w:t>13</w:t>
      </w:r>
      <w:r>
        <w:rPr>
          <w:rFonts w:hint="eastAsia"/>
          <w:sz w:val="24"/>
        </w:rPr>
        <w:t>）本基金主动投资于流动性受限资产的市值合计不得超过基金资产净值的</w:t>
      </w:r>
      <w:r>
        <w:rPr>
          <w:rFonts w:hint="eastAsia"/>
          <w:sz w:val="24"/>
        </w:rPr>
        <w:lastRenderedPageBreak/>
        <w:t>15%</w:t>
      </w:r>
      <w:r>
        <w:rPr>
          <w:rFonts w:hint="eastAsia"/>
          <w:sz w:val="24"/>
        </w:rPr>
        <w:t>；因证券市场波动、上市公司股票停牌、基金规模变动等基金管理人之外的因素致使基金不符合该比例限制的，基金管理人不得主动新增流动性受限资产的投资；</w:t>
      </w:r>
    </w:p>
    <w:p w:rsidR="00562FFD" w:rsidRDefault="003317D3">
      <w:pPr>
        <w:spacing w:line="360" w:lineRule="auto"/>
        <w:ind w:firstLineChars="200" w:firstLine="480"/>
        <w:rPr>
          <w:sz w:val="24"/>
        </w:rPr>
      </w:pPr>
      <w:r>
        <w:rPr>
          <w:rFonts w:hint="eastAsia"/>
          <w:sz w:val="24"/>
        </w:rPr>
        <w:t>14</w:t>
      </w:r>
      <w:r>
        <w:rPr>
          <w:rFonts w:hint="eastAsia"/>
          <w:sz w:val="24"/>
        </w:rPr>
        <w:t>）基金管理人承诺本基金与私募类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及中国证监会认定的其他主体为交易对手开展逆回购交易的，可接受质押品的资质要求应当与基金合同约定的投资范围保持一致；</w:t>
      </w:r>
    </w:p>
    <w:p w:rsidR="00562FFD" w:rsidRDefault="003317D3">
      <w:pPr>
        <w:spacing w:line="360" w:lineRule="auto"/>
        <w:ind w:firstLineChars="200" w:firstLine="480"/>
        <w:rPr>
          <w:sz w:val="24"/>
        </w:rPr>
      </w:pPr>
      <w:r>
        <w:rPr>
          <w:rFonts w:hint="eastAsia"/>
          <w:sz w:val="24"/>
        </w:rPr>
        <w:t>15</w:t>
      </w:r>
      <w:r>
        <w:rPr>
          <w:rFonts w:hint="eastAsia"/>
          <w:sz w:val="24"/>
        </w:rPr>
        <w:t>）本</w:t>
      </w:r>
      <w:proofErr w:type="gramStart"/>
      <w:r>
        <w:rPr>
          <w:rFonts w:hint="eastAsia"/>
          <w:sz w:val="24"/>
        </w:rPr>
        <w:t>基金基金</w:t>
      </w:r>
      <w:proofErr w:type="gramEnd"/>
      <w:r>
        <w:rPr>
          <w:rFonts w:hint="eastAsia"/>
          <w:sz w:val="24"/>
        </w:rPr>
        <w:t>总资产不得超过基金净资产的</w:t>
      </w:r>
      <w:r>
        <w:rPr>
          <w:rFonts w:hint="eastAsia"/>
          <w:sz w:val="24"/>
        </w:rPr>
        <w:t>140%</w:t>
      </w:r>
      <w:r>
        <w:rPr>
          <w:rFonts w:hint="eastAsia"/>
          <w:sz w:val="24"/>
        </w:rPr>
        <w:t>；</w:t>
      </w:r>
    </w:p>
    <w:p w:rsidR="00562FFD" w:rsidRDefault="003317D3">
      <w:pPr>
        <w:spacing w:line="360" w:lineRule="auto"/>
        <w:ind w:firstLineChars="200" w:firstLine="480"/>
        <w:rPr>
          <w:sz w:val="24"/>
        </w:rPr>
      </w:pPr>
      <w:r>
        <w:rPr>
          <w:rFonts w:hint="eastAsia"/>
          <w:sz w:val="24"/>
        </w:rPr>
        <w:t>16</w:t>
      </w:r>
      <w:r>
        <w:rPr>
          <w:rFonts w:hint="eastAsia"/>
          <w:sz w:val="24"/>
        </w:rPr>
        <w:t>）本基金投资于股指期货，还应遵循如下投资组合限制：</w:t>
      </w:r>
    </w:p>
    <w:p w:rsidR="00562FFD" w:rsidRDefault="003317D3">
      <w:pPr>
        <w:spacing w:line="360" w:lineRule="auto"/>
        <w:ind w:firstLineChars="200" w:firstLine="480"/>
        <w:rPr>
          <w:sz w:val="24"/>
        </w:rPr>
      </w:pPr>
      <w:r>
        <w:rPr>
          <w:rFonts w:hint="eastAsia"/>
          <w:sz w:val="24"/>
        </w:rPr>
        <w:t>①在任何交易日日终，持有的买入股指期货合约价值不得超过基金资产净值的</w:t>
      </w:r>
      <w:r>
        <w:rPr>
          <w:rFonts w:hint="eastAsia"/>
          <w:sz w:val="24"/>
        </w:rPr>
        <w:t>10%</w:t>
      </w:r>
      <w:r>
        <w:rPr>
          <w:rFonts w:hint="eastAsia"/>
          <w:sz w:val="24"/>
        </w:rPr>
        <w:t>；</w:t>
      </w:r>
    </w:p>
    <w:p w:rsidR="00562FFD" w:rsidRDefault="003317D3">
      <w:pPr>
        <w:spacing w:line="360" w:lineRule="auto"/>
        <w:ind w:firstLineChars="200" w:firstLine="480"/>
        <w:rPr>
          <w:sz w:val="24"/>
        </w:rPr>
      </w:pPr>
      <w:r>
        <w:rPr>
          <w:rFonts w:hint="eastAsia"/>
          <w:sz w:val="24"/>
        </w:rPr>
        <w:t>②在任何交易日日终，持有的买入国债期货和股指期货合约价值与有价证券市值之和，不得超过基金资产净值的</w:t>
      </w:r>
      <w:r>
        <w:rPr>
          <w:rFonts w:hint="eastAsia"/>
          <w:sz w:val="24"/>
        </w:rPr>
        <w:t>95%</w:t>
      </w:r>
      <w:r>
        <w:rPr>
          <w:rFonts w:hint="eastAsia"/>
          <w:sz w:val="24"/>
        </w:rPr>
        <w:t>。其中，有价证券指股票、债券（不含到期日在一年以内的政府债券）、资产支持证券、买入返售金融资产（不含质押式回购）等；</w:t>
      </w:r>
    </w:p>
    <w:p w:rsidR="00562FFD" w:rsidRDefault="003317D3">
      <w:pPr>
        <w:spacing w:line="360" w:lineRule="auto"/>
        <w:ind w:firstLineChars="200" w:firstLine="480"/>
        <w:rPr>
          <w:sz w:val="24"/>
        </w:rPr>
      </w:pPr>
      <w:r>
        <w:rPr>
          <w:rFonts w:hint="eastAsia"/>
          <w:sz w:val="24"/>
        </w:rPr>
        <w:t>③在任何交易日终，持有的卖出股指期货合约价值不得超过基金持有的股票总市值的</w:t>
      </w:r>
      <w:r>
        <w:rPr>
          <w:rFonts w:hint="eastAsia"/>
          <w:sz w:val="24"/>
        </w:rPr>
        <w:t>20%</w:t>
      </w:r>
      <w:r>
        <w:rPr>
          <w:rFonts w:hint="eastAsia"/>
          <w:sz w:val="24"/>
        </w:rPr>
        <w:t>；本基金所持有的股票市值和买入、卖出股指期货合约价值，合计（轧差计算）占基金资产的比例应当符合《基金合同》关于股票投资比例的有关规定；</w:t>
      </w:r>
    </w:p>
    <w:p w:rsidR="00562FFD" w:rsidRDefault="003317D3">
      <w:pPr>
        <w:spacing w:line="360" w:lineRule="auto"/>
        <w:ind w:firstLineChars="200" w:firstLine="480"/>
        <w:rPr>
          <w:sz w:val="24"/>
        </w:rPr>
      </w:pPr>
      <w:r>
        <w:rPr>
          <w:rFonts w:hint="eastAsia"/>
          <w:sz w:val="24"/>
        </w:rPr>
        <w:t>④在任何交易日内交易（不包括平仓）的股指期货合约的成交金额不得超过上一交易日基金资产净值的</w:t>
      </w:r>
      <w:r>
        <w:rPr>
          <w:rFonts w:hint="eastAsia"/>
          <w:sz w:val="24"/>
        </w:rPr>
        <w:t>20%</w:t>
      </w:r>
      <w:r>
        <w:rPr>
          <w:rFonts w:hint="eastAsia"/>
          <w:sz w:val="24"/>
        </w:rPr>
        <w:t>；</w:t>
      </w:r>
    </w:p>
    <w:p w:rsidR="00562FFD" w:rsidRDefault="003317D3">
      <w:pPr>
        <w:spacing w:line="360" w:lineRule="auto"/>
        <w:ind w:firstLineChars="200" w:firstLine="480"/>
        <w:rPr>
          <w:sz w:val="24"/>
        </w:rPr>
      </w:pPr>
      <w:r>
        <w:rPr>
          <w:rFonts w:hint="eastAsia"/>
          <w:sz w:val="24"/>
        </w:rPr>
        <w:t>17</w:t>
      </w:r>
      <w:r>
        <w:rPr>
          <w:rFonts w:hint="eastAsia"/>
          <w:sz w:val="24"/>
        </w:rPr>
        <w:t>）本基金投资于国债期货，还应遵循如下投资组合限制：</w:t>
      </w:r>
    </w:p>
    <w:p w:rsidR="00562FFD" w:rsidRDefault="003317D3">
      <w:pPr>
        <w:spacing w:line="360" w:lineRule="auto"/>
        <w:ind w:firstLineChars="200" w:firstLine="480"/>
        <w:rPr>
          <w:sz w:val="24"/>
        </w:rPr>
      </w:pPr>
      <w:r>
        <w:rPr>
          <w:rFonts w:hint="eastAsia"/>
          <w:sz w:val="24"/>
        </w:rPr>
        <w:t>①在任何交易日日终，本基金持有的买入国债期货合约价值，不得超过基金资产净值的</w:t>
      </w:r>
      <w:r>
        <w:rPr>
          <w:rFonts w:hint="eastAsia"/>
          <w:sz w:val="24"/>
        </w:rPr>
        <w:t>15%</w:t>
      </w:r>
      <w:r>
        <w:rPr>
          <w:rFonts w:hint="eastAsia"/>
          <w:sz w:val="24"/>
        </w:rPr>
        <w:t>；</w:t>
      </w:r>
    </w:p>
    <w:p w:rsidR="00562FFD" w:rsidRDefault="003317D3">
      <w:pPr>
        <w:spacing w:line="360" w:lineRule="auto"/>
        <w:ind w:firstLineChars="200" w:firstLine="480"/>
        <w:rPr>
          <w:sz w:val="24"/>
        </w:rPr>
      </w:pPr>
      <w:r>
        <w:rPr>
          <w:rFonts w:hint="eastAsia"/>
          <w:sz w:val="24"/>
        </w:rPr>
        <w:t>②在任何交易日日终，持有的买入国债期货和股指期货合约价值与有价证券市值之和，不得超过基金资产净值的</w:t>
      </w:r>
      <w:r>
        <w:rPr>
          <w:rFonts w:hint="eastAsia"/>
          <w:sz w:val="24"/>
        </w:rPr>
        <w:t>95%</w:t>
      </w:r>
      <w:r>
        <w:rPr>
          <w:rFonts w:hint="eastAsia"/>
          <w:sz w:val="24"/>
        </w:rPr>
        <w:t>。其中，有价证券指股票、债券（不含到期日在一年以内的政府债券）、资产支持证券、买入返售金融资产（不含质押式回购）等；</w:t>
      </w:r>
    </w:p>
    <w:p w:rsidR="00562FFD" w:rsidRDefault="003317D3">
      <w:pPr>
        <w:spacing w:line="360" w:lineRule="auto"/>
        <w:ind w:firstLineChars="200" w:firstLine="480"/>
        <w:rPr>
          <w:sz w:val="24"/>
        </w:rPr>
      </w:pPr>
      <w:r>
        <w:rPr>
          <w:rFonts w:hint="eastAsia"/>
          <w:sz w:val="24"/>
        </w:rPr>
        <w:t>③本基金在任何交易日日终，持有的卖出国债期货合约价值不得超过基金持有的债券总市值的</w:t>
      </w:r>
      <w:r>
        <w:rPr>
          <w:rFonts w:hint="eastAsia"/>
          <w:sz w:val="24"/>
        </w:rPr>
        <w:t>30%</w:t>
      </w:r>
      <w:r>
        <w:rPr>
          <w:rFonts w:hint="eastAsia"/>
          <w:sz w:val="24"/>
        </w:rPr>
        <w:t>；</w:t>
      </w:r>
    </w:p>
    <w:p w:rsidR="00562FFD" w:rsidRDefault="003317D3">
      <w:pPr>
        <w:spacing w:line="360" w:lineRule="auto"/>
        <w:ind w:firstLineChars="200" w:firstLine="480"/>
        <w:rPr>
          <w:sz w:val="24"/>
        </w:rPr>
      </w:pPr>
      <w:r>
        <w:rPr>
          <w:rFonts w:hint="eastAsia"/>
          <w:sz w:val="24"/>
        </w:rPr>
        <w:lastRenderedPageBreak/>
        <w:t>④本基金在任何交易日内交易（不包括平仓）的国债期货合约的成交金额不得超过上一交易日基金资产净值的</w:t>
      </w:r>
      <w:r>
        <w:rPr>
          <w:rFonts w:hint="eastAsia"/>
          <w:sz w:val="24"/>
        </w:rPr>
        <w:t>30%</w:t>
      </w:r>
      <w:r>
        <w:rPr>
          <w:rFonts w:hint="eastAsia"/>
          <w:sz w:val="24"/>
        </w:rPr>
        <w:t>；</w:t>
      </w:r>
    </w:p>
    <w:p w:rsidR="00562FFD" w:rsidRDefault="003317D3">
      <w:pPr>
        <w:spacing w:line="360" w:lineRule="auto"/>
        <w:ind w:firstLineChars="200" w:firstLine="480"/>
        <w:rPr>
          <w:sz w:val="24"/>
        </w:rPr>
      </w:pPr>
      <w:r>
        <w:rPr>
          <w:rFonts w:hint="eastAsia"/>
          <w:sz w:val="24"/>
        </w:rPr>
        <w:t>⑤本基金所持有的债券（不含到期日在一年以内的政府债券）市值和买入、卖出国债期货合约价值，合计（轧差计算）应当符合《基金合同》关于债券投资比例的有关约定；</w:t>
      </w:r>
    </w:p>
    <w:p w:rsidR="00562FFD" w:rsidRDefault="003317D3">
      <w:pPr>
        <w:spacing w:line="360" w:lineRule="auto"/>
        <w:ind w:firstLineChars="200" w:firstLine="480"/>
        <w:rPr>
          <w:sz w:val="24"/>
        </w:rPr>
      </w:pPr>
      <w:r>
        <w:rPr>
          <w:rFonts w:hint="eastAsia"/>
          <w:sz w:val="24"/>
        </w:rPr>
        <w:t>18</w:t>
      </w:r>
      <w:r>
        <w:rPr>
          <w:rFonts w:hint="eastAsia"/>
          <w:sz w:val="24"/>
        </w:rPr>
        <w:t>）本基金参与股票期权交易的，应当符合下列要求：基金因未平仓的期权合约支付和收取的权利金总额不得超过基金资产净值的</w:t>
      </w:r>
      <w:r>
        <w:rPr>
          <w:rFonts w:hint="eastAsia"/>
          <w:sz w:val="24"/>
        </w:rPr>
        <w:t>10%</w:t>
      </w:r>
      <w:r>
        <w:rPr>
          <w:rFonts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sz w:val="24"/>
        </w:rPr>
        <w:t>20%</w:t>
      </w:r>
      <w:r>
        <w:rPr>
          <w:rFonts w:hint="eastAsia"/>
          <w:sz w:val="24"/>
        </w:rPr>
        <w:t>。其中，合约面值按照行权价乘以合约乘数计算；基金投资股票期权应符合基金合同约定的比例限制（如股票</w:t>
      </w:r>
      <w:proofErr w:type="gramStart"/>
      <w:r>
        <w:rPr>
          <w:rFonts w:hint="eastAsia"/>
          <w:sz w:val="24"/>
        </w:rPr>
        <w:t>仓位</w:t>
      </w:r>
      <w:proofErr w:type="gramEnd"/>
      <w:r>
        <w:rPr>
          <w:rFonts w:hint="eastAsia"/>
          <w:sz w:val="24"/>
        </w:rPr>
        <w:t>、个股占比等）、投资目标和风险收益特征；</w:t>
      </w:r>
    </w:p>
    <w:p w:rsidR="00562FFD" w:rsidRDefault="003317D3">
      <w:pPr>
        <w:spacing w:line="360" w:lineRule="auto"/>
        <w:ind w:firstLineChars="200" w:firstLine="480"/>
        <w:rPr>
          <w:sz w:val="24"/>
        </w:rPr>
      </w:pPr>
      <w:r>
        <w:rPr>
          <w:rFonts w:hint="eastAsia"/>
          <w:sz w:val="24"/>
        </w:rPr>
        <w:t>19</w:t>
      </w:r>
      <w:r>
        <w:rPr>
          <w:rFonts w:hint="eastAsia"/>
          <w:sz w:val="24"/>
        </w:rPr>
        <w:t>）本基金投资存托凭证的比例限制依照境内上市交易的股票执行，与境内上市交易的股票合并计算，法律法规或监管机构另有规定从其规定；</w:t>
      </w:r>
    </w:p>
    <w:p w:rsidR="00562FFD" w:rsidRDefault="003317D3">
      <w:pPr>
        <w:spacing w:line="360" w:lineRule="auto"/>
        <w:ind w:firstLineChars="200" w:firstLine="480"/>
        <w:rPr>
          <w:sz w:val="24"/>
        </w:rPr>
      </w:pPr>
      <w:r>
        <w:rPr>
          <w:rFonts w:hint="eastAsia"/>
          <w:sz w:val="24"/>
        </w:rPr>
        <w:t>20</w:t>
      </w:r>
      <w:r>
        <w:rPr>
          <w:rFonts w:hint="eastAsia"/>
          <w:sz w:val="24"/>
        </w:rPr>
        <w:t>）基金管理人承诺本基金</w:t>
      </w:r>
      <w:proofErr w:type="gramStart"/>
      <w:r>
        <w:rPr>
          <w:rFonts w:hint="eastAsia"/>
          <w:sz w:val="24"/>
        </w:rPr>
        <w:t>不</w:t>
      </w:r>
      <w:proofErr w:type="gramEnd"/>
      <w:r>
        <w:rPr>
          <w:rFonts w:hint="eastAsia"/>
          <w:sz w:val="24"/>
        </w:rPr>
        <w:t>持有具有信用保护卖方属性的信用衍生品，</w:t>
      </w:r>
      <w:proofErr w:type="gramStart"/>
      <w:r>
        <w:rPr>
          <w:rFonts w:hint="eastAsia"/>
          <w:sz w:val="24"/>
        </w:rPr>
        <w:t>不</w:t>
      </w:r>
      <w:proofErr w:type="gramEnd"/>
      <w:r>
        <w:rPr>
          <w:rFonts w:hint="eastAsia"/>
          <w:sz w:val="24"/>
        </w:rPr>
        <w:t>持有合约类信用衍生品；</w:t>
      </w:r>
    </w:p>
    <w:p w:rsidR="00562FFD" w:rsidRDefault="003317D3">
      <w:pPr>
        <w:spacing w:line="360" w:lineRule="auto"/>
        <w:ind w:firstLineChars="200" w:firstLine="480"/>
        <w:rPr>
          <w:sz w:val="24"/>
        </w:rPr>
      </w:pPr>
      <w:r>
        <w:rPr>
          <w:rFonts w:hint="eastAsia"/>
          <w:sz w:val="24"/>
        </w:rPr>
        <w:t>21</w:t>
      </w:r>
      <w:r>
        <w:rPr>
          <w:rFonts w:hint="eastAsia"/>
          <w:sz w:val="24"/>
        </w:rPr>
        <w:t>）基金管理人承诺本基金持有的信用衍生品名义本金不得超过本基金中所对应受保护债券面值的</w:t>
      </w:r>
      <w:r>
        <w:rPr>
          <w:rFonts w:hint="eastAsia"/>
          <w:sz w:val="24"/>
        </w:rPr>
        <w:t>100%</w:t>
      </w:r>
      <w:r>
        <w:rPr>
          <w:rFonts w:hint="eastAsia"/>
          <w:sz w:val="24"/>
        </w:rPr>
        <w:t>；</w:t>
      </w:r>
    </w:p>
    <w:p w:rsidR="00562FFD" w:rsidRDefault="003317D3">
      <w:pPr>
        <w:spacing w:line="360" w:lineRule="auto"/>
        <w:ind w:firstLineChars="200" w:firstLine="480"/>
        <w:rPr>
          <w:sz w:val="24"/>
        </w:rPr>
      </w:pPr>
      <w:r>
        <w:rPr>
          <w:rFonts w:hint="eastAsia"/>
          <w:sz w:val="24"/>
        </w:rPr>
        <w:t>22</w:t>
      </w:r>
      <w:r>
        <w:rPr>
          <w:rFonts w:hint="eastAsia"/>
          <w:sz w:val="24"/>
        </w:rPr>
        <w:t>）基金管理人承诺本基金投资于同一信用保护卖方的各类信用衍生品名义本金合计不得超过基金资产净值的</w:t>
      </w:r>
      <w:r>
        <w:rPr>
          <w:rFonts w:hint="eastAsia"/>
          <w:sz w:val="24"/>
        </w:rPr>
        <w:t>10%</w:t>
      </w:r>
      <w:r>
        <w:rPr>
          <w:rFonts w:hint="eastAsia"/>
          <w:sz w:val="24"/>
        </w:rPr>
        <w:t>；因证券</w:t>
      </w:r>
      <w:r>
        <w:rPr>
          <w:rFonts w:hint="eastAsia"/>
          <w:sz w:val="24"/>
        </w:rPr>
        <w:t>/</w:t>
      </w:r>
      <w:r>
        <w:rPr>
          <w:rFonts w:hint="eastAsia"/>
          <w:sz w:val="24"/>
        </w:rPr>
        <w:t>期货市场波动、证券发行人合并、基金规模变动等基金管理人之外的因素致使基金不符合前述所规定比例限制的，基金管理人应在</w:t>
      </w:r>
      <w:r>
        <w:rPr>
          <w:rFonts w:hint="eastAsia"/>
          <w:sz w:val="24"/>
        </w:rPr>
        <w:t>3</w:t>
      </w:r>
      <w:r>
        <w:rPr>
          <w:rFonts w:hint="eastAsia"/>
          <w:sz w:val="24"/>
        </w:rPr>
        <w:t>个月之内进行调整；</w:t>
      </w:r>
    </w:p>
    <w:p w:rsidR="00562FFD" w:rsidRDefault="003317D3">
      <w:pPr>
        <w:spacing w:line="360" w:lineRule="auto"/>
        <w:ind w:firstLineChars="200" w:firstLine="480"/>
        <w:rPr>
          <w:sz w:val="24"/>
        </w:rPr>
      </w:pPr>
      <w:r>
        <w:rPr>
          <w:rFonts w:hint="eastAsia"/>
          <w:sz w:val="24"/>
        </w:rPr>
        <w:t>23</w:t>
      </w:r>
      <w:r>
        <w:rPr>
          <w:rFonts w:hint="eastAsia"/>
          <w:sz w:val="24"/>
        </w:rPr>
        <w:t>）本基金投资同业存单的比例不超过基金资产的</w:t>
      </w:r>
      <w:r>
        <w:rPr>
          <w:rFonts w:hint="eastAsia"/>
          <w:sz w:val="24"/>
        </w:rPr>
        <w:t>20%</w:t>
      </w:r>
      <w:r>
        <w:rPr>
          <w:rFonts w:hint="eastAsia"/>
          <w:sz w:val="24"/>
        </w:rPr>
        <w:t>；</w:t>
      </w:r>
    </w:p>
    <w:p w:rsidR="00562FFD" w:rsidRDefault="003317D3">
      <w:pPr>
        <w:spacing w:line="360" w:lineRule="auto"/>
        <w:ind w:firstLineChars="200" w:firstLine="480"/>
        <w:rPr>
          <w:sz w:val="24"/>
        </w:rPr>
      </w:pPr>
      <w:r>
        <w:rPr>
          <w:rFonts w:hint="eastAsia"/>
          <w:sz w:val="24"/>
        </w:rPr>
        <w:t>24</w:t>
      </w:r>
      <w:r>
        <w:rPr>
          <w:rFonts w:hint="eastAsia"/>
          <w:sz w:val="24"/>
        </w:rPr>
        <w:t>）法律法规及中国证监会规定的和《基金合同》约定的其他投资限制。</w:t>
      </w:r>
    </w:p>
    <w:p w:rsidR="00562FFD" w:rsidRDefault="003317D3">
      <w:pPr>
        <w:spacing w:line="360" w:lineRule="auto"/>
        <w:ind w:firstLineChars="200" w:firstLine="480"/>
        <w:rPr>
          <w:sz w:val="24"/>
        </w:rPr>
      </w:pPr>
      <w:r>
        <w:rPr>
          <w:rFonts w:hint="eastAsia"/>
          <w:sz w:val="24"/>
        </w:rPr>
        <w:t>除上述</w:t>
      </w:r>
      <w:r>
        <w:rPr>
          <w:rFonts w:hint="eastAsia"/>
          <w:sz w:val="24"/>
        </w:rPr>
        <w:t>2</w:t>
      </w:r>
      <w:r>
        <w:rPr>
          <w:rFonts w:hint="eastAsia"/>
          <w:sz w:val="24"/>
        </w:rPr>
        <w:t>）、</w:t>
      </w:r>
      <w:r>
        <w:rPr>
          <w:rFonts w:hint="eastAsia"/>
          <w:sz w:val="24"/>
        </w:rPr>
        <w:t>9</w:t>
      </w:r>
      <w:r>
        <w:rPr>
          <w:rFonts w:hint="eastAsia"/>
          <w:sz w:val="24"/>
        </w:rPr>
        <w:t>）、</w:t>
      </w:r>
      <w:r>
        <w:rPr>
          <w:rFonts w:hint="eastAsia"/>
          <w:sz w:val="24"/>
        </w:rPr>
        <w:t>13</w:t>
      </w:r>
      <w:r>
        <w:rPr>
          <w:rFonts w:hint="eastAsia"/>
          <w:sz w:val="24"/>
        </w:rPr>
        <w:t>）、</w:t>
      </w:r>
      <w:r>
        <w:rPr>
          <w:rFonts w:hint="eastAsia"/>
          <w:sz w:val="24"/>
        </w:rPr>
        <w:t>14</w:t>
      </w:r>
      <w:r>
        <w:rPr>
          <w:rFonts w:hint="eastAsia"/>
          <w:sz w:val="24"/>
        </w:rPr>
        <w:t>）、</w:t>
      </w:r>
      <w:r>
        <w:rPr>
          <w:rFonts w:hint="eastAsia"/>
          <w:sz w:val="24"/>
        </w:rPr>
        <w:t>20</w:t>
      </w:r>
      <w:r>
        <w:rPr>
          <w:rFonts w:hint="eastAsia"/>
          <w:sz w:val="24"/>
        </w:rPr>
        <w:t>）、</w:t>
      </w:r>
      <w:r>
        <w:rPr>
          <w:rFonts w:hint="eastAsia"/>
          <w:sz w:val="24"/>
        </w:rPr>
        <w:t>22</w:t>
      </w:r>
      <w:r>
        <w:rPr>
          <w:rFonts w:hint="eastAsia"/>
          <w:sz w:val="24"/>
        </w:rPr>
        <w:t>）情形之外，因证券</w:t>
      </w:r>
      <w:r>
        <w:rPr>
          <w:rFonts w:hint="eastAsia"/>
          <w:sz w:val="24"/>
        </w:rPr>
        <w:t>/</w:t>
      </w:r>
      <w:r>
        <w:rPr>
          <w:rFonts w:hint="eastAsia"/>
          <w:sz w:val="24"/>
        </w:rPr>
        <w:t>期货市场波动、证券发行人合并、基金规模变动等基金管理人之外的因素致使基金投资比例不符合上述规定投资比例的，基金管理人应当在</w:t>
      </w:r>
      <w:r>
        <w:rPr>
          <w:rFonts w:hint="eastAsia"/>
          <w:sz w:val="24"/>
        </w:rPr>
        <w:t>10</w:t>
      </w:r>
      <w:r>
        <w:rPr>
          <w:rFonts w:hint="eastAsia"/>
          <w:sz w:val="24"/>
        </w:rPr>
        <w:t>个交易日内进行调整，但中国证监会规定的特殊情形除外。法律法规或监管机构另有规定的，从其规定。</w:t>
      </w:r>
    </w:p>
    <w:p w:rsidR="00562FFD" w:rsidRDefault="003317D3">
      <w:pPr>
        <w:spacing w:line="360" w:lineRule="auto"/>
        <w:ind w:firstLineChars="200" w:firstLine="480"/>
        <w:rPr>
          <w:sz w:val="24"/>
        </w:rPr>
      </w:pPr>
      <w:r>
        <w:rPr>
          <w:rFonts w:hint="eastAsia"/>
          <w:sz w:val="24"/>
        </w:rPr>
        <w:t>基金管理人应当自基金合同生效之日起</w:t>
      </w:r>
      <w:r>
        <w:rPr>
          <w:rFonts w:hint="eastAsia"/>
          <w:sz w:val="24"/>
        </w:rPr>
        <w:t>6</w:t>
      </w:r>
      <w:r>
        <w:rPr>
          <w:rFonts w:hint="eastAsia"/>
          <w:sz w:val="24"/>
        </w:rPr>
        <w:t>个月内使基金的投资组合比例符</w:t>
      </w:r>
      <w:r>
        <w:rPr>
          <w:rFonts w:hint="eastAsia"/>
          <w:sz w:val="24"/>
        </w:rPr>
        <w:lastRenderedPageBreak/>
        <w:t>合基金合同的有关约定。在上述期间内，本基金的投资范围、投资策略应当符合基金合同的约定。基金托管人对基金的投资的监督与检查自基金合同生效之日起开始。基金托管人不因提供监督而对基金管理人的违法违规投资等承担任何责任。</w:t>
      </w:r>
    </w:p>
    <w:p w:rsidR="00562FFD" w:rsidRDefault="003317D3">
      <w:pPr>
        <w:spacing w:line="360" w:lineRule="auto"/>
        <w:ind w:firstLineChars="200" w:firstLine="480"/>
        <w:rPr>
          <w:sz w:val="24"/>
        </w:rPr>
      </w:pPr>
      <w:r>
        <w:rPr>
          <w:rFonts w:hint="eastAsia"/>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但须提前公告。</w:t>
      </w:r>
    </w:p>
    <w:p w:rsidR="00562FFD" w:rsidRDefault="003317D3">
      <w:pPr>
        <w:spacing w:line="360" w:lineRule="auto"/>
        <w:ind w:firstLineChars="200" w:firstLine="480"/>
        <w:rPr>
          <w:sz w:val="24"/>
        </w:rPr>
      </w:pPr>
      <w:r>
        <w:rPr>
          <w:rFonts w:hint="eastAsia"/>
          <w:sz w:val="24"/>
        </w:rPr>
        <w:t>3</w:t>
      </w:r>
      <w:r>
        <w:rPr>
          <w:rFonts w:hint="eastAsia"/>
          <w:sz w:val="24"/>
        </w:rPr>
        <w:t>、基金托管人根据有关法律法规的规定及《基金合同》的约定对下述基金投资禁止行为进行监督：</w:t>
      </w:r>
    </w:p>
    <w:p w:rsidR="00562FFD" w:rsidRDefault="003317D3">
      <w:pPr>
        <w:spacing w:line="360" w:lineRule="auto"/>
        <w:ind w:firstLineChars="200" w:firstLine="480"/>
        <w:rPr>
          <w:sz w:val="24"/>
        </w:rPr>
      </w:pPr>
      <w:r>
        <w:rPr>
          <w:rFonts w:hint="eastAsia"/>
          <w:sz w:val="24"/>
        </w:rPr>
        <w:t>为维护基金份额持有人的合法权益，基金财产不得用于下列投资或者活动：</w:t>
      </w:r>
    </w:p>
    <w:p w:rsidR="00562FFD" w:rsidRDefault="003317D3">
      <w:pPr>
        <w:spacing w:line="360" w:lineRule="auto"/>
        <w:ind w:firstLineChars="200" w:firstLine="480"/>
        <w:rPr>
          <w:sz w:val="24"/>
        </w:rPr>
      </w:pPr>
      <w:r>
        <w:rPr>
          <w:rFonts w:hint="eastAsia"/>
          <w:sz w:val="24"/>
        </w:rPr>
        <w:t>（</w:t>
      </w:r>
      <w:r>
        <w:rPr>
          <w:rFonts w:hint="eastAsia"/>
          <w:sz w:val="24"/>
        </w:rPr>
        <w:t>1</w:t>
      </w:r>
      <w:r>
        <w:rPr>
          <w:rFonts w:hint="eastAsia"/>
          <w:sz w:val="24"/>
        </w:rPr>
        <w:t>）承销证券；</w:t>
      </w:r>
    </w:p>
    <w:p w:rsidR="00562FFD" w:rsidRDefault="003317D3">
      <w:pPr>
        <w:spacing w:line="360" w:lineRule="auto"/>
        <w:ind w:firstLineChars="200" w:firstLine="480"/>
        <w:rPr>
          <w:sz w:val="24"/>
        </w:rPr>
      </w:pPr>
      <w:r>
        <w:rPr>
          <w:rFonts w:hint="eastAsia"/>
          <w:sz w:val="24"/>
        </w:rPr>
        <w:t>（</w:t>
      </w:r>
      <w:r>
        <w:rPr>
          <w:rFonts w:hint="eastAsia"/>
          <w:sz w:val="24"/>
        </w:rPr>
        <w:t>2</w:t>
      </w:r>
      <w:r>
        <w:rPr>
          <w:rFonts w:hint="eastAsia"/>
          <w:sz w:val="24"/>
        </w:rPr>
        <w:t>）违反规定向他人贷款或者提供担保；</w:t>
      </w:r>
    </w:p>
    <w:p w:rsidR="00562FFD" w:rsidRDefault="003317D3">
      <w:pPr>
        <w:spacing w:line="360" w:lineRule="auto"/>
        <w:ind w:firstLineChars="200" w:firstLine="480"/>
        <w:rPr>
          <w:sz w:val="24"/>
        </w:rPr>
      </w:pPr>
      <w:r>
        <w:rPr>
          <w:rFonts w:hint="eastAsia"/>
          <w:sz w:val="24"/>
        </w:rPr>
        <w:t>（</w:t>
      </w:r>
      <w:r>
        <w:rPr>
          <w:rFonts w:hint="eastAsia"/>
          <w:sz w:val="24"/>
        </w:rPr>
        <w:t>3</w:t>
      </w:r>
      <w:r>
        <w:rPr>
          <w:rFonts w:hint="eastAsia"/>
          <w:sz w:val="24"/>
        </w:rPr>
        <w:t>）从事承担无限责任的投资；</w:t>
      </w:r>
    </w:p>
    <w:p w:rsidR="00562FFD" w:rsidRDefault="003317D3">
      <w:pPr>
        <w:spacing w:line="360" w:lineRule="auto"/>
        <w:ind w:firstLineChars="200" w:firstLine="480"/>
        <w:rPr>
          <w:sz w:val="24"/>
        </w:rPr>
      </w:pPr>
      <w:r>
        <w:rPr>
          <w:rFonts w:hint="eastAsia"/>
          <w:sz w:val="24"/>
        </w:rPr>
        <w:t>（</w:t>
      </w:r>
      <w:r>
        <w:rPr>
          <w:rFonts w:hint="eastAsia"/>
          <w:sz w:val="24"/>
        </w:rPr>
        <w:t>4</w:t>
      </w:r>
      <w:r>
        <w:rPr>
          <w:rFonts w:hint="eastAsia"/>
          <w:sz w:val="24"/>
        </w:rPr>
        <w:t>）买卖其他基金份额，但是中国证监会另有规定的除外；</w:t>
      </w:r>
    </w:p>
    <w:p w:rsidR="00562FFD" w:rsidRDefault="003317D3">
      <w:pPr>
        <w:spacing w:line="360" w:lineRule="auto"/>
        <w:ind w:firstLineChars="200" w:firstLine="480"/>
        <w:rPr>
          <w:sz w:val="24"/>
        </w:rPr>
      </w:pPr>
      <w:r>
        <w:rPr>
          <w:rFonts w:hint="eastAsia"/>
          <w:sz w:val="24"/>
        </w:rPr>
        <w:t>（</w:t>
      </w:r>
      <w:r>
        <w:rPr>
          <w:rFonts w:hint="eastAsia"/>
          <w:sz w:val="24"/>
        </w:rPr>
        <w:t>5</w:t>
      </w:r>
      <w:r>
        <w:rPr>
          <w:rFonts w:hint="eastAsia"/>
          <w:sz w:val="24"/>
        </w:rPr>
        <w:t>）向其基金管理人、基金托管人出资；</w:t>
      </w:r>
    </w:p>
    <w:p w:rsidR="00562FFD" w:rsidRDefault="003317D3">
      <w:pPr>
        <w:spacing w:line="360" w:lineRule="auto"/>
        <w:ind w:firstLineChars="200" w:firstLine="480"/>
        <w:rPr>
          <w:sz w:val="24"/>
        </w:rPr>
      </w:pPr>
      <w:r>
        <w:rPr>
          <w:rFonts w:hint="eastAsia"/>
          <w:sz w:val="24"/>
        </w:rPr>
        <w:t>（</w:t>
      </w:r>
      <w:r>
        <w:rPr>
          <w:rFonts w:hint="eastAsia"/>
          <w:sz w:val="24"/>
        </w:rPr>
        <w:t>6</w:t>
      </w:r>
      <w:r>
        <w:rPr>
          <w:rFonts w:hint="eastAsia"/>
          <w:sz w:val="24"/>
        </w:rPr>
        <w:t>）从事内幕交易、操纵证券交易价格及其他不正当的证券交易活动；</w:t>
      </w:r>
    </w:p>
    <w:p w:rsidR="00562FFD" w:rsidRDefault="003317D3">
      <w:pPr>
        <w:spacing w:line="360" w:lineRule="auto"/>
        <w:ind w:firstLineChars="200" w:firstLine="480"/>
        <w:rPr>
          <w:sz w:val="24"/>
        </w:rPr>
      </w:pPr>
      <w:r>
        <w:rPr>
          <w:rFonts w:hint="eastAsia"/>
          <w:sz w:val="24"/>
        </w:rPr>
        <w:t>（</w:t>
      </w:r>
      <w:r>
        <w:rPr>
          <w:rFonts w:hint="eastAsia"/>
          <w:sz w:val="24"/>
        </w:rPr>
        <w:t>7</w:t>
      </w:r>
      <w:r>
        <w:rPr>
          <w:rFonts w:hint="eastAsia"/>
          <w:sz w:val="24"/>
        </w:rPr>
        <w:t>）法律、行政法规和中国证监会规定禁止的其他活动。</w:t>
      </w:r>
    </w:p>
    <w:p w:rsidR="00562FFD" w:rsidRDefault="003317D3">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62FFD" w:rsidRDefault="003317D3">
      <w:pPr>
        <w:spacing w:line="360" w:lineRule="auto"/>
        <w:ind w:firstLineChars="200" w:firstLine="480"/>
        <w:rPr>
          <w:sz w:val="24"/>
        </w:rPr>
      </w:pPr>
      <w:r>
        <w:rPr>
          <w:rFonts w:hint="eastAsia"/>
          <w:sz w:val="24"/>
        </w:rPr>
        <w:t>基金管理人应在基金投资运作之前以书面形式向基金托管人提供关联方名单并在基金存续期内及时更新关联方名单，基金管理人有责任确保及时将关联方名单发送给基金托管人，否则由此造成的损失应由基金管理人承担。如基金管理人未在基金投资运作之前以书面形式向基金托管人提供关联方名单，基金托管人有权不对关联交易进行监督。在基金存续期间基金托管人按照基金年报披露的关联方名单进行监督。基金托管人对基金管理人的违法违规投资等上述事项和由此</w:t>
      </w:r>
      <w:r>
        <w:rPr>
          <w:rFonts w:hint="eastAsia"/>
          <w:sz w:val="24"/>
        </w:rPr>
        <w:lastRenderedPageBreak/>
        <w:t>造成的任何损失不承担任何责任。</w:t>
      </w:r>
    </w:p>
    <w:p w:rsidR="00562FFD" w:rsidRDefault="003317D3">
      <w:pPr>
        <w:spacing w:line="360" w:lineRule="auto"/>
        <w:ind w:firstLineChars="200" w:firstLine="480"/>
        <w:rPr>
          <w:sz w:val="24"/>
        </w:rPr>
      </w:pPr>
      <w:r>
        <w:rPr>
          <w:rFonts w:hint="eastAsia"/>
          <w:sz w:val="24"/>
        </w:rPr>
        <w:t>法律、行政法规或监管部门取消或</w:t>
      </w:r>
      <w:r>
        <w:rPr>
          <w:sz w:val="24"/>
        </w:rPr>
        <w:t>变更</w:t>
      </w:r>
      <w:r>
        <w:rPr>
          <w:rFonts w:hint="eastAsia"/>
          <w:sz w:val="24"/>
        </w:rPr>
        <w:t>上述限制，如适用于本基金，基金管理人在履行适当程序后，则本基金投资不再受相关限制或按变更后的规定执行。</w:t>
      </w:r>
    </w:p>
    <w:p w:rsidR="00562FFD" w:rsidRDefault="003317D3">
      <w:pPr>
        <w:spacing w:line="360" w:lineRule="auto"/>
        <w:ind w:firstLineChars="200" w:firstLine="480"/>
        <w:rPr>
          <w:sz w:val="24"/>
        </w:rPr>
      </w:pPr>
      <w:r>
        <w:rPr>
          <w:rFonts w:hint="eastAsia"/>
          <w:sz w:val="24"/>
        </w:rPr>
        <w:t>4</w:t>
      </w:r>
      <w:r>
        <w:rPr>
          <w:rFonts w:hint="eastAsia"/>
          <w:sz w:val="24"/>
        </w:rPr>
        <w:t>、基金托管人依据有关法律法规的规定和《基金合同》的约定对基金管理人参与银行间债券市场进行监督。</w:t>
      </w:r>
    </w:p>
    <w:p w:rsidR="00562FFD" w:rsidRDefault="003317D3">
      <w:pPr>
        <w:spacing w:line="360" w:lineRule="auto"/>
        <w:ind w:firstLineChars="200" w:firstLine="480"/>
        <w:rPr>
          <w:sz w:val="24"/>
        </w:rPr>
      </w:pPr>
      <w:r>
        <w:rPr>
          <w:rFonts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未向基金托管人提供交易对手书面名单，基金托管人有权不对交易对手是否在名单内进行监督。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w:t>
      </w:r>
      <w:r>
        <w:rPr>
          <w:rFonts w:hint="eastAsia"/>
          <w:sz w:val="24"/>
        </w:rPr>
        <w:t>3</w:t>
      </w:r>
      <w:r>
        <w:rPr>
          <w:rFonts w:hint="eastAsia"/>
          <w:sz w:val="24"/>
        </w:rPr>
        <w:t>个交易</w:t>
      </w:r>
      <w:proofErr w:type="gramStart"/>
      <w:r>
        <w:rPr>
          <w:rFonts w:hint="eastAsia"/>
          <w:sz w:val="24"/>
        </w:rPr>
        <w:t>日内与</w:t>
      </w:r>
      <w:proofErr w:type="gramEnd"/>
      <w:r>
        <w:rPr>
          <w:rFonts w:hint="eastAsia"/>
          <w:sz w:val="24"/>
        </w:rPr>
        <w:t>基金托管人协商解决。</w:t>
      </w:r>
    </w:p>
    <w:p w:rsidR="00562FFD" w:rsidRDefault="003317D3">
      <w:pPr>
        <w:spacing w:line="360" w:lineRule="auto"/>
        <w:ind w:firstLineChars="200" w:firstLine="480"/>
        <w:rPr>
          <w:sz w:val="24"/>
        </w:rPr>
      </w:pPr>
      <w:r>
        <w:rPr>
          <w:rFonts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562FFD" w:rsidRDefault="003317D3">
      <w:pPr>
        <w:spacing w:line="360" w:lineRule="auto"/>
        <w:ind w:firstLineChars="200" w:firstLine="480"/>
        <w:rPr>
          <w:sz w:val="24"/>
        </w:rPr>
      </w:pPr>
      <w:r>
        <w:rPr>
          <w:rFonts w:hint="eastAsia"/>
          <w:sz w:val="24"/>
        </w:rPr>
        <w:t>5</w:t>
      </w:r>
      <w:r>
        <w:rPr>
          <w:rFonts w:hint="eastAsia"/>
          <w:sz w:val="24"/>
        </w:rPr>
        <w:t>、基金托管人对基金管理人选择存款银行进行监督。</w:t>
      </w:r>
    </w:p>
    <w:p w:rsidR="00562FFD" w:rsidRDefault="003317D3">
      <w:pPr>
        <w:spacing w:line="360" w:lineRule="auto"/>
        <w:ind w:firstLineChars="200" w:firstLine="480"/>
        <w:rPr>
          <w:sz w:val="24"/>
        </w:rPr>
      </w:pPr>
      <w:r>
        <w:rPr>
          <w:rFonts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w:t>
      </w:r>
      <w:r>
        <w:rPr>
          <w:rFonts w:hint="eastAsia"/>
          <w:sz w:val="24"/>
        </w:rPr>
        <w:lastRenderedPageBreak/>
        <w:t>如基金管理人未向基金托管人提供符合条件的存款银行名单，基金托管人有权不对基金投资银行存款的交易对手进行监督。</w:t>
      </w:r>
      <w:r>
        <w:rPr>
          <w:rFonts w:hint="eastAsia"/>
          <w:sz w:val="24"/>
        </w:rPr>
        <w:t xml:space="preserve">     </w:t>
      </w:r>
    </w:p>
    <w:p w:rsidR="00562FFD" w:rsidRDefault="003317D3">
      <w:pPr>
        <w:spacing w:line="360" w:lineRule="auto"/>
        <w:ind w:firstLineChars="200" w:firstLine="480"/>
        <w:rPr>
          <w:sz w:val="24"/>
        </w:rPr>
      </w:pPr>
      <w:r>
        <w:rPr>
          <w:rFonts w:hint="eastAsia"/>
          <w:sz w:val="24"/>
        </w:rPr>
        <w:t>（二）基金托管人应根据有关法律法规的规定及《基金合同》的约定，对基金资产净值计算、各类基金份额净值计算、应收资金到账、基金费用开支及收入确定、基金收益分配、相关信息披露等进行监督和核查。</w:t>
      </w:r>
    </w:p>
    <w:p w:rsidR="00562FFD" w:rsidRDefault="003317D3">
      <w:pPr>
        <w:spacing w:line="360" w:lineRule="auto"/>
        <w:ind w:firstLineChars="200" w:firstLine="480"/>
        <w:rPr>
          <w:sz w:val="24"/>
        </w:rPr>
      </w:pPr>
      <w:r>
        <w:rPr>
          <w:rFonts w:hint="eastAsia"/>
          <w:sz w:val="24"/>
        </w:rPr>
        <w:t>（三）基金托管人发现基金管理人的投资运作及其他运作违反《基金法》、《基金合同》、基金托管协议及其他有关规定时，有权及时以书面形式通知基金管理人限期纠正，基金管理人应在收到通知当日及时核对，并以书面形式向基金托管人发出回函，进行解释或举证。</w:t>
      </w:r>
    </w:p>
    <w:p w:rsidR="00562FFD" w:rsidRDefault="003317D3">
      <w:pPr>
        <w:spacing w:line="360" w:lineRule="auto"/>
        <w:ind w:firstLineChars="200" w:firstLine="480"/>
        <w:rPr>
          <w:sz w:val="24"/>
        </w:rPr>
      </w:pPr>
      <w:r>
        <w:rPr>
          <w:rFonts w:hint="eastAsia"/>
          <w:sz w:val="24"/>
        </w:rPr>
        <w:t>在限期内，基金托管人有权随时对书面通知事项进行复查，督促基金管理人改正。基金管理人对基金托管人通知的违规事项未能在限期内纠正的，基金托管人应报告中国证监会。基金管理人有义务赔偿因其违反《基金合同》而致使投资者遭受的损失。</w:t>
      </w:r>
    </w:p>
    <w:p w:rsidR="00562FFD" w:rsidRDefault="003317D3">
      <w:pPr>
        <w:spacing w:line="360" w:lineRule="auto"/>
        <w:ind w:firstLineChars="200" w:firstLine="480"/>
        <w:rPr>
          <w:sz w:val="24"/>
        </w:rPr>
      </w:pPr>
      <w:r>
        <w:rPr>
          <w:rFonts w:hint="eastAsia"/>
          <w:sz w:val="24"/>
        </w:rPr>
        <w:t>基金托管人发现基金管理人的投资指令违反有关法律法规规定或者违反《基金合同》约定的，应当拒绝执行，及时书面通知基金管理人，并向中国证监会报告。</w:t>
      </w:r>
    </w:p>
    <w:p w:rsidR="00562FFD" w:rsidRDefault="003317D3">
      <w:pPr>
        <w:spacing w:line="360" w:lineRule="auto"/>
        <w:ind w:firstLineChars="200" w:firstLine="480"/>
        <w:rPr>
          <w:sz w:val="24"/>
        </w:rPr>
      </w:pPr>
      <w:r>
        <w:rPr>
          <w:rFonts w:hint="eastAsia"/>
          <w:sz w:val="24"/>
        </w:rPr>
        <w:t>基金托管人发现基金管理人依据交易程序已经生效的投资指令违反法律、行政法规和其他有关规定，或者违反《基金合同》约定的，应当及时书面通知基金管理人，并报告中国证监会。</w:t>
      </w:r>
    </w:p>
    <w:p w:rsidR="00562FFD" w:rsidRDefault="003317D3">
      <w:pPr>
        <w:spacing w:line="360" w:lineRule="auto"/>
        <w:ind w:firstLineChars="200" w:firstLine="480"/>
        <w:rPr>
          <w:sz w:val="24"/>
        </w:rPr>
      </w:pPr>
      <w:r>
        <w:rPr>
          <w:rFonts w:hint="eastAsia"/>
          <w:sz w:val="24"/>
        </w:rPr>
        <w:t>基金管理人应积极配合和协助基金托管人的监督和核查，必须在规定时间内答复基金托管人并改正，就基金托管人的合理疑义进行解释或举证，对基金托管人按照法律法规要求需向中国证监会报送基金监督报告的，基金管理人应积极配合提供相关数据资料和制度等。</w:t>
      </w:r>
    </w:p>
    <w:p w:rsidR="00562FFD" w:rsidRDefault="003317D3">
      <w:pPr>
        <w:spacing w:line="360" w:lineRule="auto"/>
        <w:ind w:firstLineChars="200" w:firstLine="480"/>
        <w:rPr>
          <w:sz w:val="24"/>
        </w:rPr>
      </w:pPr>
      <w:r>
        <w:rPr>
          <w:rFonts w:hint="eastAsia"/>
          <w:sz w:val="24"/>
        </w:rPr>
        <w:t>基金托管人发现基金管理人有重大违规行为，有权及时报告中国证监会，同时有权书面通知基金管理人限期纠正。</w:t>
      </w:r>
    </w:p>
    <w:p w:rsidR="00562FFD" w:rsidRDefault="003317D3">
      <w:pPr>
        <w:spacing w:line="360" w:lineRule="auto"/>
        <w:ind w:firstLineChars="200" w:firstLine="480"/>
        <w:rPr>
          <w:sz w:val="24"/>
        </w:rPr>
      </w:pPr>
      <w:r>
        <w:rPr>
          <w:rFonts w:hint="eastAsia"/>
          <w:sz w:val="24"/>
        </w:rPr>
        <w:t>基金管理人无正当理由，拒绝、阻挠基金托管人根据本协议规定行使监督权，或采取拖延、欺诈等手段妨碍基金托管人进行有效监督，情节严重或经基金托管人提出书面警告仍不改正的，基金托管人应报告中国证监会。基金托管人不因提供监督而对基金管理人违法违规投资等承担责任。</w:t>
      </w:r>
    </w:p>
    <w:p w:rsidR="00562FFD" w:rsidRDefault="003317D3">
      <w:pPr>
        <w:spacing w:line="360" w:lineRule="auto"/>
        <w:ind w:firstLineChars="200" w:firstLine="480"/>
        <w:rPr>
          <w:sz w:val="24"/>
        </w:rPr>
      </w:pPr>
      <w:r>
        <w:rPr>
          <w:rFonts w:hint="eastAsia"/>
          <w:sz w:val="24"/>
        </w:rPr>
        <w:lastRenderedPageBreak/>
        <w:t>基金管理人承诺其按照《中华人民共和国反洗钱法》等反洗钱相关法律法规及监管规定的要求履行反洗钱义务，不会实施任何违反前述规定的违法行为。基金管理人或其委托的销售机构应当开展客户身份识别及交易记录保存工作，在基金存续期间及时更新基金份额持有人信息，基金托管人根据相关法律法规及中国人民银行反洗钱监管规定，有权要求基金管理人向基金托管人提供基金份额持有人的身份证明文件和其他相关资料的复印件或影印件，基金托管人具备合理理由怀疑基金管理人或本基金涉嫌洗钱、恐怖融资的，基金托管人有权按照相关法律法规及中国人民银行反洗钱监管规定采取必要管控措施，并有权向反洗钱监管部门报告。</w:t>
      </w:r>
    </w:p>
    <w:p w:rsidR="00562FFD" w:rsidRDefault="003317D3">
      <w:pPr>
        <w:spacing w:line="360" w:lineRule="auto"/>
        <w:ind w:firstLineChars="200" w:firstLine="480"/>
        <w:rPr>
          <w:sz w:val="24"/>
        </w:rPr>
      </w:pPr>
      <w:r>
        <w:rPr>
          <w:rFonts w:hint="eastAsia"/>
          <w:sz w:val="24"/>
        </w:rPr>
        <w:t>（四）当基金持有特定资产且存在或潜在大额赎回申请时，根据最大限度保护基金份额持有人利益的原则，基金管理人经与基金托管人协商一致，并咨询会计师事务所意见后，可以依照法律法规及基金合同的约定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Pr>
          <w:rFonts w:hint="eastAsia"/>
          <w:sz w:val="24"/>
        </w:rPr>
        <w:t>，无需召开基金份额持有人大会审议。</w:t>
      </w:r>
    </w:p>
    <w:p w:rsidR="00562FFD" w:rsidRDefault="003317D3">
      <w:pPr>
        <w:spacing w:line="360" w:lineRule="auto"/>
        <w:ind w:firstLineChars="200" w:firstLine="480"/>
        <w:rPr>
          <w:sz w:val="24"/>
        </w:rPr>
      </w:pPr>
      <w:r>
        <w:rPr>
          <w:rFonts w:hint="eastAsia"/>
          <w:sz w:val="24"/>
        </w:rPr>
        <w:t>基金托管人依照相关法律法规的规定和基金合同的约定，对侧</w:t>
      </w:r>
      <w:proofErr w:type="gramStart"/>
      <w:r>
        <w:rPr>
          <w:rFonts w:hint="eastAsia"/>
          <w:sz w:val="24"/>
        </w:rPr>
        <w:t>袋机制</w:t>
      </w:r>
      <w:proofErr w:type="gramEnd"/>
      <w:r>
        <w:rPr>
          <w:rFonts w:hint="eastAsia"/>
          <w:sz w:val="24"/>
        </w:rPr>
        <w:t>启用、特定资产处置和信息披露等方面进行复核和监督。</w:t>
      </w:r>
      <w:proofErr w:type="gramStart"/>
      <w:r>
        <w:rPr>
          <w:rFonts w:hint="eastAsia"/>
          <w:sz w:val="24"/>
        </w:rPr>
        <w:t>侧袋机制</w:t>
      </w:r>
      <w:proofErr w:type="gramEnd"/>
      <w:r>
        <w:rPr>
          <w:rFonts w:hint="eastAsia"/>
          <w:sz w:val="24"/>
        </w:rPr>
        <w:t>实施期间的具体规则依照相关法律法规的规定和基金合同的约定执行。</w:t>
      </w:r>
    </w:p>
    <w:p w:rsidR="00562FFD" w:rsidRDefault="003317D3">
      <w:pPr>
        <w:spacing w:line="360" w:lineRule="auto"/>
        <w:ind w:firstLineChars="200" w:firstLine="480"/>
        <w:rPr>
          <w:rFonts w:ascii="宋体" w:hAnsi="宋体"/>
          <w:color w:val="000000"/>
          <w:sz w:val="24"/>
        </w:rPr>
      </w:pPr>
      <w:bookmarkStart w:id="108" w:name="_Hlt88902859"/>
      <w:bookmarkEnd w:id="103"/>
      <w:bookmarkEnd w:id="104"/>
      <w:bookmarkEnd w:id="105"/>
      <w:bookmarkEnd w:id="106"/>
      <w:bookmarkEnd w:id="107"/>
      <w:bookmarkEnd w:id="108"/>
      <w:r>
        <w:rPr>
          <w:rFonts w:hint="eastAsia"/>
          <w:sz w:val="24"/>
        </w:rPr>
        <w:t>三、</w:t>
      </w:r>
      <w:r>
        <w:rPr>
          <w:rFonts w:ascii="宋体" w:hAnsi="宋体" w:hint="eastAsia"/>
          <w:color w:val="000000"/>
          <w:sz w:val="24"/>
        </w:rPr>
        <w:t>基金管理人对基金托管人的业务核查</w:t>
      </w:r>
    </w:p>
    <w:p w:rsidR="00562FFD" w:rsidRDefault="003317D3">
      <w:pPr>
        <w:spacing w:line="360" w:lineRule="auto"/>
        <w:ind w:firstLineChars="200" w:firstLine="480"/>
        <w:rPr>
          <w:sz w:val="24"/>
        </w:rPr>
      </w:pPr>
      <w:r>
        <w:rPr>
          <w:rFonts w:hint="eastAsia"/>
          <w:sz w:val="24"/>
        </w:rPr>
        <w:t>根据有关法律法规、《基金合同》及本协议规定，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562FFD" w:rsidRDefault="003317D3">
      <w:pPr>
        <w:spacing w:line="360" w:lineRule="auto"/>
        <w:ind w:firstLineChars="200" w:firstLine="480"/>
        <w:rPr>
          <w:sz w:val="24"/>
        </w:rPr>
      </w:pPr>
      <w:r>
        <w:rPr>
          <w:rFonts w:hint="eastAsia"/>
          <w:sz w:val="24"/>
        </w:rPr>
        <w:t>基金管理人发现基金托管人擅自挪用基金财产、未对基金财产实行分账管理、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在下一个工作日及时核对确认并以书面形式向基金管理人发出回函。在限期内，基金管理人有权对通知事项进行复查，督促基金托管人改正，并予协助配合。基金托管人对基金管理人通知的违规事项未能在限期内纠正的，基金管理人应报告中国证</w:t>
      </w:r>
      <w:r>
        <w:rPr>
          <w:rFonts w:hint="eastAsia"/>
          <w:sz w:val="24"/>
        </w:rPr>
        <w:lastRenderedPageBreak/>
        <w:t>监会。若由于基金托管人过错违反本协议约定造成基金资产的直接经济损失，</w:t>
      </w:r>
      <w:proofErr w:type="gramStart"/>
      <w:r>
        <w:rPr>
          <w:rFonts w:hint="eastAsia"/>
          <w:sz w:val="24"/>
        </w:rPr>
        <w:t>则基金</w:t>
      </w:r>
      <w:proofErr w:type="gramEnd"/>
      <w:r>
        <w:rPr>
          <w:rFonts w:hint="eastAsia"/>
          <w:sz w:val="24"/>
        </w:rPr>
        <w:t>管理人有权利要求基金托管人进行赔偿。</w:t>
      </w:r>
    </w:p>
    <w:p w:rsidR="00562FFD" w:rsidRDefault="003317D3">
      <w:pPr>
        <w:spacing w:line="360" w:lineRule="auto"/>
        <w:ind w:firstLineChars="200" w:firstLine="480"/>
        <w:rPr>
          <w:sz w:val="24"/>
        </w:rPr>
      </w:pPr>
      <w:r>
        <w:rPr>
          <w:rFonts w:hint="eastAsia"/>
          <w:sz w:val="24"/>
        </w:rPr>
        <w:t>基金管理人发现基金托管人有重大违规行为，应立即报告中国证监会和银行业监督管理机构，同时通知基金托管人限期纠正。</w:t>
      </w:r>
    </w:p>
    <w:p w:rsidR="00562FFD" w:rsidRDefault="003317D3">
      <w:pPr>
        <w:spacing w:line="360" w:lineRule="auto"/>
        <w:ind w:firstLineChars="200" w:firstLine="480"/>
        <w:rPr>
          <w:sz w:val="24"/>
        </w:rPr>
      </w:pPr>
      <w:r>
        <w:rPr>
          <w:rFonts w:hint="eastAsia"/>
          <w:sz w:val="24"/>
        </w:rPr>
        <w:t>基金托管人应积极配合基金管理人的核查行为，包括但不限于：提交相关资料以</w:t>
      </w:r>
      <w:proofErr w:type="gramStart"/>
      <w:r>
        <w:rPr>
          <w:rFonts w:hint="eastAsia"/>
          <w:sz w:val="24"/>
        </w:rPr>
        <w:t>供基金</w:t>
      </w:r>
      <w:proofErr w:type="gramEnd"/>
      <w:r>
        <w:rPr>
          <w:rFonts w:hint="eastAsia"/>
          <w:sz w:val="24"/>
        </w:rPr>
        <w:t>管理人核查托管财产的完整性和真实性，在规定时间内答复基金管理人并改正。</w:t>
      </w:r>
    </w:p>
    <w:p w:rsidR="00562FFD" w:rsidRDefault="003317D3">
      <w:pPr>
        <w:spacing w:line="360" w:lineRule="auto"/>
        <w:ind w:firstLineChars="200" w:firstLine="480"/>
        <w:rPr>
          <w:sz w:val="24"/>
        </w:rPr>
      </w:pPr>
      <w:r>
        <w:rPr>
          <w:rFonts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62FFD" w:rsidRDefault="003317D3">
      <w:pPr>
        <w:spacing w:line="360" w:lineRule="auto"/>
        <w:ind w:firstLineChars="200" w:firstLine="480"/>
        <w:rPr>
          <w:rFonts w:ascii="宋体" w:hAnsi="宋体"/>
          <w:color w:val="000000"/>
          <w:kern w:val="0"/>
          <w:sz w:val="24"/>
        </w:rPr>
      </w:pPr>
      <w:r>
        <w:rPr>
          <w:rFonts w:hint="eastAsia"/>
          <w:sz w:val="24"/>
        </w:rPr>
        <w:t>四、</w:t>
      </w:r>
      <w:r>
        <w:rPr>
          <w:rFonts w:ascii="宋体" w:hAnsi="宋体" w:hint="eastAsia"/>
          <w:color w:val="000000"/>
          <w:kern w:val="0"/>
          <w:sz w:val="24"/>
        </w:rPr>
        <w:t>基金财产的保管</w:t>
      </w:r>
      <w:bookmarkStart w:id="109" w:name="_Toc164739593"/>
    </w:p>
    <w:p w:rsidR="00562FFD" w:rsidRDefault="003317D3">
      <w:pPr>
        <w:spacing w:line="360" w:lineRule="auto"/>
        <w:ind w:firstLineChars="200" w:firstLine="480"/>
        <w:rPr>
          <w:sz w:val="24"/>
        </w:rPr>
      </w:pPr>
      <w:r>
        <w:rPr>
          <w:rFonts w:hint="eastAsia"/>
          <w:sz w:val="24"/>
        </w:rPr>
        <w:t>（一）基金财产保管的原则</w:t>
      </w:r>
    </w:p>
    <w:p w:rsidR="00562FFD" w:rsidRDefault="003317D3">
      <w:pPr>
        <w:spacing w:line="360" w:lineRule="auto"/>
        <w:ind w:firstLineChars="200" w:firstLine="480"/>
        <w:rPr>
          <w:sz w:val="24"/>
        </w:rPr>
      </w:pPr>
      <w:r>
        <w:rPr>
          <w:rFonts w:hint="eastAsia"/>
          <w:sz w:val="24"/>
        </w:rPr>
        <w:t>1</w:t>
      </w:r>
      <w:r>
        <w:rPr>
          <w:rFonts w:hint="eastAsia"/>
          <w:sz w:val="24"/>
        </w:rPr>
        <w:t>、基金财产应独立于基金管理人、基金托管人的固有财产。</w:t>
      </w:r>
    </w:p>
    <w:p w:rsidR="00562FFD" w:rsidRDefault="003317D3">
      <w:pPr>
        <w:spacing w:line="360" w:lineRule="auto"/>
        <w:ind w:firstLineChars="200" w:firstLine="480"/>
        <w:rPr>
          <w:sz w:val="24"/>
        </w:rPr>
      </w:pPr>
      <w:r>
        <w:rPr>
          <w:rFonts w:hint="eastAsia"/>
          <w:sz w:val="24"/>
        </w:rPr>
        <w:t>2</w:t>
      </w:r>
      <w:r>
        <w:rPr>
          <w:rFonts w:hint="eastAsia"/>
          <w:sz w:val="24"/>
        </w:rPr>
        <w:t>、基金托管人应按照本协议约定保管基金财产。未经基金管理人的正当指令，不得自行运用、处分、分配基金的任何财产。</w:t>
      </w:r>
    </w:p>
    <w:p w:rsidR="00562FFD" w:rsidRDefault="003317D3">
      <w:pPr>
        <w:spacing w:line="360" w:lineRule="auto"/>
        <w:ind w:firstLineChars="200" w:firstLine="480"/>
        <w:rPr>
          <w:sz w:val="24"/>
        </w:rPr>
      </w:pPr>
      <w:r>
        <w:rPr>
          <w:rFonts w:hint="eastAsia"/>
          <w:sz w:val="24"/>
        </w:rPr>
        <w:t>3</w:t>
      </w:r>
      <w:r>
        <w:rPr>
          <w:rFonts w:hint="eastAsia"/>
          <w:sz w:val="24"/>
        </w:rPr>
        <w:t>、基金托管人按照规定开设基金财产的资金账户和证券账户等投资所需账户。</w:t>
      </w:r>
    </w:p>
    <w:p w:rsidR="00562FFD" w:rsidRDefault="003317D3">
      <w:pPr>
        <w:spacing w:line="360" w:lineRule="auto"/>
        <w:ind w:firstLineChars="200" w:firstLine="480"/>
        <w:rPr>
          <w:sz w:val="24"/>
        </w:rPr>
      </w:pPr>
      <w:r>
        <w:rPr>
          <w:rFonts w:hint="eastAsia"/>
          <w:sz w:val="24"/>
        </w:rPr>
        <w:t>4</w:t>
      </w:r>
      <w:r>
        <w:rPr>
          <w:rFonts w:hint="eastAsia"/>
          <w:sz w:val="24"/>
        </w:rPr>
        <w:t>、基金托管人对所托管的不同基金财产分别设置账户，与基金托管人的其他业务和其他基金的托管业务实行严格的分账管理，确保基金财产的完整与独立。</w:t>
      </w:r>
    </w:p>
    <w:p w:rsidR="00562FFD" w:rsidRDefault="003317D3">
      <w:pPr>
        <w:spacing w:line="360" w:lineRule="auto"/>
        <w:ind w:firstLineChars="200" w:firstLine="480"/>
        <w:rPr>
          <w:sz w:val="24"/>
        </w:rPr>
      </w:pPr>
      <w:r>
        <w:rPr>
          <w:rFonts w:hint="eastAsia"/>
          <w:sz w:val="24"/>
        </w:rPr>
        <w:t>5</w:t>
      </w:r>
      <w:r>
        <w:rPr>
          <w:rFonts w:hint="eastAsia"/>
          <w:sz w:val="24"/>
        </w:rPr>
        <w:t>、基金托管人根据基金管理人的指令，按照法律法规的规定、基金合同和本协议的约定保管基金财产。</w:t>
      </w:r>
    </w:p>
    <w:p w:rsidR="00562FFD" w:rsidRDefault="003317D3">
      <w:pPr>
        <w:spacing w:line="360" w:lineRule="auto"/>
        <w:ind w:firstLineChars="200" w:firstLine="480"/>
        <w:rPr>
          <w:sz w:val="24"/>
        </w:rPr>
      </w:pPr>
      <w:r>
        <w:rPr>
          <w:rFonts w:hint="eastAsia"/>
          <w:sz w:val="24"/>
        </w:rPr>
        <w:t>6</w:t>
      </w:r>
      <w:r>
        <w:rPr>
          <w:rFonts w:hint="eastAsia"/>
          <w:sz w:val="24"/>
        </w:rPr>
        <w:t>、对于因基金认（申）购、基金投资过程中产生的应收财产，应由基金管理人负责与有关当事人确定到账日期并通知基金托管人。由此给基金造成损失的，基金管理人应负责向有关当事人追偿基金的损失，基金托管人应予以必要的协助和配合，但对此不承担责任。</w:t>
      </w:r>
    </w:p>
    <w:p w:rsidR="00562FFD" w:rsidRDefault="003317D3">
      <w:pPr>
        <w:spacing w:line="360" w:lineRule="auto"/>
        <w:ind w:firstLineChars="200" w:firstLine="480"/>
        <w:rPr>
          <w:sz w:val="24"/>
        </w:rPr>
      </w:pPr>
      <w:r>
        <w:rPr>
          <w:rFonts w:hint="eastAsia"/>
          <w:sz w:val="24"/>
        </w:rPr>
        <w:t>7</w:t>
      </w:r>
      <w:r>
        <w:rPr>
          <w:rFonts w:hint="eastAsia"/>
          <w:sz w:val="24"/>
        </w:rPr>
        <w:t>、除依据法律法规和基金合同的规定外，基金托管人不得委托第三人托管基金财产。</w:t>
      </w:r>
    </w:p>
    <w:p w:rsidR="00562FFD" w:rsidRDefault="003317D3">
      <w:pPr>
        <w:spacing w:line="360" w:lineRule="auto"/>
        <w:ind w:firstLineChars="200" w:firstLine="480"/>
        <w:rPr>
          <w:sz w:val="24"/>
        </w:rPr>
      </w:pPr>
      <w:r>
        <w:rPr>
          <w:rFonts w:hint="eastAsia"/>
          <w:sz w:val="24"/>
        </w:rPr>
        <w:t>（二）募集资金的验证</w:t>
      </w:r>
    </w:p>
    <w:p w:rsidR="00562FFD" w:rsidRDefault="003317D3">
      <w:pPr>
        <w:spacing w:line="360" w:lineRule="auto"/>
        <w:ind w:firstLineChars="200" w:firstLine="480"/>
        <w:rPr>
          <w:sz w:val="24"/>
        </w:rPr>
      </w:pPr>
      <w:r>
        <w:rPr>
          <w:rFonts w:hint="eastAsia"/>
          <w:sz w:val="24"/>
        </w:rPr>
        <w:t>募集期内销售机构按销售与服务代理协议的约定，将认购资金划入基金管理</w:t>
      </w:r>
      <w:r>
        <w:rPr>
          <w:rFonts w:hint="eastAsia"/>
          <w:sz w:val="24"/>
        </w:rPr>
        <w:lastRenderedPageBreak/>
        <w:t>人在具有托管资格的商业银行开设的</w:t>
      </w:r>
      <w:proofErr w:type="gramStart"/>
      <w:r>
        <w:rPr>
          <w:rFonts w:hint="eastAsia"/>
          <w:sz w:val="24"/>
        </w:rPr>
        <w:t>天弘基金</w:t>
      </w:r>
      <w:proofErr w:type="gramEnd"/>
      <w:r>
        <w:rPr>
          <w:rFonts w:hint="eastAsia"/>
          <w:sz w:val="24"/>
        </w:rPr>
        <w:t>管理有限公司基金认购专户。该账户由基金管理人开立并管理。基金募集期满或基金管理人依据法律法规及招募说明书决定停止基金发售的，募集的基金份额总额、基金募集金额、基金份额持有人人数符合《基金法》、《运作办法》等有关规定后，由基金管理人聘请符合《证券法》规定的会计师事务所进行验资，出具验资报告，出具的验资报告应由参加验资的</w:t>
      </w:r>
      <w:r>
        <w:rPr>
          <w:rFonts w:hint="eastAsia"/>
          <w:sz w:val="24"/>
        </w:rPr>
        <w:t>2</w:t>
      </w:r>
      <w:r>
        <w:rPr>
          <w:rFonts w:hint="eastAsia"/>
          <w:sz w:val="24"/>
        </w:rPr>
        <w:t>名以上（含</w:t>
      </w:r>
      <w:r>
        <w:rPr>
          <w:rFonts w:hint="eastAsia"/>
          <w:sz w:val="24"/>
        </w:rPr>
        <w:t>2</w:t>
      </w:r>
      <w:r>
        <w:rPr>
          <w:rFonts w:hint="eastAsia"/>
          <w:sz w:val="24"/>
        </w:rPr>
        <w:t>名）中国注册会计师签章有效。</w:t>
      </w:r>
    </w:p>
    <w:p w:rsidR="00562FFD" w:rsidRDefault="003317D3">
      <w:pPr>
        <w:spacing w:line="360" w:lineRule="auto"/>
        <w:ind w:firstLineChars="200" w:firstLine="480"/>
        <w:rPr>
          <w:sz w:val="24"/>
        </w:rPr>
      </w:pPr>
      <w:proofErr w:type="gramStart"/>
      <w:r>
        <w:rPr>
          <w:rFonts w:hint="eastAsia"/>
          <w:sz w:val="24"/>
        </w:rPr>
        <w:t>若基金</w:t>
      </w:r>
      <w:proofErr w:type="gramEnd"/>
      <w:r>
        <w:rPr>
          <w:rFonts w:hint="eastAsia"/>
          <w:sz w:val="24"/>
        </w:rPr>
        <w:t>募集期限届满，未能达到《基金合同》生效的条件，由基金管理人按规定办理退款事宜。</w:t>
      </w:r>
    </w:p>
    <w:p w:rsidR="00562FFD" w:rsidRDefault="003317D3">
      <w:pPr>
        <w:spacing w:line="360" w:lineRule="auto"/>
        <w:ind w:firstLineChars="200" w:firstLine="480"/>
        <w:rPr>
          <w:sz w:val="24"/>
        </w:rPr>
      </w:pPr>
      <w:r>
        <w:rPr>
          <w:rFonts w:hint="eastAsia"/>
          <w:sz w:val="24"/>
        </w:rPr>
        <w:t>（三）基金的资产托管专户（银行账户）的开立和管理</w:t>
      </w:r>
    </w:p>
    <w:p w:rsidR="00562FFD" w:rsidRDefault="003317D3">
      <w:pPr>
        <w:spacing w:line="360" w:lineRule="auto"/>
        <w:ind w:firstLineChars="200" w:firstLine="480"/>
        <w:rPr>
          <w:sz w:val="24"/>
        </w:rPr>
      </w:pPr>
      <w:r>
        <w:rPr>
          <w:rFonts w:hint="eastAsia"/>
          <w:sz w:val="24"/>
        </w:rPr>
        <w:t>基金托管人负责本基金银行账户的开立和管理。基金托管人以本基金的名义在其营业机构开设资产托管专户，并根据基金管理人合法合</w:t>
      </w:r>
      <w:proofErr w:type="gramStart"/>
      <w:r>
        <w:rPr>
          <w:rFonts w:hint="eastAsia"/>
          <w:sz w:val="24"/>
        </w:rPr>
        <w:t>规</w:t>
      </w:r>
      <w:proofErr w:type="gramEnd"/>
      <w:r>
        <w:rPr>
          <w:rFonts w:hint="eastAsia"/>
          <w:sz w:val="24"/>
        </w:rPr>
        <w:t>的指令办理资金收付，本基金的银行预留印鉴由托管人保管和使用。基金管理人保证本基金的一切货币收支活动，包括但不限于投资、支付赎回金额、支付基金收益、收取申购款，均需通过本基金资产托管专户进行。</w:t>
      </w:r>
    </w:p>
    <w:p w:rsidR="00562FFD" w:rsidRDefault="003317D3">
      <w:pPr>
        <w:spacing w:line="360" w:lineRule="auto"/>
        <w:ind w:firstLineChars="200" w:firstLine="480"/>
        <w:rPr>
          <w:sz w:val="24"/>
        </w:rPr>
      </w:pPr>
      <w:r>
        <w:rPr>
          <w:rFonts w:hint="eastAsia"/>
          <w:sz w:val="24"/>
        </w:rPr>
        <w:t>该资产托管专户是指基金托管人在集中托管模式下，代表所托管的基金与中国证券登记结算有限责任公司进行一级结算的专用账户。</w:t>
      </w:r>
    </w:p>
    <w:p w:rsidR="00562FFD" w:rsidRDefault="003317D3">
      <w:pPr>
        <w:spacing w:line="360" w:lineRule="auto"/>
        <w:ind w:firstLineChars="200" w:firstLine="480"/>
        <w:rPr>
          <w:sz w:val="24"/>
        </w:rPr>
      </w:pPr>
      <w:r>
        <w:rPr>
          <w:rFonts w:hint="eastAsia"/>
          <w:sz w:val="24"/>
        </w:rPr>
        <w:t>基金托管人和基金管理人不得假借本基金的名义开立其他任何银行账户；亦不得使用基金的任何银行账户进行本基金业务以外的活动。</w:t>
      </w:r>
    </w:p>
    <w:p w:rsidR="00562FFD" w:rsidRDefault="003317D3">
      <w:pPr>
        <w:spacing w:line="360" w:lineRule="auto"/>
        <w:ind w:firstLineChars="200" w:firstLine="480"/>
        <w:rPr>
          <w:sz w:val="24"/>
        </w:rPr>
      </w:pPr>
      <w:r>
        <w:rPr>
          <w:rFonts w:hint="eastAsia"/>
          <w:sz w:val="24"/>
        </w:rPr>
        <w:t>资产托管专户的管理应符合《人民币银行结算账户管理办法》、《现金管理暂行条例》、《人民币利率管理规定》、《利率管理暂行规定》、《支付结算办法》以及银行业监督管理机构的其他规定。</w:t>
      </w:r>
    </w:p>
    <w:p w:rsidR="00562FFD" w:rsidRDefault="003317D3">
      <w:pPr>
        <w:spacing w:line="360" w:lineRule="auto"/>
        <w:ind w:firstLineChars="200" w:firstLine="480"/>
        <w:rPr>
          <w:sz w:val="24"/>
        </w:rPr>
      </w:pPr>
      <w:r>
        <w:rPr>
          <w:rFonts w:hint="eastAsia"/>
          <w:sz w:val="24"/>
        </w:rPr>
        <w:t>基金托管人应严格管理基金在基金托管人处开立的资产托管专户、协助基金管理人查询资产托管专户余额。</w:t>
      </w:r>
    </w:p>
    <w:p w:rsidR="00562FFD" w:rsidRDefault="003317D3">
      <w:pPr>
        <w:spacing w:line="360" w:lineRule="auto"/>
        <w:ind w:firstLineChars="200" w:firstLine="480"/>
        <w:rPr>
          <w:sz w:val="24"/>
        </w:rPr>
      </w:pPr>
      <w:r>
        <w:rPr>
          <w:rFonts w:hint="eastAsia"/>
          <w:sz w:val="24"/>
        </w:rPr>
        <w:t>（四）基金证券账户与证券交易资金账户的开设和管理</w:t>
      </w:r>
    </w:p>
    <w:p w:rsidR="00562FFD" w:rsidRDefault="003317D3">
      <w:pPr>
        <w:spacing w:line="360" w:lineRule="auto"/>
        <w:ind w:firstLineChars="200" w:firstLine="480"/>
        <w:rPr>
          <w:sz w:val="24"/>
        </w:rPr>
      </w:pPr>
      <w:r>
        <w:rPr>
          <w:rFonts w:hint="eastAsia"/>
          <w:sz w:val="24"/>
        </w:rPr>
        <w:t>基金托管人以基金托管人和本基金联名的方式在中国证券登记结算有限责任公司上海分公司</w:t>
      </w:r>
      <w:r>
        <w:rPr>
          <w:rFonts w:hint="eastAsia"/>
          <w:sz w:val="24"/>
        </w:rPr>
        <w:t>/</w:t>
      </w:r>
      <w:r>
        <w:rPr>
          <w:rFonts w:hint="eastAsia"/>
          <w:sz w:val="24"/>
        </w:rPr>
        <w:t>深圳分公司开设证券账户。</w:t>
      </w:r>
    </w:p>
    <w:p w:rsidR="00562FFD" w:rsidRDefault="003317D3">
      <w:pPr>
        <w:spacing w:line="360" w:lineRule="auto"/>
        <w:ind w:firstLineChars="200" w:firstLine="480"/>
        <w:rPr>
          <w:sz w:val="24"/>
        </w:rPr>
      </w:pPr>
      <w:r>
        <w:rPr>
          <w:rFonts w:hint="eastAsia"/>
          <w:sz w:val="24"/>
        </w:rPr>
        <w:t>基金托管人以基金托管人的名义在中国证券登记结算有限责任公司上海分公司</w:t>
      </w:r>
      <w:r>
        <w:rPr>
          <w:rFonts w:hint="eastAsia"/>
          <w:sz w:val="24"/>
        </w:rPr>
        <w:t>/</w:t>
      </w:r>
      <w:r>
        <w:rPr>
          <w:rFonts w:hint="eastAsia"/>
          <w:sz w:val="24"/>
        </w:rPr>
        <w:t>深圳分公司开立基金证券交易资金账户，用于证券清算。</w:t>
      </w:r>
    </w:p>
    <w:p w:rsidR="00562FFD" w:rsidRDefault="003317D3">
      <w:pPr>
        <w:spacing w:line="360" w:lineRule="auto"/>
        <w:ind w:firstLineChars="200" w:firstLine="480"/>
        <w:rPr>
          <w:sz w:val="24"/>
        </w:rPr>
      </w:pPr>
      <w:r>
        <w:rPr>
          <w:rFonts w:hint="eastAsia"/>
          <w:sz w:val="24"/>
        </w:rPr>
        <w:t>基金证券账户的开立和使用，限于满足开展本基金业务的需要。基金托管人</w:t>
      </w:r>
      <w:r>
        <w:rPr>
          <w:rFonts w:hint="eastAsia"/>
          <w:sz w:val="24"/>
        </w:rPr>
        <w:lastRenderedPageBreak/>
        <w:t>和基金管理人不得出借和未经对方书面同意擅自转让基金的任何证券账户；亦不得使用基金的任何证券账户进行本基金业务以外的活动。</w:t>
      </w:r>
    </w:p>
    <w:p w:rsidR="00562FFD" w:rsidRDefault="003317D3">
      <w:pPr>
        <w:spacing w:line="360" w:lineRule="auto"/>
        <w:ind w:firstLineChars="200" w:firstLine="480"/>
        <w:rPr>
          <w:sz w:val="24"/>
        </w:rPr>
      </w:pPr>
      <w:r>
        <w:rPr>
          <w:rFonts w:hint="eastAsia"/>
          <w:sz w:val="24"/>
        </w:rPr>
        <w:t>（五）债券托管账户的开立和管理</w:t>
      </w:r>
    </w:p>
    <w:p w:rsidR="00562FFD" w:rsidRDefault="003317D3">
      <w:pPr>
        <w:spacing w:line="360" w:lineRule="auto"/>
        <w:ind w:firstLineChars="200" w:firstLine="480"/>
        <w:rPr>
          <w:sz w:val="24"/>
        </w:rPr>
      </w:pPr>
      <w:r>
        <w:rPr>
          <w:rFonts w:hint="eastAsia"/>
          <w:sz w:val="24"/>
        </w:rPr>
        <w:t>1</w:t>
      </w:r>
      <w:r>
        <w:rPr>
          <w:rFonts w:hint="eastAsia"/>
          <w:sz w:val="24"/>
        </w:rPr>
        <w:t>、《基金合同》生效后，基金管理人负责以基金的名义申请并取得进入全国银行间同业拆借市场的交易资格，并代表基金进行交易；基金托管人负责根据中国人民银行、中央国债登记结算有限责任公司、银行间市场登记结算机构的有关规定，在银行间市场登记结算机构、中央国债登记结算有限责任公司开立债券托管账户，持有人账户和资金结算账户，并由基金托管人负责基金的债券交易的后台确认及资金的清算。</w:t>
      </w:r>
    </w:p>
    <w:p w:rsidR="00562FFD" w:rsidRDefault="003317D3">
      <w:pPr>
        <w:spacing w:line="360" w:lineRule="auto"/>
        <w:ind w:firstLineChars="200" w:firstLine="480"/>
        <w:rPr>
          <w:sz w:val="24"/>
        </w:rPr>
      </w:pPr>
      <w:r>
        <w:rPr>
          <w:rFonts w:hint="eastAsia"/>
          <w:sz w:val="24"/>
        </w:rPr>
        <w:t>2</w:t>
      </w:r>
      <w:r>
        <w:rPr>
          <w:rFonts w:hint="eastAsia"/>
          <w:sz w:val="24"/>
        </w:rPr>
        <w:t>、基金管理人代表基金对外签订中国银行间市场债券回购交易主协议。</w:t>
      </w:r>
    </w:p>
    <w:p w:rsidR="00562FFD" w:rsidRDefault="003317D3">
      <w:pPr>
        <w:spacing w:line="360" w:lineRule="auto"/>
        <w:ind w:firstLineChars="200" w:firstLine="480"/>
        <w:rPr>
          <w:sz w:val="24"/>
        </w:rPr>
      </w:pPr>
      <w:r>
        <w:rPr>
          <w:rFonts w:hint="eastAsia"/>
          <w:sz w:val="24"/>
        </w:rPr>
        <w:t>（六）其他账户的开设和管理</w:t>
      </w:r>
    </w:p>
    <w:p w:rsidR="00562FFD" w:rsidRDefault="003317D3">
      <w:pPr>
        <w:spacing w:line="360" w:lineRule="auto"/>
        <w:ind w:firstLineChars="200" w:firstLine="480"/>
        <w:rPr>
          <w:sz w:val="24"/>
        </w:rPr>
      </w:pPr>
      <w:r>
        <w:rPr>
          <w:rFonts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62FFD" w:rsidRDefault="003317D3">
      <w:pPr>
        <w:spacing w:line="360" w:lineRule="auto"/>
        <w:ind w:firstLineChars="200" w:firstLine="480"/>
        <w:rPr>
          <w:sz w:val="24"/>
        </w:rPr>
      </w:pPr>
      <w:r>
        <w:rPr>
          <w:rFonts w:hint="eastAsia"/>
          <w:sz w:val="24"/>
        </w:rPr>
        <w:t>（七）基金财产投资的有关实物证券、银行定期存款存单等有价凭证的保管</w:t>
      </w:r>
    </w:p>
    <w:p w:rsidR="00562FFD" w:rsidRDefault="003317D3">
      <w:pPr>
        <w:spacing w:line="360" w:lineRule="auto"/>
        <w:ind w:firstLineChars="200" w:firstLine="480"/>
        <w:rPr>
          <w:sz w:val="24"/>
        </w:rPr>
      </w:pPr>
      <w:r>
        <w:rPr>
          <w:rFonts w:hint="eastAsia"/>
          <w:sz w:val="24"/>
        </w:rPr>
        <w:t>实物证券、银行定期存款存单等有价凭证应由基金托管人保管的，由基金托管人存放于其档案库或保险柜。保管凭证由基金托管人持有，基金托管人承担保管职责。基金托管人对由基金托管人实际有效控制以外的证券不承担保管责任。</w:t>
      </w:r>
    </w:p>
    <w:p w:rsidR="00562FFD" w:rsidRDefault="003317D3">
      <w:pPr>
        <w:spacing w:line="360" w:lineRule="auto"/>
        <w:ind w:firstLineChars="200" w:firstLine="480"/>
        <w:rPr>
          <w:sz w:val="24"/>
        </w:rPr>
      </w:pPr>
      <w:r>
        <w:rPr>
          <w:rFonts w:hint="eastAsia"/>
          <w:sz w:val="24"/>
        </w:rPr>
        <w:t>（八）与基金财产有关的重大合同的保管</w:t>
      </w:r>
    </w:p>
    <w:p w:rsidR="00562FFD" w:rsidRDefault="003317D3">
      <w:pPr>
        <w:spacing w:line="360" w:lineRule="auto"/>
        <w:ind w:firstLineChars="200" w:firstLine="480"/>
        <w:rPr>
          <w:sz w:val="24"/>
        </w:rPr>
      </w:pPr>
      <w:r>
        <w:rPr>
          <w:rFonts w:hint="eastAsia"/>
          <w:sz w:val="24"/>
        </w:rPr>
        <w:t>由基金管理人代表基金签署的与基金有关的重大合同的原件分别应由基金托管人、基金管理人保管。除本协议另有约定外，基金管理人在代表基金签署与基金有关的重大合同时应保证持有两份以上的正本，以便基金管理人和基金托管人至少各持有一份正本的原件。基金管理人在合同签署后</w:t>
      </w:r>
      <w:r>
        <w:rPr>
          <w:rFonts w:hint="eastAsia"/>
          <w:sz w:val="24"/>
        </w:rPr>
        <w:t>5</w:t>
      </w:r>
      <w:r>
        <w:rPr>
          <w:rFonts w:hint="eastAsia"/>
          <w:sz w:val="24"/>
        </w:rPr>
        <w:t>个工作日内通过专人送达、挂号邮寄等安全方式将合同原件送达基金托管人处。合同原件应存放于基金管理人和基金托管人各自文件保管部门，保存期限按照法律法规的规定执行。</w:t>
      </w:r>
    </w:p>
    <w:p w:rsidR="00562FFD" w:rsidRDefault="003317D3">
      <w:pPr>
        <w:spacing w:line="360" w:lineRule="auto"/>
        <w:ind w:firstLineChars="200" w:firstLine="480"/>
        <w:rPr>
          <w:sz w:val="24"/>
        </w:rPr>
      </w:pPr>
      <w:r>
        <w:rPr>
          <w:rFonts w:hint="eastAsia"/>
          <w:sz w:val="24"/>
        </w:rPr>
        <w:t>对于无法取得二份以上的正本的，基金管理人应向基金托管人提供加盖授权业务章的合同</w:t>
      </w:r>
      <w:proofErr w:type="gramStart"/>
      <w:r>
        <w:rPr>
          <w:rFonts w:hint="eastAsia"/>
          <w:sz w:val="24"/>
        </w:rPr>
        <w:t>传真件并保证</w:t>
      </w:r>
      <w:proofErr w:type="gramEnd"/>
      <w:r>
        <w:rPr>
          <w:rFonts w:hint="eastAsia"/>
          <w:sz w:val="24"/>
        </w:rPr>
        <w:t>其真实性及其与原件的完全一致性，未经双方协商或未在合同约定范围内，合同原件不得转移。</w:t>
      </w:r>
    </w:p>
    <w:p w:rsidR="00562FFD" w:rsidRDefault="003317D3">
      <w:pPr>
        <w:spacing w:line="360" w:lineRule="auto"/>
        <w:ind w:firstLineChars="200" w:firstLine="480"/>
        <w:rPr>
          <w:rFonts w:ascii="宋体" w:hAnsi="宋体"/>
          <w:color w:val="000000"/>
          <w:sz w:val="24"/>
        </w:rPr>
      </w:pPr>
      <w:r>
        <w:rPr>
          <w:rFonts w:hint="eastAsia"/>
          <w:sz w:val="24"/>
        </w:rPr>
        <w:lastRenderedPageBreak/>
        <w:t>五、基金资产净值的计算、复核的时间和程序</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基金资产净值是指基金资产总值减去基金负债后的价值。各类基金份额净值的计算均保留到小数点后4位，小数点后第5位四舍五入，由此产生的误差计入基金财产。基金管理人可以设立大额赎回情形下的净值精度应急调整机制。国家另有规定的，从其规定。</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基金管理人应在每个工作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工作日交易结束后计算当日的基金资产净值和各类基金份额净值并以双方认可的方式发送给基金托管人。基金托管人对净值计算结果复核后以双方认可的方式发送给基金管理人，由基金管理人依据基金合同和相关法律法规的规定对基金净值予以公布。</w:t>
      </w:r>
    </w:p>
    <w:p w:rsidR="00562FFD" w:rsidRDefault="003317D3">
      <w:pPr>
        <w:spacing w:line="360" w:lineRule="auto"/>
        <w:ind w:right="28" w:firstLineChars="200" w:firstLine="480"/>
        <w:rPr>
          <w:rFonts w:ascii="宋体" w:hAnsi="宋体"/>
          <w:color w:val="000000"/>
          <w:sz w:val="24"/>
        </w:rPr>
      </w:pPr>
      <w:r>
        <w:rPr>
          <w:rFonts w:ascii="宋体" w:hAnsi="宋体" w:hint="eastAsia"/>
          <w:color w:val="000000"/>
          <w:sz w:val="24"/>
        </w:rPr>
        <w:t>根据《基金法》，基金管理人计算并公告基金净值，基金托管人复核、审查基金管理人计算的基金净值。因此，本基金的会计责任方是基金管理人，就与本基金有关的会计问题，如经双方在平等基础上充分讨论后，仍无法达成一致的意见，按照基金管理人对基金净值的计算结果对外予以公布，由此给基金份额持有人和基金造成的损失以及因该交易日基金资产净值计算顺延错误而引起的损失，由基金管理人负责赔付。法律法规以及监管部门有强制规定的，从其规定。如有新增事项，按国家最新规定估值。</w:t>
      </w:r>
    </w:p>
    <w:bookmarkEnd w:id="109"/>
    <w:p w:rsidR="00562FFD" w:rsidRDefault="003317D3">
      <w:pPr>
        <w:spacing w:line="360" w:lineRule="auto"/>
        <w:ind w:right="28" w:firstLineChars="200" w:firstLine="480"/>
        <w:rPr>
          <w:rFonts w:ascii="宋体" w:hAnsi="宋体"/>
          <w:color w:val="000000"/>
          <w:sz w:val="24"/>
        </w:rPr>
      </w:pPr>
      <w:r>
        <w:rPr>
          <w:rFonts w:ascii="宋体" w:hAnsi="宋体" w:hint="eastAsia"/>
          <w:color w:val="000000"/>
          <w:sz w:val="24"/>
        </w:rPr>
        <w:t>六、基金份额持有人名册的保管</w:t>
      </w:r>
    </w:p>
    <w:p w:rsidR="00562FFD" w:rsidRDefault="003317D3">
      <w:pPr>
        <w:spacing w:line="360" w:lineRule="auto"/>
        <w:ind w:right="28" w:firstLineChars="200" w:firstLine="480"/>
        <w:rPr>
          <w:sz w:val="24"/>
        </w:rPr>
      </w:pPr>
      <w:r>
        <w:rPr>
          <w:rFonts w:hint="eastAsia"/>
          <w:sz w:val="24"/>
        </w:rPr>
        <w:t>基金管理人和基金托管人须分别妥善保管的基金份额持有人名册，包括《基金合同》生效日、《基金合同》终止日、基金份额持有人大会权益登记日、每年</w:t>
      </w:r>
      <w:r>
        <w:rPr>
          <w:rFonts w:hint="eastAsia"/>
          <w:sz w:val="24"/>
        </w:rPr>
        <w:t>6</w:t>
      </w:r>
      <w:r>
        <w:rPr>
          <w:rFonts w:hint="eastAsia"/>
          <w:sz w:val="24"/>
        </w:rPr>
        <w:t>月</w:t>
      </w:r>
      <w:r>
        <w:rPr>
          <w:rFonts w:hint="eastAsia"/>
          <w:sz w:val="24"/>
        </w:rPr>
        <w:t>30</w:t>
      </w:r>
      <w:r>
        <w:rPr>
          <w:rFonts w:hint="eastAsia"/>
          <w:sz w:val="24"/>
        </w:rPr>
        <w:t>日、</w:t>
      </w:r>
      <w:r>
        <w:rPr>
          <w:rFonts w:hint="eastAsia"/>
          <w:sz w:val="24"/>
        </w:rPr>
        <w:t>12</w:t>
      </w:r>
      <w:r>
        <w:rPr>
          <w:rFonts w:hint="eastAsia"/>
          <w:sz w:val="24"/>
        </w:rPr>
        <w:t>月</w:t>
      </w:r>
      <w:r>
        <w:rPr>
          <w:rFonts w:hint="eastAsia"/>
          <w:sz w:val="24"/>
        </w:rPr>
        <w:t>31</w:t>
      </w:r>
      <w:r>
        <w:rPr>
          <w:rFonts w:hint="eastAsia"/>
          <w:sz w:val="24"/>
        </w:rPr>
        <w:t>日的基金份额持有人名册。基金份额持有人名册的内容必须包括基金份额持有人的名称和持有的基金份额。</w:t>
      </w:r>
    </w:p>
    <w:p w:rsidR="00562FFD" w:rsidRDefault="003317D3">
      <w:pPr>
        <w:spacing w:line="360" w:lineRule="auto"/>
        <w:ind w:right="28" w:firstLineChars="200" w:firstLine="480"/>
        <w:rPr>
          <w:sz w:val="24"/>
        </w:rPr>
      </w:pPr>
      <w:r>
        <w:rPr>
          <w:rFonts w:hint="eastAsia"/>
          <w:sz w:val="24"/>
        </w:rPr>
        <w:t>基金份额持有人名册由基金的基金登记机构根据基金管理人的指令编制和保管基金管理人和基金托管人应按照目前相关规则分别保管基金份额持有人名册。保管方式可以采用电子或文档的形式。保管期限按照法律法规的规定执行。</w:t>
      </w:r>
    </w:p>
    <w:p w:rsidR="00562FFD" w:rsidRDefault="003317D3">
      <w:pPr>
        <w:spacing w:line="360" w:lineRule="auto"/>
        <w:ind w:right="28" w:firstLineChars="200" w:firstLine="480"/>
        <w:rPr>
          <w:sz w:val="24"/>
        </w:rPr>
      </w:pPr>
      <w:r>
        <w:rPr>
          <w:rFonts w:hint="eastAsia"/>
          <w:sz w:val="24"/>
        </w:rPr>
        <w:t>基金管理人应当及时向基金托管人提交下列日期的基金份额持有人名册：《基金合同》生效日、《基金合同》终止日、基金份额持有人大会权益登记日、</w:t>
      </w:r>
      <w:r>
        <w:rPr>
          <w:rFonts w:hint="eastAsia"/>
          <w:sz w:val="24"/>
        </w:rPr>
        <w:lastRenderedPageBreak/>
        <w:t>每年</w:t>
      </w:r>
      <w:r>
        <w:rPr>
          <w:rFonts w:hint="eastAsia"/>
          <w:sz w:val="24"/>
        </w:rPr>
        <w:t>6</w:t>
      </w:r>
      <w:r>
        <w:rPr>
          <w:rFonts w:hint="eastAsia"/>
          <w:sz w:val="24"/>
        </w:rPr>
        <w:t>月</w:t>
      </w:r>
      <w:r>
        <w:rPr>
          <w:rFonts w:hint="eastAsia"/>
          <w:sz w:val="24"/>
        </w:rPr>
        <w:t>30</w:t>
      </w:r>
      <w:r>
        <w:rPr>
          <w:rFonts w:hint="eastAsia"/>
          <w:sz w:val="24"/>
        </w:rPr>
        <w:t>日、每年</w:t>
      </w:r>
      <w:r>
        <w:rPr>
          <w:rFonts w:hint="eastAsia"/>
          <w:sz w:val="24"/>
        </w:rPr>
        <w:t>12</w:t>
      </w:r>
      <w:r>
        <w:rPr>
          <w:rFonts w:hint="eastAsia"/>
          <w:sz w:val="24"/>
        </w:rPr>
        <w:t>月</w:t>
      </w:r>
      <w:r>
        <w:rPr>
          <w:rFonts w:hint="eastAsia"/>
          <w:sz w:val="24"/>
        </w:rPr>
        <w:t>31</w:t>
      </w:r>
      <w:r>
        <w:rPr>
          <w:rFonts w:hint="eastAsia"/>
          <w:sz w:val="24"/>
        </w:rPr>
        <w:t>日的基金份额持有人名册。基金份额持有人名册的内容必须包括基金份额持有人的名称和持有的基金份额。其中每年</w:t>
      </w:r>
      <w:r>
        <w:rPr>
          <w:rFonts w:hint="eastAsia"/>
          <w:sz w:val="24"/>
        </w:rPr>
        <w:t>12</w:t>
      </w:r>
      <w:r>
        <w:rPr>
          <w:rFonts w:hint="eastAsia"/>
          <w:sz w:val="24"/>
        </w:rPr>
        <w:t>月</w:t>
      </w:r>
      <w:r>
        <w:rPr>
          <w:rFonts w:hint="eastAsia"/>
          <w:sz w:val="24"/>
        </w:rPr>
        <w:t>31</w:t>
      </w:r>
      <w:r>
        <w:rPr>
          <w:rFonts w:hint="eastAsia"/>
          <w:sz w:val="24"/>
        </w:rPr>
        <w:t>日的基金份额持有人名册应于下月前十个工作日内提交；《基金合同》生效日、《基金合同》终止日等涉及到基金重要事项日期的基金份额持有人名册应于发生日后十个工作日内提交。</w:t>
      </w:r>
    </w:p>
    <w:p w:rsidR="00562FFD" w:rsidRDefault="003317D3">
      <w:pPr>
        <w:spacing w:line="360" w:lineRule="auto"/>
        <w:ind w:right="28" w:firstLineChars="200" w:firstLine="480"/>
        <w:rPr>
          <w:sz w:val="24"/>
        </w:rPr>
      </w:pPr>
      <w:r>
        <w:rPr>
          <w:rFonts w:hint="eastAsia"/>
          <w:sz w:val="24"/>
        </w:rPr>
        <w:t>基金托管人以电子版形式妥善保管基金份额持有人名册，并定期备份，保存期限按照法律法规的规定执行。基金托管人不得将所保管的基金份额持有人名册用于基金托管业务以外的其他用途，并应遵守保密义务。</w:t>
      </w:r>
    </w:p>
    <w:p w:rsidR="00562FFD" w:rsidRDefault="003317D3">
      <w:pPr>
        <w:spacing w:line="360" w:lineRule="auto"/>
        <w:ind w:firstLineChars="200" w:firstLine="480"/>
        <w:rPr>
          <w:sz w:val="24"/>
        </w:rPr>
      </w:pPr>
      <w:proofErr w:type="gramStart"/>
      <w:r>
        <w:rPr>
          <w:rFonts w:hint="eastAsia"/>
          <w:sz w:val="24"/>
        </w:rPr>
        <w:t>若基金</w:t>
      </w:r>
      <w:proofErr w:type="gramEnd"/>
      <w:r>
        <w:rPr>
          <w:rFonts w:hint="eastAsia"/>
          <w:sz w:val="24"/>
        </w:rPr>
        <w:t>管理人或基金托管人由于自身原因无法妥善保管基金份额持有人名册，应按有关法规规定各自承担相应的责任。</w:t>
      </w:r>
    </w:p>
    <w:p w:rsidR="00562FFD" w:rsidRDefault="003317D3">
      <w:pPr>
        <w:spacing w:line="360" w:lineRule="auto"/>
        <w:ind w:firstLineChars="200" w:firstLine="480"/>
        <w:rPr>
          <w:rFonts w:ascii="宋体" w:hAnsi="宋体"/>
          <w:color w:val="000000"/>
          <w:sz w:val="24"/>
        </w:rPr>
      </w:pPr>
      <w:r>
        <w:rPr>
          <w:rFonts w:hint="eastAsia"/>
          <w:sz w:val="24"/>
        </w:rPr>
        <w:t>七、</w:t>
      </w:r>
      <w:r>
        <w:rPr>
          <w:rFonts w:ascii="宋体" w:hAnsi="宋体" w:hint="eastAsia"/>
          <w:color w:val="000000"/>
          <w:sz w:val="24"/>
        </w:rPr>
        <w:t>争议解决方式</w:t>
      </w:r>
    </w:p>
    <w:p w:rsidR="00562FFD" w:rsidRDefault="003317D3">
      <w:pPr>
        <w:spacing w:line="360" w:lineRule="auto"/>
        <w:ind w:firstLineChars="200" w:firstLine="480"/>
        <w:rPr>
          <w:bCs/>
          <w:sz w:val="24"/>
        </w:rPr>
      </w:pPr>
      <w:r>
        <w:rPr>
          <w:rFonts w:hint="eastAsia"/>
          <w:bCs/>
          <w:sz w:val="24"/>
        </w:rPr>
        <w:t>双方当事人同意，因本协议而产生的或与本协议有关的一切争议，如经友好协商未能解决的，任何一方均有权将争议提交中国国际经济贸易仲裁委员会，按照该会届时有效的仲裁规则进行仲裁。仲裁地点为北京市。仲裁裁决是终局的，对各方当事人均有约束力，除非仲裁裁决另有规定，仲裁费用、律师费用由败诉方承担。</w:t>
      </w:r>
    </w:p>
    <w:p w:rsidR="00562FFD" w:rsidRDefault="003317D3">
      <w:pPr>
        <w:spacing w:line="360" w:lineRule="auto"/>
        <w:ind w:firstLineChars="200" w:firstLine="480"/>
        <w:rPr>
          <w:bCs/>
          <w:sz w:val="24"/>
        </w:rPr>
      </w:pPr>
      <w:r>
        <w:rPr>
          <w:rFonts w:hint="eastAsia"/>
          <w:bCs/>
          <w:sz w:val="24"/>
        </w:rPr>
        <w:t>争议处理期间，基金托管协议当事人应恪守各自的职责，继续忠实、勤勉、尽责地履行基金合同规定的义务，维护基金份额持有人的合法权益。</w:t>
      </w:r>
    </w:p>
    <w:p w:rsidR="00562FFD" w:rsidRDefault="003317D3">
      <w:pPr>
        <w:spacing w:line="360" w:lineRule="auto"/>
        <w:ind w:firstLineChars="200" w:firstLine="480"/>
        <w:rPr>
          <w:bCs/>
          <w:sz w:val="24"/>
        </w:rPr>
      </w:pPr>
      <w:r>
        <w:rPr>
          <w:rFonts w:hint="eastAsia"/>
          <w:bCs/>
          <w:sz w:val="24"/>
        </w:rPr>
        <w:t>《托管协议》受中国法律（为本基金托管协议之目的，不含港澳台地区法律）管辖。</w:t>
      </w:r>
    </w:p>
    <w:p w:rsidR="00562FFD" w:rsidRDefault="003317D3">
      <w:pPr>
        <w:spacing w:line="360" w:lineRule="auto"/>
        <w:ind w:firstLineChars="200" w:firstLine="480"/>
        <w:rPr>
          <w:sz w:val="24"/>
        </w:rPr>
      </w:pPr>
      <w:r>
        <w:rPr>
          <w:rFonts w:hint="eastAsia"/>
          <w:sz w:val="24"/>
        </w:rPr>
        <w:t>八、基金托管协议的变更、终止与基金财产的清算</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（一）托管协议的变更与终止</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1、托管协议的变更程序</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本协议双方当事人经协商一致，可以对协议的内容进行变更。变更后的托管协议，其内容不得与《基金合同》的规定有任何冲突。基金托管协议的变更应报中国证监会备案。</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2、基金托管协议终止的情形</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发生以下情况，本托管协议在履行适当程序后终止：</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（1）《基金合同》终止；</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lastRenderedPageBreak/>
        <w:t>（2）基金托管人解散、依法被撤销、破产或有其他基金托管人接管基金资产；</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（3）基金管理人解散、依法被撤销、破产或有其他基金管理人接管基金管理权；</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（4）发生法律法规、中国证监会或《基金合同》规定的终止事项。</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（二）基金财产的清算</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1、基金财产清算小组：自出现《基金合同》终止事由之日起30个工作日内成立基金财产清算小组，基金管理人组织基金财产清算小组并在中国证监会的监督下进行基金清算。</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2、在基金财产清算小组接管基金财产之前，基金管理人和基金托管人应按照《基金合同》和托管协议的规定继续履行保护基金财产安全的职责。</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3、基金财产清算小组组成：基金财产清算小组成员由基金管理人、基金托管人、符合《证券法》规定的注册会计师、律师以及中国证监会指定的人员组成。基金财产清算小组可以聘用必要的工作人员。</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4、基金财产清算小组职责：基金财产清算小组负责基金财产的保管、清理、估价、变现和分配。基金财产清算小组可以依法进行必要的民事活动。</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5、基金财产清算程序：</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（1）《基金合同》终止情形出现时，由基金财产清算小组统一接管基金；</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（2）对基金财产和债权债务进行清理和确认；</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（3）对基金财产进行估值和变现；</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（4）制作清算报告；</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（5）聘请会计师事务所对清算报告进行外部审计，聘请律师事务所对清算报告出具法律意见书；</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（6）将清算报告报中国证监会备案并公告；</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（7）对基金剩余财产进行分配。</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基金财产清算的期限为6个月，但因本基金所持证券的流动性受到限制而不能及时变现的，清算期限相应顺延。</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6、清算费用</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清算费用是指基金财产清算小组在进行基金财产清算过程中发生的所有合</w:t>
      </w:r>
      <w:r>
        <w:rPr>
          <w:rFonts w:ascii="宋体" w:hint="eastAsia"/>
          <w:bCs/>
          <w:color w:val="000000"/>
          <w:kern w:val="0"/>
          <w:sz w:val="24"/>
          <w:szCs w:val="20"/>
        </w:rPr>
        <w:lastRenderedPageBreak/>
        <w:t>理费用，清算费用由基金财产清算小组优先从基金剩余财产中支付。</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7、基金财产按下列顺序清偿：</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（1）支付基金财产清算费用；</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（2）交纳基金所欠税款；</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（3）清偿基金债务；</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（4）按基金份额持有人持有的基金份额比例进行分配。</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基金财产未按前款（1）－（3）项规定清偿前，不分配给基金份额持有人。</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（三）基金财产清算的公告</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清算过程中的有关重大事项须及时公告；基金财产清算报告</w:t>
      </w:r>
      <w:proofErr w:type="gramStart"/>
      <w:r>
        <w:rPr>
          <w:rFonts w:ascii="宋体" w:hint="eastAsia"/>
          <w:bCs/>
          <w:color w:val="000000"/>
          <w:kern w:val="0"/>
          <w:sz w:val="24"/>
          <w:szCs w:val="20"/>
        </w:rPr>
        <w:t>经符合</w:t>
      </w:r>
      <w:proofErr w:type="gramEnd"/>
      <w:r>
        <w:rPr>
          <w:rFonts w:ascii="宋体" w:hint="eastAsia"/>
          <w:bCs/>
          <w:color w:val="000000"/>
          <w:kern w:val="0"/>
          <w:sz w:val="24"/>
          <w:szCs w:val="20"/>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562FFD" w:rsidRDefault="003317D3">
      <w:pPr>
        <w:spacing w:line="360" w:lineRule="auto"/>
        <w:ind w:firstLineChars="200" w:firstLine="480"/>
        <w:rPr>
          <w:rFonts w:ascii="宋体"/>
          <w:bCs/>
          <w:color w:val="000000"/>
          <w:kern w:val="0"/>
          <w:sz w:val="24"/>
          <w:szCs w:val="20"/>
        </w:rPr>
      </w:pPr>
      <w:r>
        <w:rPr>
          <w:rFonts w:ascii="宋体" w:hint="eastAsia"/>
          <w:bCs/>
          <w:color w:val="000000"/>
          <w:kern w:val="0"/>
          <w:sz w:val="24"/>
          <w:szCs w:val="20"/>
        </w:rPr>
        <w:t>（四）基金财产清算账册及文件的保存</w:t>
      </w:r>
    </w:p>
    <w:p w:rsidR="00562FFD" w:rsidRDefault="003317D3">
      <w:pPr>
        <w:pStyle w:val="af0"/>
        <w:ind w:firstLineChars="200" w:firstLine="480"/>
        <w:jc w:val="left"/>
        <w:outlineLvl w:val="9"/>
        <w:rPr>
          <w:rFonts w:hAnsi="宋体"/>
          <w:b w:val="0"/>
          <w:bCs/>
          <w:szCs w:val="28"/>
        </w:rPr>
      </w:pPr>
      <w:r>
        <w:rPr>
          <w:rFonts w:hint="eastAsia"/>
          <w:b w:val="0"/>
          <w:bCs/>
          <w:sz w:val="24"/>
        </w:rPr>
        <w:t>基金财产清算账册及有关文件由基金托管人保存，保存期限不少于法律法规规定的最低期限。</w:t>
      </w:r>
      <w:bookmarkStart w:id="110" w:name="_Toc164766401"/>
    </w:p>
    <w:p w:rsidR="00562FFD" w:rsidRDefault="003317D3">
      <w:pPr>
        <w:pStyle w:val="af0"/>
        <w:ind w:firstLineChars="200" w:firstLine="562"/>
        <w:rPr>
          <w:rFonts w:hAnsi="宋体"/>
          <w:bCs/>
          <w:szCs w:val="28"/>
        </w:rPr>
      </w:pPr>
      <w:r>
        <w:rPr>
          <w:rFonts w:hAnsi="宋体"/>
          <w:bCs/>
          <w:szCs w:val="28"/>
        </w:rPr>
        <w:br w:type="page"/>
      </w:r>
      <w:bookmarkStart w:id="111" w:name="_Toc56692704"/>
      <w:bookmarkStart w:id="112" w:name="_Toc34222313"/>
      <w:r>
        <w:rPr>
          <w:rFonts w:hint="eastAsia"/>
          <w:szCs w:val="28"/>
        </w:rPr>
        <w:lastRenderedPageBreak/>
        <w:t>第二十一部分 对基金份额持有人的服务</w:t>
      </w:r>
      <w:bookmarkEnd w:id="110"/>
      <w:bookmarkEnd w:id="111"/>
      <w:bookmarkEnd w:id="112"/>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基金管理人承诺为基金份额持有人提供一系列的服务。基金管理人将根据基金份额持有人的需要和市场的变化，增加或变更服务项目。主要服务内容如下：</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一、资料寄送</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1、对账单</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投资者可以通过本公司客服电话、网站、电子邮件、短信等通道定制对账单服务。本公司在获得准确邮寄地址、手机号码、电子邮箱的前提下，为已定制账单服务的投资者提供电子或纸制对账单。</w:t>
      </w:r>
    </w:p>
    <w:p w:rsidR="00562FFD" w:rsidRDefault="003317D3">
      <w:pPr>
        <w:spacing w:line="360" w:lineRule="auto"/>
        <w:ind w:firstLineChars="200" w:firstLine="480"/>
        <w:rPr>
          <w:rFonts w:ascii="宋体" w:hAnsi="宋体"/>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）电子对账单</w:t>
      </w:r>
    </w:p>
    <w:p w:rsidR="00562FFD" w:rsidRDefault="003317D3">
      <w:pPr>
        <w:spacing w:line="360" w:lineRule="auto"/>
        <w:ind w:firstLineChars="200" w:firstLine="480"/>
        <w:rPr>
          <w:rFonts w:ascii="宋体" w:hAnsi="宋体"/>
        </w:rPr>
      </w:pPr>
      <w:r>
        <w:rPr>
          <w:rFonts w:ascii="宋体" w:hAnsi="宋体" w:hint="eastAsia"/>
          <w:color w:val="000000"/>
          <w:sz w:val="24"/>
        </w:rPr>
        <w:t>投资者登记电子邮箱信息后，可定制月度、季度和年度电子账单。电子对账单在每月、季、年度结束后15个工作日内向基金持有人指定电子信箱发送。</w:t>
      </w:r>
    </w:p>
    <w:p w:rsidR="00562FFD" w:rsidRDefault="003317D3">
      <w:pPr>
        <w:spacing w:line="360" w:lineRule="auto"/>
        <w:ind w:firstLineChars="200" w:firstLine="480"/>
        <w:rPr>
          <w:rFonts w:ascii="宋体" w:hAnsi="宋体"/>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）纸质对账单</w:t>
      </w:r>
    </w:p>
    <w:p w:rsidR="00562FFD" w:rsidRDefault="003317D3">
      <w:pPr>
        <w:spacing w:line="360" w:lineRule="auto"/>
        <w:ind w:firstLineChars="200" w:firstLine="480"/>
        <w:rPr>
          <w:rFonts w:ascii="宋体" w:hAnsi="宋体"/>
        </w:rPr>
      </w:pPr>
      <w:r>
        <w:rPr>
          <w:rFonts w:ascii="宋体" w:hAnsi="宋体" w:hint="eastAsia"/>
          <w:color w:val="000000"/>
          <w:sz w:val="24"/>
        </w:rPr>
        <w:t>基金份额持有人定制纸质对账单后，可获得交易发生期间的季度账单。基金份额持有人在季度内无交易发生，将不邮寄该季度的对账单。定制纸质对账单的基金份额持有人将获得年度对账单。对账单的寄送时间为每季度或年度结束后的15个工作日内寄出。</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由于投资者提供的邮寄地址、手机号码、电子邮箱不详或因邮局投递差错、通讯故障、延误等原因，造成对账单无法按时准确送达，请及时到</w:t>
      </w:r>
      <w:proofErr w:type="gramStart"/>
      <w:r>
        <w:rPr>
          <w:rFonts w:ascii="宋体" w:hAnsi="宋体" w:hint="eastAsia"/>
          <w:color w:val="000000"/>
          <w:sz w:val="24"/>
        </w:rPr>
        <w:t>原基金</w:t>
      </w:r>
      <w:proofErr w:type="gramEnd"/>
      <w:r>
        <w:rPr>
          <w:rFonts w:ascii="宋体" w:hAnsi="宋体" w:hint="eastAsia"/>
          <w:color w:val="000000"/>
          <w:sz w:val="24"/>
        </w:rPr>
        <w:t>销售网点或致电本公司客</w:t>
      </w:r>
      <w:proofErr w:type="gramStart"/>
      <w:r>
        <w:rPr>
          <w:rFonts w:ascii="宋体" w:hAnsi="宋体" w:hint="eastAsia"/>
          <w:color w:val="000000"/>
          <w:sz w:val="24"/>
        </w:rPr>
        <w:t>服中心</w:t>
      </w:r>
      <w:proofErr w:type="gramEnd"/>
      <w:r>
        <w:rPr>
          <w:rFonts w:ascii="宋体" w:hAnsi="宋体" w:hint="eastAsia"/>
          <w:color w:val="000000"/>
          <w:sz w:val="24"/>
        </w:rPr>
        <w:t>办理相关信息变更。如需补发对账单，敬请拨打客服热线。</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2、其他相关的信息资料</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二、基金间转换服务</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基金管理人在基金合同生效后的适当时候将为投资者办理基金间的转换业务，具体业务办理时间、业务规则及转换费率在基金转换公告中列明。</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三、信息定制服务</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在技术条件成熟时，基金管理人可为基金投资者提供通过基金管理人网站、客户服务中心提交信息定制申请，基金管理人通过手机短信（因相关方技术系统原因，小灵通用户暂不享有短信服务，待技术系统开发运行成功后，基金管理人将及时向小灵通用户提供上述服务）、EMAIL等方式为基金投资者发送所订制的</w:t>
      </w:r>
      <w:r>
        <w:rPr>
          <w:rFonts w:ascii="宋体" w:hAnsi="宋体" w:hint="eastAsia"/>
          <w:color w:val="000000"/>
          <w:sz w:val="24"/>
        </w:rPr>
        <w:lastRenderedPageBreak/>
        <w:t>信息，内容包括：交易确认信息、公告信息、投资理财刊物邮件等。</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四、资讯服务</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1、信息查询密码</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基金管理人为基金份额持有人预设基金查询密码，预设的基金查询密码为投资者开户证件号码的后6位数字，不足6位数字的，前面加“0”补足。基金查询密码用于投资者查询基金账户下的账户和交易信息。投资者请在知晓基金账号后，及时拨打本公司客户服务中心电话或登录本公司网站修改基金查询密码。</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2、客户服务电话</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投资者如果想了解申购与赎回的交易情况、基金账户余额、基金产品与服务等信息，可拨打本公司客户服务中心电话。</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客户服务电话：95046</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传真：（022）83865563</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3、互联网站</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公司网址：www.thfund.com.cn</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电子信箱：service@thfund.com.cn</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五、客户投诉处理</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投资者可以拨打本公司客户服务中心电话投诉直销机构的人员和服务。</w:t>
      </w:r>
      <w:bookmarkStart w:id="113" w:name="_Toc164766402"/>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六、如本招募说明书存在任何</w:t>
      </w:r>
      <w:proofErr w:type="gramStart"/>
      <w:r>
        <w:rPr>
          <w:rFonts w:ascii="宋体" w:hAnsi="宋体" w:hint="eastAsia"/>
          <w:color w:val="000000"/>
          <w:sz w:val="24"/>
        </w:rPr>
        <w:t>贵机构</w:t>
      </w:r>
      <w:proofErr w:type="gramEnd"/>
      <w:r>
        <w:rPr>
          <w:rFonts w:ascii="宋体" w:hAnsi="宋体" w:hint="eastAsia"/>
          <w:color w:val="000000"/>
          <w:sz w:val="24"/>
        </w:rPr>
        <w:t>无法理解的内容，请通过上述方式联系基金管理人。</w:t>
      </w:r>
      <w:proofErr w:type="gramStart"/>
      <w:r>
        <w:rPr>
          <w:rFonts w:ascii="宋体" w:hAnsi="宋体" w:hint="eastAsia"/>
          <w:color w:val="000000"/>
          <w:sz w:val="24"/>
        </w:rPr>
        <w:t>请确保</w:t>
      </w:r>
      <w:proofErr w:type="gramEnd"/>
      <w:r>
        <w:rPr>
          <w:rFonts w:ascii="宋体" w:hAnsi="宋体" w:hint="eastAsia"/>
          <w:color w:val="000000"/>
          <w:sz w:val="24"/>
        </w:rPr>
        <w:t>投资前，</w:t>
      </w:r>
      <w:proofErr w:type="gramStart"/>
      <w:r>
        <w:rPr>
          <w:rFonts w:ascii="宋体" w:hAnsi="宋体" w:hint="eastAsia"/>
          <w:color w:val="000000"/>
          <w:sz w:val="24"/>
        </w:rPr>
        <w:t>贵机构</w:t>
      </w:r>
      <w:proofErr w:type="gramEnd"/>
      <w:r>
        <w:rPr>
          <w:rFonts w:ascii="宋体" w:hAnsi="宋体" w:hint="eastAsia"/>
          <w:color w:val="000000"/>
          <w:sz w:val="24"/>
        </w:rPr>
        <w:t>已经全面理解了本招募说明书。</w:t>
      </w:r>
    </w:p>
    <w:p w:rsidR="00562FFD" w:rsidRDefault="003317D3">
      <w:pPr>
        <w:pStyle w:val="af0"/>
        <w:rPr>
          <w:rFonts w:hAnsi="宋体"/>
          <w:bCs/>
          <w:szCs w:val="28"/>
        </w:rPr>
      </w:pPr>
      <w:r>
        <w:rPr>
          <w:rFonts w:hAnsi="宋体"/>
          <w:bCs/>
          <w:sz w:val="24"/>
          <w:szCs w:val="24"/>
        </w:rPr>
        <w:br w:type="page"/>
      </w:r>
      <w:bookmarkStart w:id="114" w:name="_Toc56692705"/>
      <w:bookmarkStart w:id="115" w:name="_Toc34222314"/>
      <w:r>
        <w:rPr>
          <w:rFonts w:hint="eastAsia"/>
          <w:szCs w:val="28"/>
        </w:rPr>
        <w:lastRenderedPageBreak/>
        <w:t>第二十二部分 招募说明书存放及查阅方式</w:t>
      </w:r>
      <w:bookmarkEnd w:id="113"/>
      <w:bookmarkEnd w:id="114"/>
      <w:bookmarkEnd w:id="115"/>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依法必须披露的信息发布后，基金管理人、基金托管人应当按照相关法律法规规定将信息置备于各自住所，供社会公众查阅、复制。在支付工本费后，可在合理时间内取得上述文件的复制件或复印件。</w:t>
      </w:r>
      <w:bookmarkStart w:id="116" w:name="_Toc164766403"/>
    </w:p>
    <w:p w:rsidR="00562FFD" w:rsidRDefault="003317D3">
      <w:pPr>
        <w:pStyle w:val="af0"/>
        <w:rPr>
          <w:rFonts w:hAnsi="宋体"/>
          <w:bCs/>
          <w:szCs w:val="28"/>
        </w:rPr>
      </w:pPr>
      <w:r>
        <w:rPr>
          <w:rFonts w:hAnsi="宋体"/>
          <w:bCs/>
          <w:sz w:val="24"/>
          <w:szCs w:val="24"/>
        </w:rPr>
        <w:br w:type="page"/>
      </w:r>
      <w:bookmarkStart w:id="117" w:name="_Toc34222315"/>
      <w:bookmarkStart w:id="118" w:name="_Toc56692706"/>
      <w:r>
        <w:rPr>
          <w:rFonts w:hint="eastAsia"/>
          <w:szCs w:val="28"/>
        </w:rPr>
        <w:lastRenderedPageBreak/>
        <w:t>第二十三部分 备查文件</w:t>
      </w:r>
      <w:bookmarkEnd w:id="116"/>
      <w:bookmarkEnd w:id="117"/>
      <w:bookmarkEnd w:id="118"/>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一、中国证监会准予</w:t>
      </w:r>
      <w:proofErr w:type="gramStart"/>
      <w:r>
        <w:rPr>
          <w:rFonts w:ascii="宋体" w:hAnsi="宋体" w:hint="eastAsia"/>
          <w:color w:val="000000"/>
          <w:sz w:val="24"/>
        </w:rPr>
        <w:t>天弘永利优佳</w:t>
      </w:r>
      <w:proofErr w:type="gramEnd"/>
      <w:r>
        <w:rPr>
          <w:rFonts w:ascii="宋体" w:hAnsi="宋体" w:hint="eastAsia"/>
          <w:color w:val="000000"/>
          <w:sz w:val="24"/>
        </w:rPr>
        <w:t>混合型证券投资基金募集注册的文件</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二、关于申请募集</w:t>
      </w:r>
      <w:proofErr w:type="gramStart"/>
      <w:r>
        <w:rPr>
          <w:rFonts w:ascii="宋体" w:hAnsi="宋体" w:hint="eastAsia"/>
          <w:color w:val="000000"/>
          <w:sz w:val="24"/>
        </w:rPr>
        <w:t>天弘永利优佳</w:t>
      </w:r>
      <w:proofErr w:type="gramEnd"/>
      <w:r>
        <w:rPr>
          <w:rFonts w:ascii="宋体" w:hAnsi="宋体" w:hint="eastAsia"/>
          <w:color w:val="000000"/>
          <w:sz w:val="24"/>
        </w:rPr>
        <w:t>混合型证券投资基金之法律意见书</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三、基金管理人业务资格批件、营业执照和公司章程</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四、基金托管人业务资格批件和营业执照</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五、《天弘永利优佳混合型证券投资基金基金合同》</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六、《天弘永利优佳混合型证券投资基金托管协议》</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七、中国证监会规定的其他文件</w:t>
      </w:r>
    </w:p>
    <w:p w:rsidR="00562FFD" w:rsidRDefault="003317D3">
      <w:pPr>
        <w:spacing w:line="360" w:lineRule="auto"/>
        <w:ind w:firstLineChars="200" w:firstLine="480"/>
        <w:rPr>
          <w:rFonts w:ascii="宋体" w:hAnsi="宋体"/>
          <w:color w:val="000000"/>
          <w:sz w:val="24"/>
        </w:rPr>
      </w:pPr>
      <w:r>
        <w:rPr>
          <w:rFonts w:ascii="宋体" w:hAnsi="宋体" w:hint="eastAsia"/>
          <w:color w:val="000000"/>
          <w:sz w:val="24"/>
        </w:rPr>
        <w:t>以上第四项备查文件存放在基金托管人的办公场所，其他文件存放在基金管理人的办公场所、营业场所。基金投资者在营业时间内可免费查阅，在支付工本费后，可在合理时间内取得上述文件的复制件或复印件。</w:t>
      </w:r>
    </w:p>
    <w:p w:rsidR="00562FFD" w:rsidRDefault="00562FFD">
      <w:pPr>
        <w:spacing w:line="360" w:lineRule="auto"/>
        <w:ind w:firstLineChars="200" w:firstLine="480"/>
        <w:rPr>
          <w:rFonts w:ascii="宋体" w:hAnsi="宋体"/>
          <w:color w:val="000000"/>
          <w:sz w:val="24"/>
        </w:rPr>
      </w:pPr>
    </w:p>
    <w:p w:rsidR="00562FFD" w:rsidRDefault="00562FFD">
      <w:pPr>
        <w:spacing w:line="360" w:lineRule="auto"/>
        <w:ind w:firstLineChars="200" w:firstLine="480"/>
        <w:rPr>
          <w:rFonts w:ascii="宋体" w:hAnsi="宋体"/>
          <w:color w:val="000000"/>
          <w:sz w:val="24"/>
        </w:rPr>
      </w:pPr>
    </w:p>
    <w:p w:rsidR="00562FFD" w:rsidRDefault="00562FFD">
      <w:pPr>
        <w:spacing w:line="360" w:lineRule="auto"/>
        <w:ind w:firstLineChars="200" w:firstLine="480"/>
        <w:rPr>
          <w:rFonts w:ascii="宋体" w:hAnsi="宋体"/>
          <w:color w:val="000000"/>
          <w:sz w:val="24"/>
        </w:rPr>
      </w:pPr>
    </w:p>
    <w:p w:rsidR="00562FFD" w:rsidRDefault="003317D3">
      <w:pPr>
        <w:spacing w:line="360" w:lineRule="auto"/>
        <w:ind w:right="720" w:firstLineChars="200" w:firstLine="480"/>
        <w:jc w:val="right"/>
        <w:rPr>
          <w:rFonts w:ascii="宋体" w:hAnsi="宋体"/>
          <w:color w:val="000000"/>
          <w:sz w:val="24"/>
        </w:rPr>
      </w:pPr>
      <w:proofErr w:type="gramStart"/>
      <w:r>
        <w:rPr>
          <w:rFonts w:ascii="宋体" w:hAnsi="宋体" w:hint="eastAsia"/>
          <w:color w:val="000000"/>
          <w:sz w:val="24"/>
        </w:rPr>
        <w:t>天弘基金</w:t>
      </w:r>
      <w:proofErr w:type="gramEnd"/>
      <w:r>
        <w:rPr>
          <w:rFonts w:ascii="宋体" w:hAnsi="宋体" w:hint="eastAsia"/>
          <w:color w:val="000000"/>
          <w:sz w:val="24"/>
        </w:rPr>
        <w:t>管理有限公司</w:t>
      </w:r>
    </w:p>
    <w:p w:rsidR="00562FFD" w:rsidRDefault="003317D3">
      <w:pPr>
        <w:wordWrap w:val="0"/>
        <w:spacing w:line="360" w:lineRule="auto"/>
        <w:ind w:leftChars="229" w:left="4820" w:right="720" w:hangingChars="1808" w:hanging="4339"/>
        <w:jc w:val="right"/>
        <w:rPr>
          <w:rFonts w:ascii="宋体" w:hAnsi="宋体"/>
          <w:color w:val="000000"/>
          <w:kern w:val="0"/>
          <w:sz w:val="24"/>
        </w:rPr>
      </w:pPr>
      <w:r>
        <w:rPr>
          <w:rFonts w:ascii="宋体" w:hAnsi="宋体" w:hint="eastAsia"/>
          <w:color w:val="000000"/>
          <w:sz w:val="24"/>
        </w:rPr>
        <w:t>二〇二一年XX月XX日</w:t>
      </w:r>
    </w:p>
    <w:sectPr w:rsidR="00562FFD">
      <w:headerReference w:type="default" r:id="rId1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C8" w:rsidRDefault="00FE30C8">
      <w:r>
        <w:separator/>
      </w:r>
    </w:p>
  </w:endnote>
  <w:endnote w:type="continuationSeparator" w:id="0">
    <w:p w:rsidR="00FE30C8" w:rsidRDefault="00FE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ˎ̥">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WinCharSetFFFF-H">
    <w:altName w:val="方正舒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D3" w:rsidRDefault="003317D3">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3317D3" w:rsidRDefault="003317D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D3" w:rsidRDefault="003317D3">
    <w:pPr>
      <w:pStyle w:val="ac"/>
      <w:jc w:val="center"/>
    </w:pPr>
    <w:r>
      <w:rPr>
        <w:rFonts w:hint="eastAsia"/>
      </w:rPr>
      <w:t>5</w:t>
    </w:r>
    <w:r>
      <w:rPr>
        <w:rFonts w:hint="eastAsia"/>
      </w:rPr>
      <w:t>－</w:t>
    </w:r>
    <w:r>
      <w:rPr>
        <w:rStyle w:val="af4"/>
      </w:rPr>
      <w:fldChar w:fldCharType="begin"/>
    </w:r>
    <w:r>
      <w:rPr>
        <w:rStyle w:val="af4"/>
      </w:rPr>
      <w:instrText xml:space="preserve"> PAGE </w:instrText>
    </w:r>
    <w:r>
      <w:rPr>
        <w:rStyle w:val="af4"/>
      </w:rPr>
      <w:fldChar w:fldCharType="separate"/>
    </w:r>
    <w:r>
      <w:rPr>
        <w:rStyle w:val="af4"/>
      </w:rPr>
      <w:t>1</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D3" w:rsidRDefault="003317D3">
    <w:pPr>
      <w:pStyle w:val="ac"/>
      <w:jc w:val="center"/>
      <w:rPr>
        <w:rFonts w:ascii="宋体" w:hAnsi="宋体"/>
        <w:sz w:val="21"/>
        <w:szCs w:val="21"/>
      </w:rPr>
    </w:pP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sidR="0013131D">
      <w:rPr>
        <w:rFonts w:ascii="宋体" w:hAnsi="宋体"/>
        <w:noProof/>
        <w:kern w:val="0"/>
        <w:sz w:val="21"/>
        <w:szCs w:val="21"/>
      </w:rPr>
      <w:t>109</w:t>
    </w:r>
    <w:r>
      <w:rPr>
        <w:rFonts w:ascii="宋体" w:hAnsi="宋体"/>
        <w:kern w:val="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C8" w:rsidRDefault="00FE30C8">
      <w:r>
        <w:separator/>
      </w:r>
    </w:p>
  </w:footnote>
  <w:footnote w:type="continuationSeparator" w:id="0">
    <w:p w:rsidR="00FE30C8" w:rsidRDefault="00FE3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D3" w:rsidRDefault="003317D3">
    <w:pPr>
      <w:pStyle w:val="ad"/>
      <w:pBdr>
        <w:bottom w:val="thickThinLargeGap" w:sz="24" w:space="1" w:color="auto"/>
      </w:pBdr>
      <w:jc w:val="right"/>
      <w:rPr>
        <w:rFonts w:ascii="宋体" w:hAnsi="宋体"/>
        <w:sz w:val="21"/>
        <w:szCs w:val="21"/>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-121285</wp:posOffset>
          </wp:positionV>
          <wp:extent cx="2105025" cy="2762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2105025" cy="276225"/>
                  </a:xfrm>
                  <a:prstGeom prst="rect">
                    <a:avLst/>
                  </a:prstGeom>
                  <a:noFill/>
                </pic:spPr>
              </pic:pic>
            </a:graphicData>
          </a:graphic>
        </wp:anchor>
      </w:drawing>
    </w:r>
    <w:r>
      <w:rPr>
        <w:rFonts w:ascii="宋体" w:hAnsi="宋体" w:hint="eastAsia"/>
        <w:sz w:val="21"/>
        <w:szCs w:val="21"/>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D3" w:rsidRDefault="003317D3">
    <w:pPr>
      <w:pStyle w:val="ad"/>
      <w:jc w:val="right"/>
      <w:rPr>
        <w:rFonts w:ascii="宋体" w:hAnsi="宋体"/>
      </w:rPr>
    </w:pPr>
    <w:r>
      <w:rPr>
        <w:rFonts w:ascii="宋体" w:hAnsi="宋体" w:hint="eastAsia"/>
      </w:rPr>
      <w:t>募集申请材料之五——</w:t>
    </w:r>
    <w:r>
      <w:rPr>
        <w:rFonts w:ascii="宋体" w:hAnsi="宋体"/>
        <w:noProof/>
      </w:rPr>
      <w:drawing>
        <wp:anchor distT="0" distB="0" distL="114300" distR="114300" simplePos="0" relativeHeight="251659776" behindDoc="0" locked="0" layoutInCell="1" allowOverlap="1">
          <wp:simplePos x="0" y="0"/>
          <wp:positionH relativeFrom="column">
            <wp:posOffset>-230505</wp:posOffset>
          </wp:positionH>
          <wp:positionV relativeFrom="paragraph">
            <wp:posOffset>-121285</wp:posOffset>
          </wp:positionV>
          <wp:extent cx="2076450" cy="409575"/>
          <wp:effectExtent l="19050" t="0" r="0" b="0"/>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1"/>
                  <a:srcRect/>
                  <a:stretch>
                    <a:fillRect/>
                  </a:stretch>
                </pic:blipFill>
                <pic:spPr>
                  <a:xfrm>
                    <a:off x="0" y="0"/>
                    <a:ext cx="2076450" cy="409575"/>
                  </a:xfrm>
                  <a:prstGeom prst="rect">
                    <a:avLst/>
                  </a:prstGeom>
                  <a:noFill/>
                </pic:spPr>
              </pic:pic>
            </a:graphicData>
          </a:graphic>
        </wp:anchor>
      </w:drawing>
    </w:r>
    <w:r>
      <w:rPr>
        <w:rFonts w:ascii="宋体" w:hAnsi="宋体"/>
        <w:noProof/>
      </w:rPr>
      <w:drawing>
        <wp:anchor distT="0" distB="0" distL="114300" distR="114300" simplePos="0" relativeHeight="251656704" behindDoc="0" locked="0" layoutInCell="1" allowOverlap="1">
          <wp:simplePos x="0" y="0"/>
          <wp:positionH relativeFrom="column">
            <wp:posOffset>-228600</wp:posOffset>
          </wp:positionH>
          <wp:positionV relativeFrom="paragraph">
            <wp:posOffset>-135255</wp:posOffset>
          </wp:positionV>
          <wp:extent cx="2076450" cy="409575"/>
          <wp:effectExtent l="19050" t="0" r="0" b="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noChangeArrowheads="1"/>
                  </pic:cNvPicPr>
                </pic:nvPicPr>
                <pic:blipFill>
                  <a:blip r:embed="rId1"/>
                  <a:srcRect/>
                  <a:stretch>
                    <a:fillRect/>
                  </a:stretch>
                </pic:blipFill>
                <pic:spPr>
                  <a:xfrm>
                    <a:off x="0" y="0"/>
                    <a:ext cx="2076450" cy="409575"/>
                  </a:xfrm>
                  <a:prstGeom prst="rect">
                    <a:avLst/>
                  </a:prstGeom>
                  <a:noFill/>
                </pic:spPr>
              </pic:pic>
            </a:graphicData>
          </a:graphic>
        </wp:anchor>
      </w:drawing>
    </w:r>
    <w:r>
      <w:rPr>
        <w:rFonts w:ascii="宋体" w:hAnsi="宋体"/>
        <w:noProof/>
      </w:rPr>
      <w:drawing>
        <wp:anchor distT="0" distB="0" distL="114300" distR="114300" simplePos="0" relativeHeight="251655680" behindDoc="0" locked="0" layoutInCell="1" allowOverlap="1">
          <wp:simplePos x="0" y="0"/>
          <wp:positionH relativeFrom="column">
            <wp:posOffset>-247650</wp:posOffset>
          </wp:positionH>
          <wp:positionV relativeFrom="paragraph">
            <wp:posOffset>-121285</wp:posOffset>
          </wp:positionV>
          <wp:extent cx="2076450" cy="409575"/>
          <wp:effectExtent l="19050" t="0" r="0" b="0"/>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1"/>
                  <a:srcRect/>
                  <a:stretch>
                    <a:fillRect/>
                  </a:stretch>
                </pic:blipFill>
                <pic:spPr>
                  <a:xfrm>
                    <a:off x="0" y="0"/>
                    <a:ext cx="2076450" cy="409575"/>
                  </a:xfrm>
                  <a:prstGeom prst="rect">
                    <a:avLst/>
                  </a:prstGeom>
                  <a:noFill/>
                </pic:spPr>
              </pic:pic>
            </a:graphicData>
          </a:graphic>
        </wp:anchor>
      </w:drawing>
    </w:r>
    <w:r>
      <w:rPr>
        <w:rFonts w:ascii="宋体" w:hAnsi="宋体"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D3" w:rsidRDefault="003317D3">
    <w:pPr>
      <w:pStyle w:val="ad"/>
      <w:pBdr>
        <w:bottom w:val="thickThinLargeGap" w:sz="24" w:space="1" w:color="auto"/>
      </w:pBdr>
      <w:jc w:val="right"/>
      <w:rPr>
        <w:rFonts w:ascii="宋体" w:hAnsi="宋体"/>
        <w:sz w:val="21"/>
        <w:szCs w:val="21"/>
      </w:rP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-121285</wp:posOffset>
          </wp:positionV>
          <wp:extent cx="2105025" cy="276225"/>
          <wp:effectExtent l="0" t="0" r="952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2105025" cy="276225"/>
                  </a:xfrm>
                  <a:prstGeom prst="rect">
                    <a:avLst/>
                  </a:prstGeom>
                  <a:noFill/>
                </pic:spPr>
              </pic:pic>
            </a:graphicData>
          </a:graphic>
        </wp:anchor>
      </w:drawing>
    </w:r>
    <w:r>
      <w:rPr>
        <w:rFonts w:ascii="宋体" w:hAnsi="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51C40"/>
    <w:multiLevelType w:val="multilevel"/>
    <w:tmpl w:val="4DD51C40"/>
    <w:lvl w:ilvl="0">
      <w:start w:val="1"/>
      <w:numFmt w:val="bullet"/>
      <w:lvlText w:val=""/>
      <w:lvlJc w:val="left"/>
      <w:pPr>
        <w:tabs>
          <w:tab w:val="left" w:pos="900"/>
        </w:tabs>
        <w:ind w:left="900" w:hanging="420"/>
      </w:pPr>
      <w:rPr>
        <w:rFonts w:ascii="Symbol" w:hAnsi="Symbol" w:hint="default"/>
        <w:color w:val="auto"/>
      </w:rPr>
    </w:lvl>
    <w:lvl w:ilvl="1">
      <w:start w:val="1"/>
      <w:numFmt w:val="upperLetter"/>
      <w:lvlText w:val="%2)"/>
      <w:lvlJc w:val="left"/>
      <w:pPr>
        <w:tabs>
          <w:tab w:val="left" w:pos="840"/>
        </w:tabs>
        <w:ind w:left="840" w:hanging="420"/>
      </w:pPr>
    </w:lvl>
    <w:lvl w:ilvl="2">
      <w:start w:val="1"/>
      <w:numFmt w:val="lowerLetter"/>
      <w:lvlText w:val="%3)"/>
      <w:lvlJc w:val="left"/>
      <w:pPr>
        <w:tabs>
          <w:tab w:val="left" w:pos="1260"/>
        </w:tabs>
        <w:ind w:left="1260" w:hanging="420"/>
      </w:pPr>
    </w:lvl>
    <w:lvl w:ilvl="3">
      <w:start w:val="1"/>
      <w:numFmt w:val="lowerRoman"/>
      <w:pStyle w:val="4"/>
      <w:lvlText w:val="%4."/>
      <w:lvlJc w:val="right"/>
      <w:pPr>
        <w:tabs>
          <w:tab w:val="left" w:pos="1680"/>
        </w:tabs>
        <w:ind w:left="1680" w:hanging="420"/>
      </w:pPr>
    </w:lvl>
    <w:lvl w:ilvl="4">
      <w:start w:val="1"/>
      <w:numFmt w:val="bullet"/>
      <w:lvlText w:val=""/>
      <w:lvlJc w:val="left"/>
      <w:pPr>
        <w:tabs>
          <w:tab w:val="left" w:pos="2100"/>
        </w:tabs>
        <w:ind w:left="2100" w:hanging="420"/>
      </w:pPr>
      <w:rPr>
        <w:rFonts w:ascii="Wingdings" w:hAnsi="Wingding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DB85CD8"/>
    <w:multiLevelType w:val="multilevel"/>
    <w:tmpl w:val="7DB85CD8"/>
    <w:lvl w:ilvl="0">
      <w:start w:val="1"/>
      <w:numFmt w:val="chineseCountingThousand"/>
      <w:pStyle w:val="1"/>
      <w:suff w:val="nothing"/>
      <w:lvlText w:val="%1、"/>
      <w:lvlJc w:val="center"/>
      <w:pPr>
        <w:ind w:left="1512" w:firstLine="288"/>
      </w:pPr>
      <w:rPr>
        <w:rFonts w:hint="eastAsia"/>
      </w:rPr>
    </w:lvl>
    <w:lvl w:ilvl="1">
      <w:start w:val="1"/>
      <w:numFmt w:val="japaneseCounting"/>
      <w:lvlText w:val="（%2）"/>
      <w:lvlJc w:val="left"/>
      <w:pPr>
        <w:tabs>
          <w:tab w:val="left" w:pos="1080"/>
        </w:tabs>
        <w:ind w:left="1080" w:hanging="720"/>
      </w:pPr>
      <w:rPr>
        <w:rFonts w:ascii="宋体" w:eastAsia="宋体" w:hAnsi="宋体" w:hint="eastAsia"/>
        <w:lang w:val="en-US"/>
      </w:rPr>
    </w:lvl>
    <w:lvl w:ilvl="2">
      <w:start w:val="1"/>
      <w:numFmt w:val="decimal"/>
      <w:lvlText w:val="%3．"/>
      <w:lvlJc w:val="left"/>
      <w:pPr>
        <w:tabs>
          <w:tab w:val="left" w:pos="360"/>
        </w:tabs>
        <w:ind w:left="360" w:hanging="360"/>
      </w:pPr>
      <w:rPr>
        <w:rFonts w:ascii="Times New Roman" w:eastAsia="宋体" w:hAnsi="Times New Roman" w:cs="Times New Roman" w:hint="eastAsia"/>
      </w:rPr>
    </w:lvl>
    <w:lvl w:ilvl="3">
      <w:start w:val="1"/>
      <w:numFmt w:val="decimal"/>
      <w:lvlText w:val="（%4）"/>
      <w:lvlJc w:val="left"/>
      <w:pPr>
        <w:tabs>
          <w:tab w:val="left" w:pos="1440"/>
        </w:tabs>
        <w:ind w:left="720" w:firstLine="0"/>
      </w:pPr>
      <w:rPr>
        <w:rFonts w:ascii="Times New Roman" w:eastAsia="宋体" w:hAnsi="Times New Roman" w:hint="default"/>
        <w:sz w:val="21"/>
        <w:lang w:val="en-US"/>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07"/>
    <w:rsid w:val="000003DA"/>
    <w:rsid w:val="00000A24"/>
    <w:rsid w:val="00000A3F"/>
    <w:rsid w:val="00001403"/>
    <w:rsid w:val="0000175A"/>
    <w:rsid w:val="000018BC"/>
    <w:rsid w:val="00001EFF"/>
    <w:rsid w:val="000030AF"/>
    <w:rsid w:val="00003D20"/>
    <w:rsid w:val="00004161"/>
    <w:rsid w:val="000042AA"/>
    <w:rsid w:val="00004459"/>
    <w:rsid w:val="00004E4A"/>
    <w:rsid w:val="00005512"/>
    <w:rsid w:val="000055D2"/>
    <w:rsid w:val="00005737"/>
    <w:rsid w:val="00005762"/>
    <w:rsid w:val="000064A8"/>
    <w:rsid w:val="00006B67"/>
    <w:rsid w:val="00006FA4"/>
    <w:rsid w:val="0000703D"/>
    <w:rsid w:val="000076EE"/>
    <w:rsid w:val="000077ED"/>
    <w:rsid w:val="00007BCD"/>
    <w:rsid w:val="00007E5E"/>
    <w:rsid w:val="00010014"/>
    <w:rsid w:val="0001015E"/>
    <w:rsid w:val="00010511"/>
    <w:rsid w:val="000106EB"/>
    <w:rsid w:val="00010ACE"/>
    <w:rsid w:val="00010B3C"/>
    <w:rsid w:val="0001100A"/>
    <w:rsid w:val="000111C2"/>
    <w:rsid w:val="00011244"/>
    <w:rsid w:val="000114EB"/>
    <w:rsid w:val="0001172F"/>
    <w:rsid w:val="00011771"/>
    <w:rsid w:val="0001192F"/>
    <w:rsid w:val="00013F0D"/>
    <w:rsid w:val="00014618"/>
    <w:rsid w:val="000163D8"/>
    <w:rsid w:val="000169B1"/>
    <w:rsid w:val="00016F05"/>
    <w:rsid w:val="000177AD"/>
    <w:rsid w:val="0001797E"/>
    <w:rsid w:val="00020348"/>
    <w:rsid w:val="000206C0"/>
    <w:rsid w:val="000207EB"/>
    <w:rsid w:val="00021388"/>
    <w:rsid w:val="00021B70"/>
    <w:rsid w:val="00021B7B"/>
    <w:rsid w:val="00021FF5"/>
    <w:rsid w:val="00022297"/>
    <w:rsid w:val="0002240C"/>
    <w:rsid w:val="00022910"/>
    <w:rsid w:val="000235E0"/>
    <w:rsid w:val="00024210"/>
    <w:rsid w:val="0002430D"/>
    <w:rsid w:val="000254B3"/>
    <w:rsid w:val="00025A29"/>
    <w:rsid w:val="00025B15"/>
    <w:rsid w:val="00026389"/>
    <w:rsid w:val="00026F34"/>
    <w:rsid w:val="000279E7"/>
    <w:rsid w:val="0003084B"/>
    <w:rsid w:val="00030C29"/>
    <w:rsid w:val="0003181D"/>
    <w:rsid w:val="000319F4"/>
    <w:rsid w:val="00031BC9"/>
    <w:rsid w:val="00032D80"/>
    <w:rsid w:val="000334BB"/>
    <w:rsid w:val="00034BCA"/>
    <w:rsid w:val="000355FB"/>
    <w:rsid w:val="00035D99"/>
    <w:rsid w:val="000365AC"/>
    <w:rsid w:val="0003667C"/>
    <w:rsid w:val="00036BAE"/>
    <w:rsid w:val="00036EA8"/>
    <w:rsid w:val="00036EBD"/>
    <w:rsid w:val="00040207"/>
    <w:rsid w:val="0004024E"/>
    <w:rsid w:val="00040D87"/>
    <w:rsid w:val="00041487"/>
    <w:rsid w:val="0004148F"/>
    <w:rsid w:val="00042297"/>
    <w:rsid w:val="000425C1"/>
    <w:rsid w:val="00042CA0"/>
    <w:rsid w:val="00042F95"/>
    <w:rsid w:val="00043DC3"/>
    <w:rsid w:val="00045667"/>
    <w:rsid w:val="00045B08"/>
    <w:rsid w:val="00045D29"/>
    <w:rsid w:val="00046710"/>
    <w:rsid w:val="000467F9"/>
    <w:rsid w:val="00046FFD"/>
    <w:rsid w:val="00050799"/>
    <w:rsid w:val="0005101E"/>
    <w:rsid w:val="000515D8"/>
    <w:rsid w:val="00054697"/>
    <w:rsid w:val="000549BB"/>
    <w:rsid w:val="00054BE1"/>
    <w:rsid w:val="000552D2"/>
    <w:rsid w:val="000557DD"/>
    <w:rsid w:val="000557E5"/>
    <w:rsid w:val="00055D2A"/>
    <w:rsid w:val="00055EFE"/>
    <w:rsid w:val="0005638A"/>
    <w:rsid w:val="000565A1"/>
    <w:rsid w:val="000566E3"/>
    <w:rsid w:val="000566FE"/>
    <w:rsid w:val="00056796"/>
    <w:rsid w:val="000568EF"/>
    <w:rsid w:val="00056FF6"/>
    <w:rsid w:val="00057911"/>
    <w:rsid w:val="00057B7C"/>
    <w:rsid w:val="00057E18"/>
    <w:rsid w:val="00060030"/>
    <w:rsid w:val="000604A1"/>
    <w:rsid w:val="0006064E"/>
    <w:rsid w:val="00061147"/>
    <w:rsid w:val="000614C9"/>
    <w:rsid w:val="00061514"/>
    <w:rsid w:val="0006153F"/>
    <w:rsid w:val="00061B19"/>
    <w:rsid w:val="00061B2F"/>
    <w:rsid w:val="00061FF1"/>
    <w:rsid w:val="0006215A"/>
    <w:rsid w:val="0006308B"/>
    <w:rsid w:val="000633FE"/>
    <w:rsid w:val="000637EA"/>
    <w:rsid w:val="0006408B"/>
    <w:rsid w:val="000650BD"/>
    <w:rsid w:val="0006511B"/>
    <w:rsid w:val="0006623B"/>
    <w:rsid w:val="00066AD6"/>
    <w:rsid w:val="0006720B"/>
    <w:rsid w:val="000672CE"/>
    <w:rsid w:val="00067A4A"/>
    <w:rsid w:val="00067BC9"/>
    <w:rsid w:val="0007175E"/>
    <w:rsid w:val="00071812"/>
    <w:rsid w:val="00071C7F"/>
    <w:rsid w:val="00073108"/>
    <w:rsid w:val="0007322C"/>
    <w:rsid w:val="00073419"/>
    <w:rsid w:val="0007354C"/>
    <w:rsid w:val="00073713"/>
    <w:rsid w:val="000739FD"/>
    <w:rsid w:val="00073A23"/>
    <w:rsid w:val="000745B7"/>
    <w:rsid w:val="00074805"/>
    <w:rsid w:val="00074FF4"/>
    <w:rsid w:val="000754FC"/>
    <w:rsid w:val="000759D6"/>
    <w:rsid w:val="00076031"/>
    <w:rsid w:val="00076C3B"/>
    <w:rsid w:val="00076D6F"/>
    <w:rsid w:val="000773B4"/>
    <w:rsid w:val="000778D2"/>
    <w:rsid w:val="000801AA"/>
    <w:rsid w:val="00080A10"/>
    <w:rsid w:val="00080F8C"/>
    <w:rsid w:val="0008174C"/>
    <w:rsid w:val="00081CA4"/>
    <w:rsid w:val="00082C1A"/>
    <w:rsid w:val="00082FA7"/>
    <w:rsid w:val="00083060"/>
    <w:rsid w:val="0008324E"/>
    <w:rsid w:val="00084797"/>
    <w:rsid w:val="00085797"/>
    <w:rsid w:val="00085CBE"/>
    <w:rsid w:val="00085D33"/>
    <w:rsid w:val="000867DE"/>
    <w:rsid w:val="0008712D"/>
    <w:rsid w:val="0008732B"/>
    <w:rsid w:val="00087F44"/>
    <w:rsid w:val="000901C2"/>
    <w:rsid w:val="00090708"/>
    <w:rsid w:val="00090ADA"/>
    <w:rsid w:val="0009252D"/>
    <w:rsid w:val="000926C8"/>
    <w:rsid w:val="000929BC"/>
    <w:rsid w:val="00092CB9"/>
    <w:rsid w:val="0009310E"/>
    <w:rsid w:val="000936F5"/>
    <w:rsid w:val="00093A6D"/>
    <w:rsid w:val="00094B06"/>
    <w:rsid w:val="00094BE6"/>
    <w:rsid w:val="0009557F"/>
    <w:rsid w:val="00095713"/>
    <w:rsid w:val="000968BD"/>
    <w:rsid w:val="000974F1"/>
    <w:rsid w:val="000A124E"/>
    <w:rsid w:val="000A1870"/>
    <w:rsid w:val="000A197D"/>
    <w:rsid w:val="000A1AE4"/>
    <w:rsid w:val="000A1C8A"/>
    <w:rsid w:val="000A1EF4"/>
    <w:rsid w:val="000A35DE"/>
    <w:rsid w:val="000A4E01"/>
    <w:rsid w:val="000A5080"/>
    <w:rsid w:val="000A589A"/>
    <w:rsid w:val="000A5EA0"/>
    <w:rsid w:val="000A6909"/>
    <w:rsid w:val="000A6EA7"/>
    <w:rsid w:val="000A72F4"/>
    <w:rsid w:val="000A7406"/>
    <w:rsid w:val="000A7987"/>
    <w:rsid w:val="000A7E6D"/>
    <w:rsid w:val="000B096A"/>
    <w:rsid w:val="000B1039"/>
    <w:rsid w:val="000B1292"/>
    <w:rsid w:val="000B16CF"/>
    <w:rsid w:val="000B2C29"/>
    <w:rsid w:val="000B2D85"/>
    <w:rsid w:val="000B3723"/>
    <w:rsid w:val="000B42E9"/>
    <w:rsid w:val="000B45BD"/>
    <w:rsid w:val="000B4868"/>
    <w:rsid w:val="000B48DD"/>
    <w:rsid w:val="000B49A9"/>
    <w:rsid w:val="000B4E59"/>
    <w:rsid w:val="000B55A8"/>
    <w:rsid w:val="000B5872"/>
    <w:rsid w:val="000B5899"/>
    <w:rsid w:val="000B5A5A"/>
    <w:rsid w:val="000B634A"/>
    <w:rsid w:val="000B6C0C"/>
    <w:rsid w:val="000B7D2B"/>
    <w:rsid w:val="000B7E96"/>
    <w:rsid w:val="000C0208"/>
    <w:rsid w:val="000C123A"/>
    <w:rsid w:val="000C12FD"/>
    <w:rsid w:val="000C1BED"/>
    <w:rsid w:val="000C1E68"/>
    <w:rsid w:val="000C20D2"/>
    <w:rsid w:val="000C2769"/>
    <w:rsid w:val="000C27A2"/>
    <w:rsid w:val="000C293C"/>
    <w:rsid w:val="000C2A83"/>
    <w:rsid w:val="000C2E2B"/>
    <w:rsid w:val="000C344C"/>
    <w:rsid w:val="000C3682"/>
    <w:rsid w:val="000C3982"/>
    <w:rsid w:val="000C4138"/>
    <w:rsid w:val="000C4623"/>
    <w:rsid w:val="000C4BFA"/>
    <w:rsid w:val="000C4EB1"/>
    <w:rsid w:val="000C5324"/>
    <w:rsid w:val="000C56D1"/>
    <w:rsid w:val="000C592C"/>
    <w:rsid w:val="000C6576"/>
    <w:rsid w:val="000C6C64"/>
    <w:rsid w:val="000C723D"/>
    <w:rsid w:val="000C7668"/>
    <w:rsid w:val="000C772E"/>
    <w:rsid w:val="000C7B20"/>
    <w:rsid w:val="000D0185"/>
    <w:rsid w:val="000D357D"/>
    <w:rsid w:val="000D414E"/>
    <w:rsid w:val="000D4495"/>
    <w:rsid w:val="000D4AF7"/>
    <w:rsid w:val="000D4D3D"/>
    <w:rsid w:val="000D5032"/>
    <w:rsid w:val="000D58A7"/>
    <w:rsid w:val="000D6E5B"/>
    <w:rsid w:val="000D6FFA"/>
    <w:rsid w:val="000D7439"/>
    <w:rsid w:val="000D752F"/>
    <w:rsid w:val="000E003D"/>
    <w:rsid w:val="000E0794"/>
    <w:rsid w:val="000E09FF"/>
    <w:rsid w:val="000E121C"/>
    <w:rsid w:val="000E126A"/>
    <w:rsid w:val="000E14C8"/>
    <w:rsid w:val="000E1DBE"/>
    <w:rsid w:val="000E1DEA"/>
    <w:rsid w:val="000E216D"/>
    <w:rsid w:val="000E23CB"/>
    <w:rsid w:val="000E25A5"/>
    <w:rsid w:val="000E369D"/>
    <w:rsid w:val="000E36EF"/>
    <w:rsid w:val="000E3A1C"/>
    <w:rsid w:val="000E3C0C"/>
    <w:rsid w:val="000E3FF7"/>
    <w:rsid w:val="000E4084"/>
    <w:rsid w:val="000E489C"/>
    <w:rsid w:val="000E4F2B"/>
    <w:rsid w:val="000E5403"/>
    <w:rsid w:val="000E5AFF"/>
    <w:rsid w:val="000E5D22"/>
    <w:rsid w:val="000F009B"/>
    <w:rsid w:val="000F0614"/>
    <w:rsid w:val="000F11CA"/>
    <w:rsid w:val="000F1454"/>
    <w:rsid w:val="000F1620"/>
    <w:rsid w:val="000F1A5B"/>
    <w:rsid w:val="000F1B6C"/>
    <w:rsid w:val="000F21AE"/>
    <w:rsid w:val="000F2545"/>
    <w:rsid w:val="000F29A3"/>
    <w:rsid w:val="000F2B72"/>
    <w:rsid w:val="000F3794"/>
    <w:rsid w:val="000F4210"/>
    <w:rsid w:val="000F47F1"/>
    <w:rsid w:val="000F4F67"/>
    <w:rsid w:val="000F4FA2"/>
    <w:rsid w:val="000F51A1"/>
    <w:rsid w:val="000F5232"/>
    <w:rsid w:val="000F54AD"/>
    <w:rsid w:val="000F5A20"/>
    <w:rsid w:val="000F68CC"/>
    <w:rsid w:val="000F704E"/>
    <w:rsid w:val="000F7062"/>
    <w:rsid w:val="000F7374"/>
    <w:rsid w:val="000F7866"/>
    <w:rsid w:val="000F7DE1"/>
    <w:rsid w:val="001000DC"/>
    <w:rsid w:val="00100170"/>
    <w:rsid w:val="00100886"/>
    <w:rsid w:val="00101DAA"/>
    <w:rsid w:val="00101E2B"/>
    <w:rsid w:val="00102069"/>
    <w:rsid w:val="00102D01"/>
    <w:rsid w:val="0010319D"/>
    <w:rsid w:val="0010342B"/>
    <w:rsid w:val="00104243"/>
    <w:rsid w:val="00104B62"/>
    <w:rsid w:val="00105176"/>
    <w:rsid w:val="00105780"/>
    <w:rsid w:val="00105793"/>
    <w:rsid w:val="00106741"/>
    <w:rsid w:val="0010698A"/>
    <w:rsid w:val="00107653"/>
    <w:rsid w:val="00110F71"/>
    <w:rsid w:val="0011103B"/>
    <w:rsid w:val="001120B5"/>
    <w:rsid w:val="001123E0"/>
    <w:rsid w:val="00112817"/>
    <w:rsid w:val="00112950"/>
    <w:rsid w:val="00112A86"/>
    <w:rsid w:val="00112AE5"/>
    <w:rsid w:val="00112EEA"/>
    <w:rsid w:val="00113BA0"/>
    <w:rsid w:val="001141AF"/>
    <w:rsid w:val="00114CAC"/>
    <w:rsid w:val="00115685"/>
    <w:rsid w:val="00115BD2"/>
    <w:rsid w:val="00115CAD"/>
    <w:rsid w:val="00115DC6"/>
    <w:rsid w:val="00116828"/>
    <w:rsid w:val="00116DA1"/>
    <w:rsid w:val="00117716"/>
    <w:rsid w:val="00117C48"/>
    <w:rsid w:val="00117E1E"/>
    <w:rsid w:val="0012036F"/>
    <w:rsid w:val="00120D21"/>
    <w:rsid w:val="0012167F"/>
    <w:rsid w:val="00121AE4"/>
    <w:rsid w:val="00121F05"/>
    <w:rsid w:val="001224CA"/>
    <w:rsid w:val="00122ACE"/>
    <w:rsid w:val="00122CF1"/>
    <w:rsid w:val="00122F49"/>
    <w:rsid w:val="00123279"/>
    <w:rsid w:val="0012334C"/>
    <w:rsid w:val="00123B67"/>
    <w:rsid w:val="0012647C"/>
    <w:rsid w:val="0012681C"/>
    <w:rsid w:val="0012686E"/>
    <w:rsid w:val="00126AE0"/>
    <w:rsid w:val="00127838"/>
    <w:rsid w:val="00127BDA"/>
    <w:rsid w:val="00127E33"/>
    <w:rsid w:val="00130374"/>
    <w:rsid w:val="001304B3"/>
    <w:rsid w:val="0013063B"/>
    <w:rsid w:val="00130EAB"/>
    <w:rsid w:val="0013131D"/>
    <w:rsid w:val="001313EC"/>
    <w:rsid w:val="0013195D"/>
    <w:rsid w:val="00132A22"/>
    <w:rsid w:val="00133441"/>
    <w:rsid w:val="00133919"/>
    <w:rsid w:val="00134285"/>
    <w:rsid w:val="00134326"/>
    <w:rsid w:val="00134C79"/>
    <w:rsid w:val="00134DD5"/>
    <w:rsid w:val="00134EFC"/>
    <w:rsid w:val="00134F33"/>
    <w:rsid w:val="00134F59"/>
    <w:rsid w:val="0013583B"/>
    <w:rsid w:val="0013588C"/>
    <w:rsid w:val="00135B43"/>
    <w:rsid w:val="00135C8D"/>
    <w:rsid w:val="00136CD5"/>
    <w:rsid w:val="001373C2"/>
    <w:rsid w:val="00137435"/>
    <w:rsid w:val="00137B66"/>
    <w:rsid w:val="00140002"/>
    <w:rsid w:val="00140AFA"/>
    <w:rsid w:val="00141935"/>
    <w:rsid w:val="00141EC5"/>
    <w:rsid w:val="00142DFC"/>
    <w:rsid w:val="001432E7"/>
    <w:rsid w:val="001433ED"/>
    <w:rsid w:val="00143A86"/>
    <w:rsid w:val="00145403"/>
    <w:rsid w:val="0014568D"/>
    <w:rsid w:val="00145B5B"/>
    <w:rsid w:val="00145B96"/>
    <w:rsid w:val="0014620D"/>
    <w:rsid w:val="0014783A"/>
    <w:rsid w:val="00150FC4"/>
    <w:rsid w:val="0015121E"/>
    <w:rsid w:val="00151868"/>
    <w:rsid w:val="00151891"/>
    <w:rsid w:val="00151B57"/>
    <w:rsid w:val="00151BB5"/>
    <w:rsid w:val="001523BC"/>
    <w:rsid w:val="00152764"/>
    <w:rsid w:val="00152877"/>
    <w:rsid w:val="00152FD0"/>
    <w:rsid w:val="0015463F"/>
    <w:rsid w:val="001548C4"/>
    <w:rsid w:val="00155433"/>
    <w:rsid w:val="001560CB"/>
    <w:rsid w:val="001563BD"/>
    <w:rsid w:val="00156AF7"/>
    <w:rsid w:val="001579D5"/>
    <w:rsid w:val="00157B5F"/>
    <w:rsid w:val="001612F3"/>
    <w:rsid w:val="001615AB"/>
    <w:rsid w:val="001616F9"/>
    <w:rsid w:val="00161C8F"/>
    <w:rsid w:val="00161F07"/>
    <w:rsid w:val="001620DC"/>
    <w:rsid w:val="0016349B"/>
    <w:rsid w:val="0016384A"/>
    <w:rsid w:val="001645BD"/>
    <w:rsid w:val="00165D45"/>
    <w:rsid w:val="00165E35"/>
    <w:rsid w:val="00166C23"/>
    <w:rsid w:val="00167FA9"/>
    <w:rsid w:val="00170378"/>
    <w:rsid w:val="00170C74"/>
    <w:rsid w:val="0017175E"/>
    <w:rsid w:val="0017207C"/>
    <w:rsid w:val="001720BF"/>
    <w:rsid w:val="001720CF"/>
    <w:rsid w:val="00172432"/>
    <w:rsid w:val="001724DD"/>
    <w:rsid w:val="001727DF"/>
    <w:rsid w:val="001733F3"/>
    <w:rsid w:val="0017373A"/>
    <w:rsid w:val="00173758"/>
    <w:rsid w:val="00174476"/>
    <w:rsid w:val="001746C3"/>
    <w:rsid w:val="00174E61"/>
    <w:rsid w:val="00175F88"/>
    <w:rsid w:val="001761A6"/>
    <w:rsid w:val="00176E6D"/>
    <w:rsid w:val="001806AE"/>
    <w:rsid w:val="001806EF"/>
    <w:rsid w:val="001823DC"/>
    <w:rsid w:val="00182491"/>
    <w:rsid w:val="00182718"/>
    <w:rsid w:val="001839E4"/>
    <w:rsid w:val="00183ED2"/>
    <w:rsid w:val="00183EEA"/>
    <w:rsid w:val="00184212"/>
    <w:rsid w:val="0018461D"/>
    <w:rsid w:val="00184648"/>
    <w:rsid w:val="001850B2"/>
    <w:rsid w:val="001852D4"/>
    <w:rsid w:val="0018532A"/>
    <w:rsid w:val="001855C6"/>
    <w:rsid w:val="001857DA"/>
    <w:rsid w:val="0018598C"/>
    <w:rsid w:val="00185E77"/>
    <w:rsid w:val="0018636E"/>
    <w:rsid w:val="00186D2E"/>
    <w:rsid w:val="0018734A"/>
    <w:rsid w:val="00190B3F"/>
    <w:rsid w:val="00191D9C"/>
    <w:rsid w:val="00192E63"/>
    <w:rsid w:val="00193179"/>
    <w:rsid w:val="0019360F"/>
    <w:rsid w:val="00193758"/>
    <w:rsid w:val="00193DD3"/>
    <w:rsid w:val="00195260"/>
    <w:rsid w:val="0019673A"/>
    <w:rsid w:val="00196868"/>
    <w:rsid w:val="00196FBC"/>
    <w:rsid w:val="00197055"/>
    <w:rsid w:val="001973C0"/>
    <w:rsid w:val="00197749"/>
    <w:rsid w:val="00197789"/>
    <w:rsid w:val="0019789E"/>
    <w:rsid w:val="001A02ED"/>
    <w:rsid w:val="001A06A5"/>
    <w:rsid w:val="001A12C1"/>
    <w:rsid w:val="001A13FB"/>
    <w:rsid w:val="001A1797"/>
    <w:rsid w:val="001A18F2"/>
    <w:rsid w:val="001A1AA2"/>
    <w:rsid w:val="001A250E"/>
    <w:rsid w:val="001A2D42"/>
    <w:rsid w:val="001A329F"/>
    <w:rsid w:val="001A3A02"/>
    <w:rsid w:val="001A42A1"/>
    <w:rsid w:val="001A4FEB"/>
    <w:rsid w:val="001A52BD"/>
    <w:rsid w:val="001A62B3"/>
    <w:rsid w:val="001A65DB"/>
    <w:rsid w:val="001A67A8"/>
    <w:rsid w:val="001A6985"/>
    <w:rsid w:val="001A76A0"/>
    <w:rsid w:val="001A7F3B"/>
    <w:rsid w:val="001B030D"/>
    <w:rsid w:val="001B31AA"/>
    <w:rsid w:val="001B3543"/>
    <w:rsid w:val="001B46E9"/>
    <w:rsid w:val="001B48AB"/>
    <w:rsid w:val="001B4FA2"/>
    <w:rsid w:val="001B5C4A"/>
    <w:rsid w:val="001B5E89"/>
    <w:rsid w:val="001B66E3"/>
    <w:rsid w:val="001B6CDB"/>
    <w:rsid w:val="001B711A"/>
    <w:rsid w:val="001B75FD"/>
    <w:rsid w:val="001C09CB"/>
    <w:rsid w:val="001C10A4"/>
    <w:rsid w:val="001C13F1"/>
    <w:rsid w:val="001C1640"/>
    <w:rsid w:val="001C17A3"/>
    <w:rsid w:val="001C1FE8"/>
    <w:rsid w:val="001C242A"/>
    <w:rsid w:val="001C2457"/>
    <w:rsid w:val="001C2B59"/>
    <w:rsid w:val="001C2F5A"/>
    <w:rsid w:val="001C4DCB"/>
    <w:rsid w:val="001C5004"/>
    <w:rsid w:val="001C501B"/>
    <w:rsid w:val="001C55B3"/>
    <w:rsid w:val="001C56E3"/>
    <w:rsid w:val="001C5DEB"/>
    <w:rsid w:val="001C67A6"/>
    <w:rsid w:val="001C67AE"/>
    <w:rsid w:val="001C7BE7"/>
    <w:rsid w:val="001C7D43"/>
    <w:rsid w:val="001D1349"/>
    <w:rsid w:val="001D1B31"/>
    <w:rsid w:val="001D1BF4"/>
    <w:rsid w:val="001D1C41"/>
    <w:rsid w:val="001D256B"/>
    <w:rsid w:val="001D29F0"/>
    <w:rsid w:val="001D2B94"/>
    <w:rsid w:val="001D2C4A"/>
    <w:rsid w:val="001D395B"/>
    <w:rsid w:val="001D3CC9"/>
    <w:rsid w:val="001D3FD5"/>
    <w:rsid w:val="001D4323"/>
    <w:rsid w:val="001D43B6"/>
    <w:rsid w:val="001D4535"/>
    <w:rsid w:val="001D5370"/>
    <w:rsid w:val="001D53BD"/>
    <w:rsid w:val="001D5C23"/>
    <w:rsid w:val="001D6373"/>
    <w:rsid w:val="001D69ED"/>
    <w:rsid w:val="001D7A2A"/>
    <w:rsid w:val="001D7CD5"/>
    <w:rsid w:val="001E1211"/>
    <w:rsid w:val="001E1E3D"/>
    <w:rsid w:val="001E1E5E"/>
    <w:rsid w:val="001E222C"/>
    <w:rsid w:val="001E2521"/>
    <w:rsid w:val="001E2A77"/>
    <w:rsid w:val="001E2E2B"/>
    <w:rsid w:val="001E39EC"/>
    <w:rsid w:val="001E4003"/>
    <w:rsid w:val="001E5242"/>
    <w:rsid w:val="001E5489"/>
    <w:rsid w:val="001E5850"/>
    <w:rsid w:val="001E5D0E"/>
    <w:rsid w:val="001E60B0"/>
    <w:rsid w:val="001E62C5"/>
    <w:rsid w:val="001F0286"/>
    <w:rsid w:val="001F03F5"/>
    <w:rsid w:val="001F04DD"/>
    <w:rsid w:val="001F056F"/>
    <w:rsid w:val="001F0621"/>
    <w:rsid w:val="001F0DF3"/>
    <w:rsid w:val="001F179B"/>
    <w:rsid w:val="001F1B64"/>
    <w:rsid w:val="001F1D8B"/>
    <w:rsid w:val="001F1E9F"/>
    <w:rsid w:val="001F220E"/>
    <w:rsid w:val="001F2F83"/>
    <w:rsid w:val="001F31DA"/>
    <w:rsid w:val="001F34EB"/>
    <w:rsid w:val="001F3A1E"/>
    <w:rsid w:val="001F4070"/>
    <w:rsid w:val="001F4428"/>
    <w:rsid w:val="001F4452"/>
    <w:rsid w:val="001F4BEF"/>
    <w:rsid w:val="001F4E25"/>
    <w:rsid w:val="001F4E49"/>
    <w:rsid w:val="001F4F09"/>
    <w:rsid w:val="001F5185"/>
    <w:rsid w:val="001F5343"/>
    <w:rsid w:val="001F55D1"/>
    <w:rsid w:val="001F5B5E"/>
    <w:rsid w:val="001F6364"/>
    <w:rsid w:val="001F69C5"/>
    <w:rsid w:val="001F6DB3"/>
    <w:rsid w:val="001F7837"/>
    <w:rsid w:val="001F79D0"/>
    <w:rsid w:val="001F7B9A"/>
    <w:rsid w:val="002001DB"/>
    <w:rsid w:val="00200EDA"/>
    <w:rsid w:val="00200F79"/>
    <w:rsid w:val="00201620"/>
    <w:rsid w:val="00201621"/>
    <w:rsid w:val="0020184B"/>
    <w:rsid w:val="00201D81"/>
    <w:rsid w:val="00202875"/>
    <w:rsid w:val="00202FBF"/>
    <w:rsid w:val="00203153"/>
    <w:rsid w:val="00203D78"/>
    <w:rsid w:val="002058C1"/>
    <w:rsid w:val="00205AC6"/>
    <w:rsid w:val="00205BE0"/>
    <w:rsid w:val="00205D8E"/>
    <w:rsid w:val="0020621D"/>
    <w:rsid w:val="00206D5D"/>
    <w:rsid w:val="0020748D"/>
    <w:rsid w:val="002074E5"/>
    <w:rsid w:val="00210081"/>
    <w:rsid w:val="002108F7"/>
    <w:rsid w:val="00210CF1"/>
    <w:rsid w:val="00210EB0"/>
    <w:rsid w:val="00211B8E"/>
    <w:rsid w:val="00212249"/>
    <w:rsid w:val="0021240A"/>
    <w:rsid w:val="002124F7"/>
    <w:rsid w:val="00212E58"/>
    <w:rsid w:val="00212ECC"/>
    <w:rsid w:val="00212FD8"/>
    <w:rsid w:val="002137FD"/>
    <w:rsid w:val="00214841"/>
    <w:rsid w:val="00215167"/>
    <w:rsid w:val="0021546D"/>
    <w:rsid w:val="00215B75"/>
    <w:rsid w:val="00215E09"/>
    <w:rsid w:val="002162AA"/>
    <w:rsid w:val="00216A26"/>
    <w:rsid w:val="00216A94"/>
    <w:rsid w:val="002178CD"/>
    <w:rsid w:val="00217B07"/>
    <w:rsid w:val="00217E28"/>
    <w:rsid w:val="00217F4D"/>
    <w:rsid w:val="002202EC"/>
    <w:rsid w:val="002207A5"/>
    <w:rsid w:val="00221A4D"/>
    <w:rsid w:val="00221DE7"/>
    <w:rsid w:val="00221EE0"/>
    <w:rsid w:val="00222131"/>
    <w:rsid w:val="0022243F"/>
    <w:rsid w:val="002224FF"/>
    <w:rsid w:val="00222E21"/>
    <w:rsid w:val="00222E3D"/>
    <w:rsid w:val="00223745"/>
    <w:rsid w:val="00223CD1"/>
    <w:rsid w:val="00223E3E"/>
    <w:rsid w:val="00223FDA"/>
    <w:rsid w:val="00224519"/>
    <w:rsid w:val="00225822"/>
    <w:rsid w:val="00225D56"/>
    <w:rsid w:val="002260F0"/>
    <w:rsid w:val="00226756"/>
    <w:rsid w:val="00226EF8"/>
    <w:rsid w:val="00226F79"/>
    <w:rsid w:val="00227477"/>
    <w:rsid w:val="002302FA"/>
    <w:rsid w:val="00230B9D"/>
    <w:rsid w:val="002313CD"/>
    <w:rsid w:val="002317B3"/>
    <w:rsid w:val="00231C0D"/>
    <w:rsid w:val="0023273F"/>
    <w:rsid w:val="00232911"/>
    <w:rsid w:val="00232CD0"/>
    <w:rsid w:val="00232FC7"/>
    <w:rsid w:val="0023322D"/>
    <w:rsid w:val="0023323E"/>
    <w:rsid w:val="00233385"/>
    <w:rsid w:val="00233477"/>
    <w:rsid w:val="00233EC2"/>
    <w:rsid w:val="002340F9"/>
    <w:rsid w:val="00234C31"/>
    <w:rsid w:val="00234CD8"/>
    <w:rsid w:val="00234DDF"/>
    <w:rsid w:val="0023530B"/>
    <w:rsid w:val="00235454"/>
    <w:rsid w:val="00235682"/>
    <w:rsid w:val="002356BF"/>
    <w:rsid w:val="00236290"/>
    <w:rsid w:val="002363A5"/>
    <w:rsid w:val="0023744B"/>
    <w:rsid w:val="0023757B"/>
    <w:rsid w:val="00237A89"/>
    <w:rsid w:val="00237BFC"/>
    <w:rsid w:val="00237F7A"/>
    <w:rsid w:val="002406AE"/>
    <w:rsid w:val="002408A6"/>
    <w:rsid w:val="002410AA"/>
    <w:rsid w:val="00241142"/>
    <w:rsid w:val="00241334"/>
    <w:rsid w:val="00241CF1"/>
    <w:rsid w:val="0024211D"/>
    <w:rsid w:val="00242182"/>
    <w:rsid w:val="002429D9"/>
    <w:rsid w:val="00242C8A"/>
    <w:rsid w:val="00242E99"/>
    <w:rsid w:val="0024327D"/>
    <w:rsid w:val="0024344D"/>
    <w:rsid w:val="0024397D"/>
    <w:rsid w:val="00243DE3"/>
    <w:rsid w:val="002444A8"/>
    <w:rsid w:val="00244906"/>
    <w:rsid w:val="00245442"/>
    <w:rsid w:val="00245AC9"/>
    <w:rsid w:val="00245B9D"/>
    <w:rsid w:val="00246398"/>
    <w:rsid w:val="0024662F"/>
    <w:rsid w:val="00246729"/>
    <w:rsid w:val="00246D1F"/>
    <w:rsid w:val="0024745C"/>
    <w:rsid w:val="0024780D"/>
    <w:rsid w:val="00247DFD"/>
    <w:rsid w:val="00247E87"/>
    <w:rsid w:val="00250118"/>
    <w:rsid w:val="002504DC"/>
    <w:rsid w:val="00250863"/>
    <w:rsid w:val="002512C0"/>
    <w:rsid w:val="0025185B"/>
    <w:rsid w:val="00251955"/>
    <w:rsid w:val="0025212B"/>
    <w:rsid w:val="002525D0"/>
    <w:rsid w:val="00252678"/>
    <w:rsid w:val="00252A75"/>
    <w:rsid w:val="0025378F"/>
    <w:rsid w:val="002537AF"/>
    <w:rsid w:val="00253DBE"/>
    <w:rsid w:val="00253F11"/>
    <w:rsid w:val="00254C50"/>
    <w:rsid w:val="0025508A"/>
    <w:rsid w:val="0025516A"/>
    <w:rsid w:val="002552B4"/>
    <w:rsid w:val="002553FD"/>
    <w:rsid w:val="002555D7"/>
    <w:rsid w:val="00255BD2"/>
    <w:rsid w:val="002566D0"/>
    <w:rsid w:val="00256761"/>
    <w:rsid w:val="00256936"/>
    <w:rsid w:val="002579A9"/>
    <w:rsid w:val="00257DDF"/>
    <w:rsid w:val="002604A7"/>
    <w:rsid w:val="00260D9D"/>
    <w:rsid w:val="0026110A"/>
    <w:rsid w:val="00261280"/>
    <w:rsid w:val="0026130B"/>
    <w:rsid w:val="00261A70"/>
    <w:rsid w:val="002625F3"/>
    <w:rsid w:val="00262F22"/>
    <w:rsid w:val="00263393"/>
    <w:rsid w:val="00263B48"/>
    <w:rsid w:val="002649F9"/>
    <w:rsid w:val="00264B7B"/>
    <w:rsid w:val="00265BEF"/>
    <w:rsid w:val="00265E00"/>
    <w:rsid w:val="002660F4"/>
    <w:rsid w:val="002663F8"/>
    <w:rsid w:val="002701B0"/>
    <w:rsid w:val="002705A3"/>
    <w:rsid w:val="00271134"/>
    <w:rsid w:val="00271B9E"/>
    <w:rsid w:val="00271D88"/>
    <w:rsid w:val="002723C9"/>
    <w:rsid w:val="002725D6"/>
    <w:rsid w:val="00273C8E"/>
    <w:rsid w:val="00274110"/>
    <w:rsid w:val="00274133"/>
    <w:rsid w:val="002744F9"/>
    <w:rsid w:val="0027454A"/>
    <w:rsid w:val="0027481B"/>
    <w:rsid w:val="002749EA"/>
    <w:rsid w:val="00274A2D"/>
    <w:rsid w:val="00274C40"/>
    <w:rsid w:val="002753BA"/>
    <w:rsid w:val="002758E5"/>
    <w:rsid w:val="002759C3"/>
    <w:rsid w:val="00276B18"/>
    <w:rsid w:val="0027706F"/>
    <w:rsid w:val="002774A5"/>
    <w:rsid w:val="002776D7"/>
    <w:rsid w:val="0027778D"/>
    <w:rsid w:val="00277C71"/>
    <w:rsid w:val="00281052"/>
    <w:rsid w:val="002820C7"/>
    <w:rsid w:val="00282436"/>
    <w:rsid w:val="0028301D"/>
    <w:rsid w:val="00283073"/>
    <w:rsid w:val="002836A5"/>
    <w:rsid w:val="00283776"/>
    <w:rsid w:val="0028464D"/>
    <w:rsid w:val="00285103"/>
    <w:rsid w:val="00285A95"/>
    <w:rsid w:val="00285F5A"/>
    <w:rsid w:val="00286006"/>
    <w:rsid w:val="00287515"/>
    <w:rsid w:val="00287ACE"/>
    <w:rsid w:val="00287E15"/>
    <w:rsid w:val="002913F5"/>
    <w:rsid w:val="00291683"/>
    <w:rsid w:val="0029209D"/>
    <w:rsid w:val="002921DF"/>
    <w:rsid w:val="0029241C"/>
    <w:rsid w:val="00292856"/>
    <w:rsid w:val="00293752"/>
    <w:rsid w:val="00294080"/>
    <w:rsid w:val="0029410F"/>
    <w:rsid w:val="002943A1"/>
    <w:rsid w:val="0029446A"/>
    <w:rsid w:val="002948BB"/>
    <w:rsid w:val="0029494F"/>
    <w:rsid w:val="00294D22"/>
    <w:rsid w:val="002955E3"/>
    <w:rsid w:val="0029590A"/>
    <w:rsid w:val="00296168"/>
    <w:rsid w:val="00296B64"/>
    <w:rsid w:val="002A09C3"/>
    <w:rsid w:val="002A0F5C"/>
    <w:rsid w:val="002A0FB6"/>
    <w:rsid w:val="002A16C5"/>
    <w:rsid w:val="002A1FA4"/>
    <w:rsid w:val="002A26A7"/>
    <w:rsid w:val="002A27D3"/>
    <w:rsid w:val="002A2982"/>
    <w:rsid w:val="002A3250"/>
    <w:rsid w:val="002A36E8"/>
    <w:rsid w:val="002A39D7"/>
    <w:rsid w:val="002A46E6"/>
    <w:rsid w:val="002A4E4A"/>
    <w:rsid w:val="002A523C"/>
    <w:rsid w:val="002A578D"/>
    <w:rsid w:val="002A57FB"/>
    <w:rsid w:val="002A6191"/>
    <w:rsid w:val="002A631C"/>
    <w:rsid w:val="002A67FF"/>
    <w:rsid w:val="002A6866"/>
    <w:rsid w:val="002A6ACB"/>
    <w:rsid w:val="002A716C"/>
    <w:rsid w:val="002A7A7A"/>
    <w:rsid w:val="002A7E29"/>
    <w:rsid w:val="002B0315"/>
    <w:rsid w:val="002B09A3"/>
    <w:rsid w:val="002B0B7A"/>
    <w:rsid w:val="002B0E52"/>
    <w:rsid w:val="002B1106"/>
    <w:rsid w:val="002B1390"/>
    <w:rsid w:val="002B1418"/>
    <w:rsid w:val="002B1CBE"/>
    <w:rsid w:val="002B2351"/>
    <w:rsid w:val="002B244D"/>
    <w:rsid w:val="002B2536"/>
    <w:rsid w:val="002B267E"/>
    <w:rsid w:val="002B2841"/>
    <w:rsid w:val="002B2BE3"/>
    <w:rsid w:val="002B3004"/>
    <w:rsid w:val="002B355E"/>
    <w:rsid w:val="002B4127"/>
    <w:rsid w:val="002B48CC"/>
    <w:rsid w:val="002B4C22"/>
    <w:rsid w:val="002B4C6C"/>
    <w:rsid w:val="002B63BB"/>
    <w:rsid w:val="002B6B78"/>
    <w:rsid w:val="002B6DA4"/>
    <w:rsid w:val="002B74C7"/>
    <w:rsid w:val="002B7571"/>
    <w:rsid w:val="002B7D88"/>
    <w:rsid w:val="002B7DCE"/>
    <w:rsid w:val="002C125F"/>
    <w:rsid w:val="002C3550"/>
    <w:rsid w:val="002C389F"/>
    <w:rsid w:val="002C3A3E"/>
    <w:rsid w:val="002C3DEC"/>
    <w:rsid w:val="002C4674"/>
    <w:rsid w:val="002C58D3"/>
    <w:rsid w:val="002C5D38"/>
    <w:rsid w:val="002C605C"/>
    <w:rsid w:val="002C60AC"/>
    <w:rsid w:val="002C6A96"/>
    <w:rsid w:val="002C70DF"/>
    <w:rsid w:val="002C7E7D"/>
    <w:rsid w:val="002D0437"/>
    <w:rsid w:val="002D0455"/>
    <w:rsid w:val="002D06D5"/>
    <w:rsid w:val="002D0C82"/>
    <w:rsid w:val="002D2B39"/>
    <w:rsid w:val="002D2CF7"/>
    <w:rsid w:val="002D2EA5"/>
    <w:rsid w:val="002D2FE9"/>
    <w:rsid w:val="002D303D"/>
    <w:rsid w:val="002D3A69"/>
    <w:rsid w:val="002D3C7A"/>
    <w:rsid w:val="002D4234"/>
    <w:rsid w:val="002D4651"/>
    <w:rsid w:val="002D4B59"/>
    <w:rsid w:val="002D555F"/>
    <w:rsid w:val="002D55F6"/>
    <w:rsid w:val="002D5EDA"/>
    <w:rsid w:val="002D6619"/>
    <w:rsid w:val="002D66D8"/>
    <w:rsid w:val="002D6AA9"/>
    <w:rsid w:val="002D6C0D"/>
    <w:rsid w:val="002D6E33"/>
    <w:rsid w:val="002D76DC"/>
    <w:rsid w:val="002D78C0"/>
    <w:rsid w:val="002D7EE5"/>
    <w:rsid w:val="002E0782"/>
    <w:rsid w:val="002E0C7C"/>
    <w:rsid w:val="002E0E19"/>
    <w:rsid w:val="002E13C0"/>
    <w:rsid w:val="002E141A"/>
    <w:rsid w:val="002E1707"/>
    <w:rsid w:val="002E2163"/>
    <w:rsid w:val="002E2211"/>
    <w:rsid w:val="002E245F"/>
    <w:rsid w:val="002E3042"/>
    <w:rsid w:val="002E3848"/>
    <w:rsid w:val="002E3C8B"/>
    <w:rsid w:val="002E3CF5"/>
    <w:rsid w:val="002E4459"/>
    <w:rsid w:val="002E4478"/>
    <w:rsid w:val="002E52A7"/>
    <w:rsid w:val="002E5AAE"/>
    <w:rsid w:val="002E5BD9"/>
    <w:rsid w:val="002E5C20"/>
    <w:rsid w:val="002E652C"/>
    <w:rsid w:val="002E6699"/>
    <w:rsid w:val="002E6804"/>
    <w:rsid w:val="002E6BDF"/>
    <w:rsid w:val="002E77E5"/>
    <w:rsid w:val="002F0CF5"/>
    <w:rsid w:val="002F1019"/>
    <w:rsid w:val="002F1022"/>
    <w:rsid w:val="002F1888"/>
    <w:rsid w:val="002F26DD"/>
    <w:rsid w:val="002F274C"/>
    <w:rsid w:val="002F2ABD"/>
    <w:rsid w:val="002F36D1"/>
    <w:rsid w:val="002F39D8"/>
    <w:rsid w:val="002F40E3"/>
    <w:rsid w:val="002F41AD"/>
    <w:rsid w:val="002F4759"/>
    <w:rsid w:val="002F4927"/>
    <w:rsid w:val="002F4A58"/>
    <w:rsid w:val="002F4A73"/>
    <w:rsid w:val="002F55D3"/>
    <w:rsid w:val="002F5FEF"/>
    <w:rsid w:val="002F6D33"/>
    <w:rsid w:val="002F75E2"/>
    <w:rsid w:val="003016BF"/>
    <w:rsid w:val="00301ABF"/>
    <w:rsid w:val="0030202C"/>
    <w:rsid w:val="00302082"/>
    <w:rsid w:val="0030212D"/>
    <w:rsid w:val="00302503"/>
    <w:rsid w:val="003026D9"/>
    <w:rsid w:val="003028F6"/>
    <w:rsid w:val="00302B38"/>
    <w:rsid w:val="00303095"/>
    <w:rsid w:val="003036F8"/>
    <w:rsid w:val="00303E89"/>
    <w:rsid w:val="00304B12"/>
    <w:rsid w:val="00304C4F"/>
    <w:rsid w:val="0030508D"/>
    <w:rsid w:val="0030513D"/>
    <w:rsid w:val="00305292"/>
    <w:rsid w:val="003056C0"/>
    <w:rsid w:val="00306539"/>
    <w:rsid w:val="0030675A"/>
    <w:rsid w:val="003075AD"/>
    <w:rsid w:val="00307856"/>
    <w:rsid w:val="00307C7F"/>
    <w:rsid w:val="003102A5"/>
    <w:rsid w:val="00311269"/>
    <w:rsid w:val="00311328"/>
    <w:rsid w:val="00311BAE"/>
    <w:rsid w:val="00311E48"/>
    <w:rsid w:val="00312066"/>
    <w:rsid w:val="00312C61"/>
    <w:rsid w:val="00313123"/>
    <w:rsid w:val="00313730"/>
    <w:rsid w:val="003137A4"/>
    <w:rsid w:val="0031381B"/>
    <w:rsid w:val="00313DFC"/>
    <w:rsid w:val="00315583"/>
    <w:rsid w:val="00317036"/>
    <w:rsid w:val="00317497"/>
    <w:rsid w:val="003175D7"/>
    <w:rsid w:val="0031789D"/>
    <w:rsid w:val="003200F2"/>
    <w:rsid w:val="003215EA"/>
    <w:rsid w:val="0032278F"/>
    <w:rsid w:val="003228A9"/>
    <w:rsid w:val="00322A66"/>
    <w:rsid w:val="0032338E"/>
    <w:rsid w:val="0032361F"/>
    <w:rsid w:val="003239A8"/>
    <w:rsid w:val="00323AA6"/>
    <w:rsid w:val="00323E51"/>
    <w:rsid w:val="00324908"/>
    <w:rsid w:val="00324F06"/>
    <w:rsid w:val="003258FE"/>
    <w:rsid w:val="003260F1"/>
    <w:rsid w:val="0032665E"/>
    <w:rsid w:val="00326991"/>
    <w:rsid w:val="003269CA"/>
    <w:rsid w:val="00326BF7"/>
    <w:rsid w:val="00327281"/>
    <w:rsid w:val="003273F7"/>
    <w:rsid w:val="00327DB6"/>
    <w:rsid w:val="00330209"/>
    <w:rsid w:val="003306AD"/>
    <w:rsid w:val="003317D3"/>
    <w:rsid w:val="00331818"/>
    <w:rsid w:val="00331FE1"/>
    <w:rsid w:val="0033215B"/>
    <w:rsid w:val="003330FA"/>
    <w:rsid w:val="0033365D"/>
    <w:rsid w:val="00333D9C"/>
    <w:rsid w:val="0033442B"/>
    <w:rsid w:val="003346A6"/>
    <w:rsid w:val="00335039"/>
    <w:rsid w:val="00335063"/>
    <w:rsid w:val="003351B5"/>
    <w:rsid w:val="003357FC"/>
    <w:rsid w:val="00335947"/>
    <w:rsid w:val="00335988"/>
    <w:rsid w:val="00335B4D"/>
    <w:rsid w:val="00336140"/>
    <w:rsid w:val="003361DC"/>
    <w:rsid w:val="003369D4"/>
    <w:rsid w:val="00337A4B"/>
    <w:rsid w:val="00340115"/>
    <w:rsid w:val="0034015D"/>
    <w:rsid w:val="00340534"/>
    <w:rsid w:val="00340779"/>
    <w:rsid w:val="00340AF4"/>
    <w:rsid w:val="00340F09"/>
    <w:rsid w:val="00342732"/>
    <w:rsid w:val="00343E24"/>
    <w:rsid w:val="0034447B"/>
    <w:rsid w:val="00344523"/>
    <w:rsid w:val="00344D9F"/>
    <w:rsid w:val="00344EED"/>
    <w:rsid w:val="003451BE"/>
    <w:rsid w:val="0034544B"/>
    <w:rsid w:val="003454A7"/>
    <w:rsid w:val="00345EE5"/>
    <w:rsid w:val="003465A3"/>
    <w:rsid w:val="00346C13"/>
    <w:rsid w:val="0034752C"/>
    <w:rsid w:val="003501B2"/>
    <w:rsid w:val="00350230"/>
    <w:rsid w:val="00351578"/>
    <w:rsid w:val="003519C0"/>
    <w:rsid w:val="00352114"/>
    <w:rsid w:val="00352271"/>
    <w:rsid w:val="00352544"/>
    <w:rsid w:val="00352569"/>
    <w:rsid w:val="0035299F"/>
    <w:rsid w:val="00352BF6"/>
    <w:rsid w:val="00352F1D"/>
    <w:rsid w:val="003535F5"/>
    <w:rsid w:val="00354279"/>
    <w:rsid w:val="00354747"/>
    <w:rsid w:val="003547A7"/>
    <w:rsid w:val="00354AAC"/>
    <w:rsid w:val="00354F86"/>
    <w:rsid w:val="00355322"/>
    <w:rsid w:val="0035546B"/>
    <w:rsid w:val="00355B57"/>
    <w:rsid w:val="0035690A"/>
    <w:rsid w:val="00356D61"/>
    <w:rsid w:val="00356DA0"/>
    <w:rsid w:val="003570FE"/>
    <w:rsid w:val="0036019C"/>
    <w:rsid w:val="00360D00"/>
    <w:rsid w:val="00360D34"/>
    <w:rsid w:val="0036105E"/>
    <w:rsid w:val="00361743"/>
    <w:rsid w:val="00362509"/>
    <w:rsid w:val="00362845"/>
    <w:rsid w:val="00363AE9"/>
    <w:rsid w:val="00364182"/>
    <w:rsid w:val="0036552B"/>
    <w:rsid w:val="003663CE"/>
    <w:rsid w:val="003665FC"/>
    <w:rsid w:val="00366758"/>
    <w:rsid w:val="003669AA"/>
    <w:rsid w:val="00366E99"/>
    <w:rsid w:val="0036769B"/>
    <w:rsid w:val="00367BC0"/>
    <w:rsid w:val="00370436"/>
    <w:rsid w:val="003706F4"/>
    <w:rsid w:val="0037073F"/>
    <w:rsid w:val="00370814"/>
    <w:rsid w:val="00371005"/>
    <w:rsid w:val="00371E03"/>
    <w:rsid w:val="0037210F"/>
    <w:rsid w:val="00372126"/>
    <w:rsid w:val="00372941"/>
    <w:rsid w:val="00372EEB"/>
    <w:rsid w:val="003739D7"/>
    <w:rsid w:val="00373D6A"/>
    <w:rsid w:val="003746EC"/>
    <w:rsid w:val="0037512A"/>
    <w:rsid w:val="00375ECC"/>
    <w:rsid w:val="003762C8"/>
    <w:rsid w:val="00376A8A"/>
    <w:rsid w:val="00377046"/>
    <w:rsid w:val="0038017A"/>
    <w:rsid w:val="00380AC9"/>
    <w:rsid w:val="00381963"/>
    <w:rsid w:val="00382384"/>
    <w:rsid w:val="003845E1"/>
    <w:rsid w:val="00385A62"/>
    <w:rsid w:val="003863A3"/>
    <w:rsid w:val="003864CE"/>
    <w:rsid w:val="00386BF4"/>
    <w:rsid w:val="00386C7D"/>
    <w:rsid w:val="00386D62"/>
    <w:rsid w:val="00386DAF"/>
    <w:rsid w:val="00387144"/>
    <w:rsid w:val="00387C1F"/>
    <w:rsid w:val="00390464"/>
    <w:rsid w:val="00391BEC"/>
    <w:rsid w:val="00392284"/>
    <w:rsid w:val="00392C96"/>
    <w:rsid w:val="00393705"/>
    <w:rsid w:val="00393820"/>
    <w:rsid w:val="00393C27"/>
    <w:rsid w:val="00394053"/>
    <w:rsid w:val="003941D2"/>
    <w:rsid w:val="00395EFE"/>
    <w:rsid w:val="0039636F"/>
    <w:rsid w:val="00396B23"/>
    <w:rsid w:val="00397F4A"/>
    <w:rsid w:val="003A02C7"/>
    <w:rsid w:val="003A032C"/>
    <w:rsid w:val="003A05CD"/>
    <w:rsid w:val="003A0941"/>
    <w:rsid w:val="003A27E0"/>
    <w:rsid w:val="003A2B61"/>
    <w:rsid w:val="003A3487"/>
    <w:rsid w:val="003A3D37"/>
    <w:rsid w:val="003A4B7A"/>
    <w:rsid w:val="003A513E"/>
    <w:rsid w:val="003A69BB"/>
    <w:rsid w:val="003A6D2F"/>
    <w:rsid w:val="003A71E4"/>
    <w:rsid w:val="003A7FF7"/>
    <w:rsid w:val="003B0277"/>
    <w:rsid w:val="003B08F4"/>
    <w:rsid w:val="003B0936"/>
    <w:rsid w:val="003B0D35"/>
    <w:rsid w:val="003B1059"/>
    <w:rsid w:val="003B12AA"/>
    <w:rsid w:val="003B1D51"/>
    <w:rsid w:val="003B1E11"/>
    <w:rsid w:val="003B2A8E"/>
    <w:rsid w:val="003B2CFC"/>
    <w:rsid w:val="003B2F56"/>
    <w:rsid w:val="003B3335"/>
    <w:rsid w:val="003B41D8"/>
    <w:rsid w:val="003B449F"/>
    <w:rsid w:val="003B46D9"/>
    <w:rsid w:val="003B49A2"/>
    <w:rsid w:val="003B4A61"/>
    <w:rsid w:val="003B5066"/>
    <w:rsid w:val="003B5652"/>
    <w:rsid w:val="003B5994"/>
    <w:rsid w:val="003B5AB7"/>
    <w:rsid w:val="003B5DCD"/>
    <w:rsid w:val="003B6C6F"/>
    <w:rsid w:val="003B6DD4"/>
    <w:rsid w:val="003B7463"/>
    <w:rsid w:val="003B777C"/>
    <w:rsid w:val="003B7C1A"/>
    <w:rsid w:val="003C0481"/>
    <w:rsid w:val="003C057D"/>
    <w:rsid w:val="003C07C3"/>
    <w:rsid w:val="003C0D50"/>
    <w:rsid w:val="003C1122"/>
    <w:rsid w:val="003C115F"/>
    <w:rsid w:val="003C1686"/>
    <w:rsid w:val="003C26F9"/>
    <w:rsid w:val="003C2A95"/>
    <w:rsid w:val="003C3BC9"/>
    <w:rsid w:val="003C4000"/>
    <w:rsid w:val="003C40FE"/>
    <w:rsid w:val="003C4422"/>
    <w:rsid w:val="003C4EE2"/>
    <w:rsid w:val="003C6537"/>
    <w:rsid w:val="003D03F8"/>
    <w:rsid w:val="003D0459"/>
    <w:rsid w:val="003D0F07"/>
    <w:rsid w:val="003D1631"/>
    <w:rsid w:val="003D243C"/>
    <w:rsid w:val="003D2B0C"/>
    <w:rsid w:val="003D3558"/>
    <w:rsid w:val="003D3AEB"/>
    <w:rsid w:val="003D3BB1"/>
    <w:rsid w:val="003D40D2"/>
    <w:rsid w:val="003D4CD6"/>
    <w:rsid w:val="003D55F0"/>
    <w:rsid w:val="003D5852"/>
    <w:rsid w:val="003D5EED"/>
    <w:rsid w:val="003D5F12"/>
    <w:rsid w:val="003D63F6"/>
    <w:rsid w:val="003D7032"/>
    <w:rsid w:val="003D785A"/>
    <w:rsid w:val="003D79B7"/>
    <w:rsid w:val="003D7B41"/>
    <w:rsid w:val="003D7BA7"/>
    <w:rsid w:val="003D7D1C"/>
    <w:rsid w:val="003E010A"/>
    <w:rsid w:val="003E0784"/>
    <w:rsid w:val="003E0DC4"/>
    <w:rsid w:val="003E0ED0"/>
    <w:rsid w:val="003E13D3"/>
    <w:rsid w:val="003E2358"/>
    <w:rsid w:val="003E24DD"/>
    <w:rsid w:val="003E29CE"/>
    <w:rsid w:val="003E2A6A"/>
    <w:rsid w:val="003E3722"/>
    <w:rsid w:val="003E3B7A"/>
    <w:rsid w:val="003E6190"/>
    <w:rsid w:val="003E6E2E"/>
    <w:rsid w:val="003E7487"/>
    <w:rsid w:val="003E758F"/>
    <w:rsid w:val="003F0151"/>
    <w:rsid w:val="003F0FC1"/>
    <w:rsid w:val="003F10BD"/>
    <w:rsid w:val="003F1BBF"/>
    <w:rsid w:val="003F2005"/>
    <w:rsid w:val="003F24FD"/>
    <w:rsid w:val="003F2A86"/>
    <w:rsid w:val="003F2B92"/>
    <w:rsid w:val="003F30AD"/>
    <w:rsid w:val="003F378B"/>
    <w:rsid w:val="003F493B"/>
    <w:rsid w:val="003F4D4E"/>
    <w:rsid w:val="003F56BE"/>
    <w:rsid w:val="003F57FC"/>
    <w:rsid w:val="003F5EBC"/>
    <w:rsid w:val="003F6020"/>
    <w:rsid w:val="003F6548"/>
    <w:rsid w:val="003F6620"/>
    <w:rsid w:val="003F6A36"/>
    <w:rsid w:val="003F6F4D"/>
    <w:rsid w:val="003F70C7"/>
    <w:rsid w:val="003F7DB1"/>
    <w:rsid w:val="00400479"/>
    <w:rsid w:val="00401DCF"/>
    <w:rsid w:val="0040204E"/>
    <w:rsid w:val="004022EC"/>
    <w:rsid w:val="00402DA8"/>
    <w:rsid w:val="0040301A"/>
    <w:rsid w:val="00404B32"/>
    <w:rsid w:val="00404F16"/>
    <w:rsid w:val="0040519B"/>
    <w:rsid w:val="004056A3"/>
    <w:rsid w:val="0040576C"/>
    <w:rsid w:val="00405E02"/>
    <w:rsid w:val="00405F34"/>
    <w:rsid w:val="00406894"/>
    <w:rsid w:val="00406DC5"/>
    <w:rsid w:val="00407B7D"/>
    <w:rsid w:val="004102A5"/>
    <w:rsid w:val="00410739"/>
    <w:rsid w:val="00411718"/>
    <w:rsid w:val="00412035"/>
    <w:rsid w:val="00412948"/>
    <w:rsid w:val="00413EC0"/>
    <w:rsid w:val="00415AAB"/>
    <w:rsid w:val="00415FF8"/>
    <w:rsid w:val="0041605E"/>
    <w:rsid w:val="00416285"/>
    <w:rsid w:val="00416B83"/>
    <w:rsid w:val="00416EE6"/>
    <w:rsid w:val="0041778C"/>
    <w:rsid w:val="00417FDF"/>
    <w:rsid w:val="004203B8"/>
    <w:rsid w:val="00423900"/>
    <w:rsid w:val="00423984"/>
    <w:rsid w:val="0042399B"/>
    <w:rsid w:val="00423B33"/>
    <w:rsid w:val="004245E7"/>
    <w:rsid w:val="00424B67"/>
    <w:rsid w:val="0042509D"/>
    <w:rsid w:val="004259E7"/>
    <w:rsid w:val="00426011"/>
    <w:rsid w:val="0042622E"/>
    <w:rsid w:val="0042653D"/>
    <w:rsid w:val="004272E9"/>
    <w:rsid w:val="00427C56"/>
    <w:rsid w:val="00427CEA"/>
    <w:rsid w:val="00430113"/>
    <w:rsid w:val="00430ED1"/>
    <w:rsid w:val="00431520"/>
    <w:rsid w:val="00431F2C"/>
    <w:rsid w:val="004320AB"/>
    <w:rsid w:val="0043220A"/>
    <w:rsid w:val="00432A8A"/>
    <w:rsid w:val="00432AB3"/>
    <w:rsid w:val="004331F8"/>
    <w:rsid w:val="004333D1"/>
    <w:rsid w:val="0043369B"/>
    <w:rsid w:val="00433A3B"/>
    <w:rsid w:val="00433EB0"/>
    <w:rsid w:val="00433F91"/>
    <w:rsid w:val="00434572"/>
    <w:rsid w:val="00434C25"/>
    <w:rsid w:val="00434C5A"/>
    <w:rsid w:val="00435049"/>
    <w:rsid w:val="004350AE"/>
    <w:rsid w:val="0043558E"/>
    <w:rsid w:val="00435653"/>
    <w:rsid w:val="00435A74"/>
    <w:rsid w:val="00435B8B"/>
    <w:rsid w:val="004369ED"/>
    <w:rsid w:val="00436F96"/>
    <w:rsid w:val="00437334"/>
    <w:rsid w:val="00437D5C"/>
    <w:rsid w:val="004407BE"/>
    <w:rsid w:val="004411A1"/>
    <w:rsid w:val="00441ADA"/>
    <w:rsid w:val="00441E35"/>
    <w:rsid w:val="004426B1"/>
    <w:rsid w:val="00442F8B"/>
    <w:rsid w:val="00443084"/>
    <w:rsid w:val="00443CF2"/>
    <w:rsid w:val="00443DCD"/>
    <w:rsid w:val="00444553"/>
    <w:rsid w:val="0044492C"/>
    <w:rsid w:val="004449DB"/>
    <w:rsid w:val="00444B52"/>
    <w:rsid w:val="00444EA1"/>
    <w:rsid w:val="00445728"/>
    <w:rsid w:val="004458F8"/>
    <w:rsid w:val="00445B3D"/>
    <w:rsid w:val="00445C15"/>
    <w:rsid w:val="004461D1"/>
    <w:rsid w:val="00447153"/>
    <w:rsid w:val="00447267"/>
    <w:rsid w:val="00447325"/>
    <w:rsid w:val="00447609"/>
    <w:rsid w:val="004476C6"/>
    <w:rsid w:val="00450F1A"/>
    <w:rsid w:val="004515B3"/>
    <w:rsid w:val="00451BBA"/>
    <w:rsid w:val="00451ED8"/>
    <w:rsid w:val="00451FAA"/>
    <w:rsid w:val="004525BB"/>
    <w:rsid w:val="0045310C"/>
    <w:rsid w:val="004531E3"/>
    <w:rsid w:val="0045340B"/>
    <w:rsid w:val="004535BD"/>
    <w:rsid w:val="00453A0E"/>
    <w:rsid w:val="00453C00"/>
    <w:rsid w:val="00453D12"/>
    <w:rsid w:val="0045431E"/>
    <w:rsid w:val="00454954"/>
    <w:rsid w:val="00454D5D"/>
    <w:rsid w:val="00454D65"/>
    <w:rsid w:val="004555A0"/>
    <w:rsid w:val="004555B6"/>
    <w:rsid w:val="0045586B"/>
    <w:rsid w:val="00455C2F"/>
    <w:rsid w:val="00455CCE"/>
    <w:rsid w:val="00455FC3"/>
    <w:rsid w:val="004563AE"/>
    <w:rsid w:val="00456AB0"/>
    <w:rsid w:val="00456DD1"/>
    <w:rsid w:val="004572EB"/>
    <w:rsid w:val="00457A13"/>
    <w:rsid w:val="00457CDE"/>
    <w:rsid w:val="004606B8"/>
    <w:rsid w:val="00460968"/>
    <w:rsid w:val="00460D57"/>
    <w:rsid w:val="004629C8"/>
    <w:rsid w:val="004634D8"/>
    <w:rsid w:val="00463A0F"/>
    <w:rsid w:val="00463E22"/>
    <w:rsid w:val="00464934"/>
    <w:rsid w:val="004659F3"/>
    <w:rsid w:val="004671CB"/>
    <w:rsid w:val="00467991"/>
    <w:rsid w:val="00467E62"/>
    <w:rsid w:val="00470B5B"/>
    <w:rsid w:val="00471B5C"/>
    <w:rsid w:val="00472070"/>
    <w:rsid w:val="00472208"/>
    <w:rsid w:val="0047224C"/>
    <w:rsid w:val="00472485"/>
    <w:rsid w:val="00472A9A"/>
    <w:rsid w:val="00472DCC"/>
    <w:rsid w:val="00473CEE"/>
    <w:rsid w:val="00474392"/>
    <w:rsid w:val="00474606"/>
    <w:rsid w:val="00474D37"/>
    <w:rsid w:val="00474FB8"/>
    <w:rsid w:val="0047517F"/>
    <w:rsid w:val="004753EA"/>
    <w:rsid w:val="00476141"/>
    <w:rsid w:val="0047628A"/>
    <w:rsid w:val="004766E7"/>
    <w:rsid w:val="00476A7C"/>
    <w:rsid w:val="00477308"/>
    <w:rsid w:val="0047741C"/>
    <w:rsid w:val="00477B63"/>
    <w:rsid w:val="00480684"/>
    <w:rsid w:val="0048082E"/>
    <w:rsid w:val="004808A9"/>
    <w:rsid w:val="00480902"/>
    <w:rsid w:val="004811F1"/>
    <w:rsid w:val="00481D48"/>
    <w:rsid w:val="00482141"/>
    <w:rsid w:val="004822A4"/>
    <w:rsid w:val="00482B8C"/>
    <w:rsid w:val="00483008"/>
    <w:rsid w:val="004837F7"/>
    <w:rsid w:val="00483E59"/>
    <w:rsid w:val="00484254"/>
    <w:rsid w:val="004845DA"/>
    <w:rsid w:val="004845EC"/>
    <w:rsid w:val="00484FD9"/>
    <w:rsid w:val="00485316"/>
    <w:rsid w:val="004857E6"/>
    <w:rsid w:val="00485DA1"/>
    <w:rsid w:val="00485EC5"/>
    <w:rsid w:val="00486076"/>
    <w:rsid w:val="00486B9B"/>
    <w:rsid w:val="00486C1A"/>
    <w:rsid w:val="00486C9C"/>
    <w:rsid w:val="00486D12"/>
    <w:rsid w:val="0048733C"/>
    <w:rsid w:val="004911A3"/>
    <w:rsid w:val="004920EF"/>
    <w:rsid w:val="004927EB"/>
    <w:rsid w:val="00492AC7"/>
    <w:rsid w:val="00492CB6"/>
    <w:rsid w:val="00492E69"/>
    <w:rsid w:val="004933EE"/>
    <w:rsid w:val="0049397F"/>
    <w:rsid w:val="00494048"/>
    <w:rsid w:val="004944E6"/>
    <w:rsid w:val="0049451F"/>
    <w:rsid w:val="0049505D"/>
    <w:rsid w:val="00495297"/>
    <w:rsid w:val="004958A4"/>
    <w:rsid w:val="00495C5B"/>
    <w:rsid w:val="00496E3E"/>
    <w:rsid w:val="00497A33"/>
    <w:rsid w:val="00497FB7"/>
    <w:rsid w:val="004A047F"/>
    <w:rsid w:val="004A0701"/>
    <w:rsid w:val="004A08C8"/>
    <w:rsid w:val="004A0DD5"/>
    <w:rsid w:val="004A0E55"/>
    <w:rsid w:val="004A1B8C"/>
    <w:rsid w:val="004A220C"/>
    <w:rsid w:val="004A2327"/>
    <w:rsid w:val="004A2445"/>
    <w:rsid w:val="004A2AF1"/>
    <w:rsid w:val="004A2BBA"/>
    <w:rsid w:val="004A3E52"/>
    <w:rsid w:val="004A3E96"/>
    <w:rsid w:val="004A3FFC"/>
    <w:rsid w:val="004A41F6"/>
    <w:rsid w:val="004A4239"/>
    <w:rsid w:val="004A429D"/>
    <w:rsid w:val="004A42F2"/>
    <w:rsid w:val="004A5631"/>
    <w:rsid w:val="004A5940"/>
    <w:rsid w:val="004A5E2D"/>
    <w:rsid w:val="004A6047"/>
    <w:rsid w:val="004A6415"/>
    <w:rsid w:val="004A67B0"/>
    <w:rsid w:val="004A794B"/>
    <w:rsid w:val="004A7F66"/>
    <w:rsid w:val="004B03B7"/>
    <w:rsid w:val="004B0509"/>
    <w:rsid w:val="004B13CA"/>
    <w:rsid w:val="004B1495"/>
    <w:rsid w:val="004B1C87"/>
    <w:rsid w:val="004B1F1F"/>
    <w:rsid w:val="004B235E"/>
    <w:rsid w:val="004B2642"/>
    <w:rsid w:val="004B2863"/>
    <w:rsid w:val="004B28FB"/>
    <w:rsid w:val="004B2D95"/>
    <w:rsid w:val="004B3DB1"/>
    <w:rsid w:val="004B40E1"/>
    <w:rsid w:val="004B4478"/>
    <w:rsid w:val="004B5227"/>
    <w:rsid w:val="004B5BB5"/>
    <w:rsid w:val="004B6E87"/>
    <w:rsid w:val="004B6FCD"/>
    <w:rsid w:val="004B7208"/>
    <w:rsid w:val="004B7F93"/>
    <w:rsid w:val="004C10AE"/>
    <w:rsid w:val="004C162E"/>
    <w:rsid w:val="004C16D5"/>
    <w:rsid w:val="004C1AB2"/>
    <w:rsid w:val="004C22E7"/>
    <w:rsid w:val="004C2798"/>
    <w:rsid w:val="004C2FA1"/>
    <w:rsid w:val="004C33F0"/>
    <w:rsid w:val="004C37E6"/>
    <w:rsid w:val="004C3829"/>
    <w:rsid w:val="004C38ED"/>
    <w:rsid w:val="004C46FC"/>
    <w:rsid w:val="004C4D8B"/>
    <w:rsid w:val="004C50A3"/>
    <w:rsid w:val="004C59EB"/>
    <w:rsid w:val="004C5FA4"/>
    <w:rsid w:val="004C6072"/>
    <w:rsid w:val="004C60B1"/>
    <w:rsid w:val="004C63EA"/>
    <w:rsid w:val="004C692B"/>
    <w:rsid w:val="004C6DEE"/>
    <w:rsid w:val="004C70E2"/>
    <w:rsid w:val="004C759F"/>
    <w:rsid w:val="004C762E"/>
    <w:rsid w:val="004D0DC2"/>
    <w:rsid w:val="004D13C6"/>
    <w:rsid w:val="004D1991"/>
    <w:rsid w:val="004D3317"/>
    <w:rsid w:val="004D37AB"/>
    <w:rsid w:val="004D387A"/>
    <w:rsid w:val="004D3AB3"/>
    <w:rsid w:val="004D44D8"/>
    <w:rsid w:val="004D44E6"/>
    <w:rsid w:val="004D4929"/>
    <w:rsid w:val="004D5550"/>
    <w:rsid w:val="004D572A"/>
    <w:rsid w:val="004D59A8"/>
    <w:rsid w:val="004D65D1"/>
    <w:rsid w:val="004D7080"/>
    <w:rsid w:val="004D718F"/>
    <w:rsid w:val="004D776A"/>
    <w:rsid w:val="004E04B6"/>
    <w:rsid w:val="004E0545"/>
    <w:rsid w:val="004E0CFD"/>
    <w:rsid w:val="004E10C1"/>
    <w:rsid w:val="004E18D1"/>
    <w:rsid w:val="004E29C1"/>
    <w:rsid w:val="004E30B0"/>
    <w:rsid w:val="004E331B"/>
    <w:rsid w:val="004E34F4"/>
    <w:rsid w:val="004E488C"/>
    <w:rsid w:val="004E4998"/>
    <w:rsid w:val="004E5470"/>
    <w:rsid w:val="004E5D8B"/>
    <w:rsid w:val="004E75A0"/>
    <w:rsid w:val="004E75C0"/>
    <w:rsid w:val="004E7EB2"/>
    <w:rsid w:val="004F0DC6"/>
    <w:rsid w:val="004F123C"/>
    <w:rsid w:val="004F1761"/>
    <w:rsid w:val="004F2352"/>
    <w:rsid w:val="004F274B"/>
    <w:rsid w:val="004F2A63"/>
    <w:rsid w:val="004F3041"/>
    <w:rsid w:val="004F31A8"/>
    <w:rsid w:val="004F35EB"/>
    <w:rsid w:val="004F3BC3"/>
    <w:rsid w:val="004F3E48"/>
    <w:rsid w:val="004F49E8"/>
    <w:rsid w:val="004F4B12"/>
    <w:rsid w:val="004F4DB8"/>
    <w:rsid w:val="004F4F1B"/>
    <w:rsid w:val="004F5362"/>
    <w:rsid w:val="004F59BA"/>
    <w:rsid w:val="004F5BA6"/>
    <w:rsid w:val="004F5F59"/>
    <w:rsid w:val="004F60FD"/>
    <w:rsid w:val="004F633D"/>
    <w:rsid w:val="004F71D0"/>
    <w:rsid w:val="004F795A"/>
    <w:rsid w:val="004F7C4D"/>
    <w:rsid w:val="00500932"/>
    <w:rsid w:val="0050136D"/>
    <w:rsid w:val="0050144D"/>
    <w:rsid w:val="005014E9"/>
    <w:rsid w:val="005016D3"/>
    <w:rsid w:val="00502400"/>
    <w:rsid w:val="00502E26"/>
    <w:rsid w:val="0050355D"/>
    <w:rsid w:val="00505B26"/>
    <w:rsid w:val="0050632F"/>
    <w:rsid w:val="00506388"/>
    <w:rsid w:val="00506939"/>
    <w:rsid w:val="00506C2F"/>
    <w:rsid w:val="00507103"/>
    <w:rsid w:val="0050792C"/>
    <w:rsid w:val="0051054D"/>
    <w:rsid w:val="00510C8B"/>
    <w:rsid w:val="00511672"/>
    <w:rsid w:val="005118EA"/>
    <w:rsid w:val="005128F4"/>
    <w:rsid w:val="00512A95"/>
    <w:rsid w:val="00512AA2"/>
    <w:rsid w:val="00512D6A"/>
    <w:rsid w:val="00513C7C"/>
    <w:rsid w:val="005140A1"/>
    <w:rsid w:val="005144C0"/>
    <w:rsid w:val="0051452F"/>
    <w:rsid w:val="00514F51"/>
    <w:rsid w:val="00515365"/>
    <w:rsid w:val="005157E1"/>
    <w:rsid w:val="00515831"/>
    <w:rsid w:val="0051604F"/>
    <w:rsid w:val="0051636E"/>
    <w:rsid w:val="00516A34"/>
    <w:rsid w:val="00516FC4"/>
    <w:rsid w:val="005172BE"/>
    <w:rsid w:val="005173F3"/>
    <w:rsid w:val="00520125"/>
    <w:rsid w:val="005210D0"/>
    <w:rsid w:val="00521590"/>
    <w:rsid w:val="00521C13"/>
    <w:rsid w:val="00522026"/>
    <w:rsid w:val="00523282"/>
    <w:rsid w:val="00523F5B"/>
    <w:rsid w:val="005244FE"/>
    <w:rsid w:val="00524F85"/>
    <w:rsid w:val="00525534"/>
    <w:rsid w:val="005258DA"/>
    <w:rsid w:val="00525DBD"/>
    <w:rsid w:val="00526171"/>
    <w:rsid w:val="00526300"/>
    <w:rsid w:val="00527679"/>
    <w:rsid w:val="0052772B"/>
    <w:rsid w:val="005302DA"/>
    <w:rsid w:val="00530E86"/>
    <w:rsid w:val="0053118C"/>
    <w:rsid w:val="005311FA"/>
    <w:rsid w:val="0053202E"/>
    <w:rsid w:val="005322F8"/>
    <w:rsid w:val="00532C2E"/>
    <w:rsid w:val="00533F17"/>
    <w:rsid w:val="00534307"/>
    <w:rsid w:val="005346FA"/>
    <w:rsid w:val="0053567D"/>
    <w:rsid w:val="00535B15"/>
    <w:rsid w:val="00536927"/>
    <w:rsid w:val="0053719D"/>
    <w:rsid w:val="005372B3"/>
    <w:rsid w:val="005403B9"/>
    <w:rsid w:val="005405C9"/>
    <w:rsid w:val="00540874"/>
    <w:rsid w:val="00540AF6"/>
    <w:rsid w:val="00541651"/>
    <w:rsid w:val="00541B10"/>
    <w:rsid w:val="0054215A"/>
    <w:rsid w:val="00542ABD"/>
    <w:rsid w:val="00542D53"/>
    <w:rsid w:val="0054312B"/>
    <w:rsid w:val="005439EE"/>
    <w:rsid w:val="005451F4"/>
    <w:rsid w:val="00545362"/>
    <w:rsid w:val="005459DC"/>
    <w:rsid w:val="00545B0F"/>
    <w:rsid w:val="00545F5B"/>
    <w:rsid w:val="00546619"/>
    <w:rsid w:val="005468C5"/>
    <w:rsid w:val="00546F68"/>
    <w:rsid w:val="00547005"/>
    <w:rsid w:val="0054707B"/>
    <w:rsid w:val="0054710D"/>
    <w:rsid w:val="00547D37"/>
    <w:rsid w:val="0055034F"/>
    <w:rsid w:val="0055077B"/>
    <w:rsid w:val="00550E6B"/>
    <w:rsid w:val="00551090"/>
    <w:rsid w:val="00551FEC"/>
    <w:rsid w:val="00552A56"/>
    <w:rsid w:val="00552B95"/>
    <w:rsid w:val="00553280"/>
    <w:rsid w:val="0055342C"/>
    <w:rsid w:val="00553DE1"/>
    <w:rsid w:val="00554B0F"/>
    <w:rsid w:val="0055509C"/>
    <w:rsid w:val="005550B4"/>
    <w:rsid w:val="00555114"/>
    <w:rsid w:val="0055511F"/>
    <w:rsid w:val="005558B4"/>
    <w:rsid w:val="00556743"/>
    <w:rsid w:val="00556B49"/>
    <w:rsid w:val="00556E46"/>
    <w:rsid w:val="00557F92"/>
    <w:rsid w:val="0056046F"/>
    <w:rsid w:val="00560AF9"/>
    <w:rsid w:val="00560DC6"/>
    <w:rsid w:val="00560DE5"/>
    <w:rsid w:val="00561285"/>
    <w:rsid w:val="00561E62"/>
    <w:rsid w:val="00561ECA"/>
    <w:rsid w:val="00562386"/>
    <w:rsid w:val="00562668"/>
    <w:rsid w:val="00562812"/>
    <w:rsid w:val="00562FFD"/>
    <w:rsid w:val="00563602"/>
    <w:rsid w:val="005639BE"/>
    <w:rsid w:val="00563CAD"/>
    <w:rsid w:val="005640F2"/>
    <w:rsid w:val="005641B3"/>
    <w:rsid w:val="005641D0"/>
    <w:rsid w:val="0056438E"/>
    <w:rsid w:val="0056447B"/>
    <w:rsid w:val="00564A02"/>
    <w:rsid w:val="00564BD1"/>
    <w:rsid w:val="005656BC"/>
    <w:rsid w:val="00567CD2"/>
    <w:rsid w:val="00570084"/>
    <w:rsid w:val="00570362"/>
    <w:rsid w:val="005706CD"/>
    <w:rsid w:val="00570E91"/>
    <w:rsid w:val="00570EA2"/>
    <w:rsid w:val="0057176F"/>
    <w:rsid w:val="005717CE"/>
    <w:rsid w:val="005723CE"/>
    <w:rsid w:val="0057247F"/>
    <w:rsid w:val="00572BDE"/>
    <w:rsid w:val="005737A2"/>
    <w:rsid w:val="00573833"/>
    <w:rsid w:val="00573C2A"/>
    <w:rsid w:val="00573C7B"/>
    <w:rsid w:val="00574567"/>
    <w:rsid w:val="00574EB8"/>
    <w:rsid w:val="005758F3"/>
    <w:rsid w:val="00576116"/>
    <w:rsid w:val="0057615F"/>
    <w:rsid w:val="00576E13"/>
    <w:rsid w:val="00580019"/>
    <w:rsid w:val="00580693"/>
    <w:rsid w:val="00580890"/>
    <w:rsid w:val="00580B04"/>
    <w:rsid w:val="00580E8D"/>
    <w:rsid w:val="00581584"/>
    <w:rsid w:val="00581EFC"/>
    <w:rsid w:val="005826AC"/>
    <w:rsid w:val="00583456"/>
    <w:rsid w:val="00583893"/>
    <w:rsid w:val="005838EC"/>
    <w:rsid w:val="005838EE"/>
    <w:rsid w:val="005839CE"/>
    <w:rsid w:val="00584409"/>
    <w:rsid w:val="00584DFC"/>
    <w:rsid w:val="005850FE"/>
    <w:rsid w:val="005852D4"/>
    <w:rsid w:val="005857A4"/>
    <w:rsid w:val="005857B2"/>
    <w:rsid w:val="00585CE0"/>
    <w:rsid w:val="00586031"/>
    <w:rsid w:val="00586F2B"/>
    <w:rsid w:val="00591189"/>
    <w:rsid w:val="00591C57"/>
    <w:rsid w:val="00591EC6"/>
    <w:rsid w:val="0059228E"/>
    <w:rsid w:val="00592B88"/>
    <w:rsid w:val="0059435D"/>
    <w:rsid w:val="00594427"/>
    <w:rsid w:val="005944BA"/>
    <w:rsid w:val="00594701"/>
    <w:rsid w:val="0059560D"/>
    <w:rsid w:val="00595D33"/>
    <w:rsid w:val="00595E59"/>
    <w:rsid w:val="00596911"/>
    <w:rsid w:val="005977D9"/>
    <w:rsid w:val="00597AD6"/>
    <w:rsid w:val="00597B02"/>
    <w:rsid w:val="00597D8B"/>
    <w:rsid w:val="005A0986"/>
    <w:rsid w:val="005A15FC"/>
    <w:rsid w:val="005A16B6"/>
    <w:rsid w:val="005A1846"/>
    <w:rsid w:val="005A1B56"/>
    <w:rsid w:val="005A1E3B"/>
    <w:rsid w:val="005A2165"/>
    <w:rsid w:val="005A2702"/>
    <w:rsid w:val="005A2A0C"/>
    <w:rsid w:val="005A2C78"/>
    <w:rsid w:val="005A3186"/>
    <w:rsid w:val="005A348F"/>
    <w:rsid w:val="005A35C1"/>
    <w:rsid w:val="005A3B36"/>
    <w:rsid w:val="005A3C0A"/>
    <w:rsid w:val="005A4842"/>
    <w:rsid w:val="005A4F76"/>
    <w:rsid w:val="005A622F"/>
    <w:rsid w:val="005B0A12"/>
    <w:rsid w:val="005B1496"/>
    <w:rsid w:val="005B1503"/>
    <w:rsid w:val="005B1C86"/>
    <w:rsid w:val="005B2BB9"/>
    <w:rsid w:val="005B33DF"/>
    <w:rsid w:val="005B344E"/>
    <w:rsid w:val="005B37E3"/>
    <w:rsid w:val="005B3EB1"/>
    <w:rsid w:val="005B604D"/>
    <w:rsid w:val="005B6863"/>
    <w:rsid w:val="005B7D19"/>
    <w:rsid w:val="005C0214"/>
    <w:rsid w:val="005C0241"/>
    <w:rsid w:val="005C03CC"/>
    <w:rsid w:val="005C0800"/>
    <w:rsid w:val="005C1614"/>
    <w:rsid w:val="005C293F"/>
    <w:rsid w:val="005C2F53"/>
    <w:rsid w:val="005C2FCB"/>
    <w:rsid w:val="005C35B3"/>
    <w:rsid w:val="005C3DD6"/>
    <w:rsid w:val="005C3E8C"/>
    <w:rsid w:val="005C46BF"/>
    <w:rsid w:val="005C4726"/>
    <w:rsid w:val="005C48CA"/>
    <w:rsid w:val="005C4F60"/>
    <w:rsid w:val="005C6F84"/>
    <w:rsid w:val="005C72B3"/>
    <w:rsid w:val="005C7F01"/>
    <w:rsid w:val="005D0D89"/>
    <w:rsid w:val="005D1032"/>
    <w:rsid w:val="005D1300"/>
    <w:rsid w:val="005D14B6"/>
    <w:rsid w:val="005D1687"/>
    <w:rsid w:val="005D1AE7"/>
    <w:rsid w:val="005D2C15"/>
    <w:rsid w:val="005D2F96"/>
    <w:rsid w:val="005D3625"/>
    <w:rsid w:val="005D388A"/>
    <w:rsid w:val="005D3A38"/>
    <w:rsid w:val="005D4033"/>
    <w:rsid w:val="005D41C9"/>
    <w:rsid w:val="005D44D4"/>
    <w:rsid w:val="005D4E96"/>
    <w:rsid w:val="005D5308"/>
    <w:rsid w:val="005D57B2"/>
    <w:rsid w:val="005D5ADC"/>
    <w:rsid w:val="005D5D95"/>
    <w:rsid w:val="005D610F"/>
    <w:rsid w:val="005D6F42"/>
    <w:rsid w:val="005D7D52"/>
    <w:rsid w:val="005E04AE"/>
    <w:rsid w:val="005E113B"/>
    <w:rsid w:val="005E12D9"/>
    <w:rsid w:val="005E1457"/>
    <w:rsid w:val="005E276A"/>
    <w:rsid w:val="005E2FAF"/>
    <w:rsid w:val="005E304B"/>
    <w:rsid w:val="005E3A54"/>
    <w:rsid w:val="005E3CD4"/>
    <w:rsid w:val="005E4496"/>
    <w:rsid w:val="005E4E3C"/>
    <w:rsid w:val="005E500A"/>
    <w:rsid w:val="005E5D71"/>
    <w:rsid w:val="005E6024"/>
    <w:rsid w:val="005E6279"/>
    <w:rsid w:val="005E7029"/>
    <w:rsid w:val="005E721E"/>
    <w:rsid w:val="005E732A"/>
    <w:rsid w:val="005E79B7"/>
    <w:rsid w:val="005E7C09"/>
    <w:rsid w:val="005F057A"/>
    <w:rsid w:val="005F08F4"/>
    <w:rsid w:val="005F0ADC"/>
    <w:rsid w:val="005F0B85"/>
    <w:rsid w:val="005F0B9F"/>
    <w:rsid w:val="005F11DC"/>
    <w:rsid w:val="005F14A2"/>
    <w:rsid w:val="005F182A"/>
    <w:rsid w:val="005F2016"/>
    <w:rsid w:val="005F24F3"/>
    <w:rsid w:val="005F311F"/>
    <w:rsid w:val="005F36B4"/>
    <w:rsid w:val="005F3BAC"/>
    <w:rsid w:val="005F5210"/>
    <w:rsid w:val="005F5510"/>
    <w:rsid w:val="005F5EDE"/>
    <w:rsid w:val="005F5FDA"/>
    <w:rsid w:val="005F66BF"/>
    <w:rsid w:val="005F6894"/>
    <w:rsid w:val="005F7929"/>
    <w:rsid w:val="006007D0"/>
    <w:rsid w:val="00602097"/>
    <w:rsid w:val="00602C17"/>
    <w:rsid w:val="00603161"/>
    <w:rsid w:val="00603235"/>
    <w:rsid w:val="006039C3"/>
    <w:rsid w:val="00603F23"/>
    <w:rsid w:val="00605464"/>
    <w:rsid w:val="00606C67"/>
    <w:rsid w:val="00610CF7"/>
    <w:rsid w:val="00610E90"/>
    <w:rsid w:val="00611078"/>
    <w:rsid w:val="00611578"/>
    <w:rsid w:val="00611C04"/>
    <w:rsid w:val="00613297"/>
    <w:rsid w:val="00613625"/>
    <w:rsid w:val="00613AC4"/>
    <w:rsid w:val="00613C37"/>
    <w:rsid w:val="00614132"/>
    <w:rsid w:val="00614768"/>
    <w:rsid w:val="0061536F"/>
    <w:rsid w:val="006162AA"/>
    <w:rsid w:val="00617643"/>
    <w:rsid w:val="00617DA1"/>
    <w:rsid w:val="00617F81"/>
    <w:rsid w:val="0062072F"/>
    <w:rsid w:val="006207A4"/>
    <w:rsid w:val="006207B6"/>
    <w:rsid w:val="00620D25"/>
    <w:rsid w:val="00620F69"/>
    <w:rsid w:val="0062115E"/>
    <w:rsid w:val="006213C3"/>
    <w:rsid w:val="0062197A"/>
    <w:rsid w:val="00621A97"/>
    <w:rsid w:val="00621AB7"/>
    <w:rsid w:val="0062227E"/>
    <w:rsid w:val="006223FB"/>
    <w:rsid w:val="00622810"/>
    <w:rsid w:val="00622AAE"/>
    <w:rsid w:val="00622C43"/>
    <w:rsid w:val="00622D62"/>
    <w:rsid w:val="006230B8"/>
    <w:rsid w:val="00623310"/>
    <w:rsid w:val="00623A11"/>
    <w:rsid w:val="00623C5B"/>
    <w:rsid w:val="0062522A"/>
    <w:rsid w:val="00625595"/>
    <w:rsid w:val="00625775"/>
    <w:rsid w:val="00625A9F"/>
    <w:rsid w:val="006263A9"/>
    <w:rsid w:val="0062665E"/>
    <w:rsid w:val="00626CA5"/>
    <w:rsid w:val="0062703A"/>
    <w:rsid w:val="0062735D"/>
    <w:rsid w:val="006274BE"/>
    <w:rsid w:val="00627543"/>
    <w:rsid w:val="006302B9"/>
    <w:rsid w:val="0063031D"/>
    <w:rsid w:val="006312C1"/>
    <w:rsid w:val="006313E1"/>
    <w:rsid w:val="006314C5"/>
    <w:rsid w:val="006317E0"/>
    <w:rsid w:val="00631976"/>
    <w:rsid w:val="00632082"/>
    <w:rsid w:val="006320C3"/>
    <w:rsid w:val="006329E4"/>
    <w:rsid w:val="00632B0B"/>
    <w:rsid w:val="00632EB9"/>
    <w:rsid w:val="0063309C"/>
    <w:rsid w:val="00633827"/>
    <w:rsid w:val="006349A9"/>
    <w:rsid w:val="006354FD"/>
    <w:rsid w:val="006359A9"/>
    <w:rsid w:val="00636429"/>
    <w:rsid w:val="00636D83"/>
    <w:rsid w:val="00637008"/>
    <w:rsid w:val="00637B41"/>
    <w:rsid w:val="00637FBA"/>
    <w:rsid w:val="006406E2"/>
    <w:rsid w:val="006408AE"/>
    <w:rsid w:val="00640AA9"/>
    <w:rsid w:val="00640B8C"/>
    <w:rsid w:val="00641293"/>
    <w:rsid w:val="00641541"/>
    <w:rsid w:val="0064221B"/>
    <w:rsid w:val="00642BA9"/>
    <w:rsid w:val="00643489"/>
    <w:rsid w:val="00643A64"/>
    <w:rsid w:val="00643CA2"/>
    <w:rsid w:val="00643E1E"/>
    <w:rsid w:val="00643F66"/>
    <w:rsid w:val="006441E9"/>
    <w:rsid w:val="0064464F"/>
    <w:rsid w:val="00644956"/>
    <w:rsid w:val="0064555E"/>
    <w:rsid w:val="00645B10"/>
    <w:rsid w:val="00645D2A"/>
    <w:rsid w:val="00645E82"/>
    <w:rsid w:val="00646B59"/>
    <w:rsid w:val="00646E5B"/>
    <w:rsid w:val="006470BF"/>
    <w:rsid w:val="006474F2"/>
    <w:rsid w:val="00647753"/>
    <w:rsid w:val="00647AE9"/>
    <w:rsid w:val="00650904"/>
    <w:rsid w:val="00650D66"/>
    <w:rsid w:val="00650DA7"/>
    <w:rsid w:val="0065159A"/>
    <w:rsid w:val="006517C1"/>
    <w:rsid w:val="00651D41"/>
    <w:rsid w:val="00652074"/>
    <w:rsid w:val="00652105"/>
    <w:rsid w:val="0065278E"/>
    <w:rsid w:val="00652791"/>
    <w:rsid w:val="006527D8"/>
    <w:rsid w:val="006528B2"/>
    <w:rsid w:val="0065296C"/>
    <w:rsid w:val="00652A20"/>
    <w:rsid w:val="00652D2A"/>
    <w:rsid w:val="006531D3"/>
    <w:rsid w:val="00653C91"/>
    <w:rsid w:val="00653FDB"/>
    <w:rsid w:val="00654A21"/>
    <w:rsid w:val="00654EBF"/>
    <w:rsid w:val="00654ECC"/>
    <w:rsid w:val="00655B2E"/>
    <w:rsid w:val="00656CAF"/>
    <w:rsid w:val="00657300"/>
    <w:rsid w:val="006573CF"/>
    <w:rsid w:val="006577E2"/>
    <w:rsid w:val="00657886"/>
    <w:rsid w:val="006609E9"/>
    <w:rsid w:val="00661384"/>
    <w:rsid w:val="00661F33"/>
    <w:rsid w:val="0066210A"/>
    <w:rsid w:val="0066250A"/>
    <w:rsid w:val="006628DA"/>
    <w:rsid w:val="00662BB5"/>
    <w:rsid w:val="00662E18"/>
    <w:rsid w:val="00663509"/>
    <w:rsid w:val="0066382E"/>
    <w:rsid w:val="00663E77"/>
    <w:rsid w:val="00663F4A"/>
    <w:rsid w:val="006640C3"/>
    <w:rsid w:val="00664413"/>
    <w:rsid w:val="006644D1"/>
    <w:rsid w:val="00664627"/>
    <w:rsid w:val="0066497D"/>
    <w:rsid w:val="00664A79"/>
    <w:rsid w:val="00664D83"/>
    <w:rsid w:val="00665213"/>
    <w:rsid w:val="0066588F"/>
    <w:rsid w:val="00665DD5"/>
    <w:rsid w:val="006672CD"/>
    <w:rsid w:val="00667800"/>
    <w:rsid w:val="006679C9"/>
    <w:rsid w:val="00667AA4"/>
    <w:rsid w:val="00667D61"/>
    <w:rsid w:val="00670834"/>
    <w:rsid w:val="00670B10"/>
    <w:rsid w:val="00670E68"/>
    <w:rsid w:val="00674655"/>
    <w:rsid w:val="00675BF2"/>
    <w:rsid w:val="00675DE9"/>
    <w:rsid w:val="00676132"/>
    <w:rsid w:val="00676487"/>
    <w:rsid w:val="006768FD"/>
    <w:rsid w:val="00676A44"/>
    <w:rsid w:val="00676BC0"/>
    <w:rsid w:val="00676F3A"/>
    <w:rsid w:val="006773E4"/>
    <w:rsid w:val="006773FD"/>
    <w:rsid w:val="006779AF"/>
    <w:rsid w:val="00677A31"/>
    <w:rsid w:val="006804D6"/>
    <w:rsid w:val="00680551"/>
    <w:rsid w:val="00680598"/>
    <w:rsid w:val="00680A03"/>
    <w:rsid w:val="00680F31"/>
    <w:rsid w:val="0068100C"/>
    <w:rsid w:val="0068171E"/>
    <w:rsid w:val="00681BAB"/>
    <w:rsid w:val="006822B0"/>
    <w:rsid w:val="00683825"/>
    <w:rsid w:val="00684621"/>
    <w:rsid w:val="00684804"/>
    <w:rsid w:val="0068486E"/>
    <w:rsid w:val="00685062"/>
    <w:rsid w:val="0068598E"/>
    <w:rsid w:val="00685F27"/>
    <w:rsid w:val="006861B4"/>
    <w:rsid w:val="00686ED6"/>
    <w:rsid w:val="0068741A"/>
    <w:rsid w:val="00687DC1"/>
    <w:rsid w:val="00690275"/>
    <w:rsid w:val="006909A3"/>
    <w:rsid w:val="00691537"/>
    <w:rsid w:val="0069156C"/>
    <w:rsid w:val="00691DC7"/>
    <w:rsid w:val="0069214A"/>
    <w:rsid w:val="00692E00"/>
    <w:rsid w:val="00692F32"/>
    <w:rsid w:val="00693C85"/>
    <w:rsid w:val="00693F53"/>
    <w:rsid w:val="00693F5B"/>
    <w:rsid w:val="00695246"/>
    <w:rsid w:val="006953C6"/>
    <w:rsid w:val="006954B4"/>
    <w:rsid w:val="00695FCB"/>
    <w:rsid w:val="0069613F"/>
    <w:rsid w:val="006966E5"/>
    <w:rsid w:val="006967A2"/>
    <w:rsid w:val="00697144"/>
    <w:rsid w:val="006976C9"/>
    <w:rsid w:val="006A01EF"/>
    <w:rsid w:val="006A028E"/>
    <w:rsid w:val="006A0AEB"/>
    <w:rsid w:val="006A0EF3"/>
    <w:rsid w:val="006A126C"/>
    <w:rsid w:val="006A2490"/>
    <w:rsid w:val="006A28A7"/>
    <w:rsid w:val="006A2C6A"/>
    <w:rsid w:val="006A315A"/>
    <w:rsid w:val="006A31F7"/>
    <w:rsid w:val="006A3ABF"/>
    <w:rsid w:val="006A4DF4"/>
    <w:rsid w:val="006A5C09"/>
    <w:rsid w:val="006A5EE8"/>
    <w:rsid w:val="006A6229"/>
    <w:rsid w:val="006A635A"/>
    <w:rsid w:val="006A6361"/>
    <w:rsid w:val="006A6EC8"/>
    <w:rsid w:val="006A7540"/>
    <w:rsid w:val="006A7C86"/>
    <w:rsid w:val="006B06D1"/>
    <w:rsid w:val="006B0B57"/>
    <w:rsid w:val="006B177F"/>
    <w:rsid w:val="006B1D22"/>
    <w:rsid w:val="006B1F45"/>
    <w:rsid w:val="006B202C"/>
    <w:rsid w:val="006B23D3"/>
    <w:rsid w:val="006B3662"/>
    <w:rsid w:val="006B3AA5"/>
    <w:rsid w:val="006B3F29"/>
    <w:rsid w:val="006B3FD0"/>
    <w:rsid w:val="006B47D6"/>
    <w:rsid w:val="006B56CC"/>
    <w:rsid w:val="006B65DE"/>
    <w:rsid w:val="006B6704"/>
    <w:rsid w:val="006B6A07"/>
    <w:rsid w:val="006B70E1"/>
    <w:rsid w:val="006B71D5"/>
    <w:rsid w:val="006B7683"/>
    <w:rsid w:val="006C05E7"/>
    <w:rsid w:val="006C0702"/>
    <w:rsid w:val="006C0B30"/>
    <w:rsid w:val="006C13EF"/>
    <w:rsid w:val="006C1608"/>
    <w:rsid w:val="006C16F2"/>
    <w:rsid w:val="006C27A2"/>
    <w:rsid w:val="006C28B2"/>
    <w:rsid w:val="006C3A0F"/>
    <w:rsid w:val="006C4354"/>
    <w:rsid w:val="006C4490"/>
    <w:rsid w:val="006C4ADE"/>
    <w:rsid w:val="006C5FC5"/>
    <w:rsid w:val="006C6177"/>
    <w:rsid w:val="006C6187"/>
    <w:rsid w:val="006C62AC"/>
    <w:rsid w:val="006C65F6"/>
    <w:rsid w:val="006C6947"/>
    <w:rsid w:val="006C6CA9"/>
    <w:rsid w:val="006D0221"/>
    <w:rsid w:val="006D09CB"/>
    <w:rsid w:val="006D14E9"/>
    <w:rsid w:val="006D15A2"/>
    <w:rsid w:val="006D22D0"/>
    <w:rsid w:val="006D2328"/>
    <w:rsid w:val="006D34E3"/>
    <w:rsid w:val="006D37F9"/>
    <w:rsid w:val="006D3F06"/>
    <w:rsid w:val="006D41DD"/>
    <w:rsid w:val="006D4633"/>
    <w:rsid w:val="006D4AC0"/>
    <w:rsid w:val="006D4C00"/>
    <w:rsid w:val="006D5C61"/>
    <w:rsid w:val="006D5DFD"/>
    <w:rsid w:val="006D65CD"/>
    <w:rsid w:val="006D6830"/>
    <w:rsid w:val="006D6AE3"/>
    <w:rsid w:val="006D7155"/>
    <w:rsid w:val="006D7208"/>
    <w:rsid w:val="006D7242"/>
    <w:rsid w:val="006D7DB7"/>
    <w:rsid w:val="006E0712"/>
    <w:rsid w:val="006E0D30"/>
    <w:rsid w:val="006E2378"/>
    <w:rsid w:val="006E2823"/>
    <w:rsid w:val="006E2A67"/>
    <w:rsid w:val="006E3BA7"/>
    <w:rsid w:val="006E3CB8"/>
    <w:rsid w:val="006E4377"/>
    <w:rsid w:val="006E4A29"/>
    <w:rsid w:val="006E5D27"/>
    <w:rsid w:val="006E69C6"/>
    <w:rsid w:val="006E7E1E"/>
    <w:rsid w:val="006E7E24"/>
    <w:rsid w:val="006F077B"/>
    <w:rsid w:val="006F12B1"/>
    <w:rsid w:val="006F16BB"/>
    <w:rsid w:val="006F1739"/>
    <w:rsid w:val="006F1E9B"/>
    <w:rsid w:val="006F1EDA"/>
    <w:rsid w:val="006F277D"/>
    <w:rsid w:val="006F2813"/>
    <w:rsid w:val="006F2B10"/>
    <w:rsid w:val="006F2DCA"/>
    <w:rsid w:val="006F3FAB"/>
    <w:rsid w:val="006F4042"/>
    <w:rsid w:val="006F4480"/>
    <w:rsid w:val="006F5071"/>
    <w:rsid w:val="006F5225"/>
    <w:rsid w:val="006F561A"/>
    <w:rsid w:val="006F577A"/>
    <w:rsid w:val="006F645E"/>
    <w:rsid w:val="006F6786"/>
    <w:rsid w:val="006F6BD8"/>
    <w:rsid w:val="006F71E6"/>
    <w:rsid w:val="006F7809"/>
    <w:rsid w:val="006F7D1B"/>
    <w:rsid w:val="00700D6A"/>
    <w:rsid w:val="00700F20"/>
    <w:rsid w:val="00701047"/>
    <w:rsid w:val="00701E6C"/>
    <w:rsid w:val="00702563"/>
    <w:rsid w:val="007027D6"/>
    <w:rsid w:val="00702B1D"/>
    <w:rsid w:val="00703682"/>
    <w:rsid w:val="007036ED"/>
    <w:rsid w:val="00703BDC"/>
    <w:rsid w:val="00703DCA"/>
    <w:rsid w:val="00703DFF"/>
    <w:rsid w:val="00703F2B"/>
    <w:rsid w:val="00703FAB"/>
    <w:rsid w:val="0070421A"/>
    <w:rsid w:val="00704380"/>
    <w:rsid w:val="007045CA"/>
    <w:rsid w:val="00704D96"/>
    <w:rsid w:val="00705384"/>
    <w:rsid w:val="00705F99"/>
    <w:rsid w:val="00705FCA"/>
    <w:rsid w:val="0070667E"/>
    <w:rsid w:val="007066A9"/>
    <w:rsid w:val="00706E91"/>
    <w:rsid w:val="0070704C"/>
    <w:rsid w:val="00707351"/>
    <w:rsid w:val="00710147"/>
    <w:rsid w:val="007103D4"/>
    <w:rsid w:val="00710713"/>
    <w:rsid w:val="00710A9F"/>
    <w:rsid w:val="00711A78"/>
    <w:rsid w:val="0071219A"/>
    <w:rsid w:val="00712A0F"/>
    <w:rsid w:val="007134AA"/>
    <w:rsid w:val="007139FC"/>
    <w:rsid w:val="007147EE"/>
    <w:rsid w:val="0071553C"/>
    <w:rsid w:val="00715DF5"/>
    <w:rsid w:val="00716A26"/>
    <w:rsid w:val="00717201"/>
    <w:rsid w:val="0071731B"/>
    <w:rsid w:val="00720610"/>
    <w:rsid w:val="0072088A"/>
    <w:rsid w:val="00720AF4"/>
    <w:rsid w:val="00720E4C"/>
    <w:rsid w:val="007210FF"/>
    <w:rsid w:val="0072173D"/>
    <w:rsid w:val="00721A3D"/>
    <w:rsid w:val="00721E82"/>
    <w:rsid w:val="007222EB"/>
    <w:rsid w:val="007228EE"/>
    <w:rsid w:val="00722903"/>
    <w:rsid w:val="007232E9"/>
    <w:rsid w:val="007237A4"/>
    <w:rsid w:val="00723B14"/>
    <w:rsid w:val="00723D56"/>
    <w:rsid w:val="0072437F"/>
    <w:rsid w:val="007259D8"/>
    <w:rsid w:val="00725A22"/>
    <w:rsid w:val="00725D40"/>
    <w:rsid w:val="00725D90"/>
    <w:rsid w:val="00725ED0"/>
    <w:rsid w:val="0072624E"/>
    <w:rsid w:val="007262F5"/>
    <w:rsid w:val="00726AD1"/>
    <w:rsid w:val="00726F90"/>
    <w:rsid w:val="00727C69"/>
    <w:rsid w:val="007313AD"/>
    <w:rsid w:val="00731544"/>
    <w:rsid w:val="00731BBC"/>
    <w:rsid w:val="00731D9C"/>
    <w:rsid w:val="00732DAF"/>
    <w:rsid w:val="0073300E"/>
    <w:rsid w:val="007344C8"/>
    <w:rsid w:val="00734AA3"/>
    <w:rsid w:val="00735252"/>
    <w:rsid w:val="0073579B"/>
    <w:rsid w:val="0073581F"/>
    <w:rsid w:val="00735986"/>
    <w:rsid w:val="007364BA"/>
    <w:rsid w:val="0073684A"/>
    <w:rsid w:val="00737889"/>
    <w:rsid w:val="00737F8E"/>
    <w:rsid w:val="007416DC"/>
    <w:rsid w:val="00742098"/>
    <w:rsid w:val="00742976"/>
    <w:rsid w:val="00742E0A"/>
    <w:rsid w:val="007430B5"/>
    <w:rsid w:val="0074339D"/>
    <w:rsid w:val="0074403D"/>
    <w:rsid w:val="007440E9"/>
    <w:rsid w:val="00744158"/>
    <w:rsid w:val="00744687"/>
    <w:rsid w:val="00744FD0"/>
    <w:rsid w:val="0074618D"/>
    <w:rsid w:val="007463EC"/>
    <w:rsid w:val="007465E2"/>
    <w:rsid w:val="00746CF0"/>
    <w:rsid w:val="0074734F"/>
    <w:rsid w:val="00747450"/>
    <w:rsid w:val="0075052E"/>
    <w:rsid w:val="0075067E"/>
    <w:rsid w:val="00750D63"/>
    <w:rsid w:val="00750FBE"/>
    <w:rsid w:val="007518E7"/>
    <w:rsid w:val="00752177"/>
    <w:rsid w:val="007527DA"/>
    <w:rsid w:val="00752C89"/>
    <w:rsid w:val="00752FA7"/>
    <w:rsid w:val="007534AA"/>
    <w:rsid w:val="00754479"/>
    <w:rsid w:val="007547E5"/>
    <w:rsid w:val="00755366"/>
    <w:rsid w:val="0075542C"/>
    <w:rsid w:val="007557E1"/>
    <w:rsid w:val="007557EC"/>
    <w:rsid w:val="00755A72"/>
    <w:rsid w:val="00755F63"/>
    <w:rsid w:val="00756E0A"/>
    <w:rsid w:val="007579E0"/>
    <w:rsid w:val="00757C40"/>
    <w:rsid w:val="00757D1A"/>
    <w:rsid w:val="00757E73"/>
    <w:rsid w:val="00761AD2"/>
    <w:rsid w:val="00762237"/>
    <w:rsid w:val="007629DD"/>
    <w:rsid w:val="00763200"/>
    <w:rsid w:val="007633E1"/>
    <w:rsid w:val="007642C3"/>
    <w:rsid w:val="00764422"/>
    <w:rsid w:val="00764CDB"/>
    <w:rsid w:val="00764E5E"/>
    <w:rsid w:val="0076510F"/>
    <w:rsid w:val="00765803"/>
    <w:rsid w:val="00765A0C"/>
    <w:rsid w:val="0076653B"/>
    <w:rsid w:val="007665D0"/>
    <w:rsid w:val="00766A98"/>
    <w:rsid w:val="00767912"/>
    <w:rsid w:val="00767F4B"/>
    <w:rsid w:val="007705EA"/>
    <w:rsid w:val="00770D43"/>
    <w:rsid w:val="007711AB"/>
    <w:rsid w:val="007712FE"/>
    <w:rsid w:val="0077192A"/>
    <w:rsid w:val="00771FB0"/>
    <w:rsid w:val="00772038"/>
    <w:rsid w:val="0077257A"/>
    <w:rsid w:val="00773273"/>
    <w:rsid w:val="00773328"/>
    <w:rsid w:val="0077374E"/>
    <w:rsid w:val="007737FF"/>
    <w:rsid w:val="00773A8E"/>
    <w:rsid w:val="00774087"/>
    <w:rsid w:val="0077440E"/>
    <w:rsid w:val="00774977"/>
    <w:rsid w:val="00774CE1"/>
    <w:rsid w:val="00775A34"/>
    <w:rsid w:val="00776549"/>
    <w:rsid w:val="00776D41"/>
    <w:rsid w:val="007778B3"/>
    <w:rsid w:val="00777CDD"/>
    <w:rsid w:val="007807DB"/>
    <w:rsid w:val="00780F52"/>
    <w:rsid w:val="007811AD"/>
    <w:rsid w:val="007814F2"/>
    <w:rsid w:val="00781511"/>
    <w:rsid w:val="00781BCC"/>
    <w:rsid w:val="00781C25"/>
    <w:rsid w:val="007822BC"/>
    <w:rsid w:val="00782657"/>
    <w:rsid w:val="00782D67"/>
    <w:rsid w:val="00783133"/>
    <w:rsid w:val="007848DB"/>
    <w:rsid w:val="007850ED"/>
    <w:rsid w:val="00785695"/>
    <w:rsid w:val="00786164"/>
    <w:rsid w:val="00786AFB"/>
    <w:rsid w:val="0078728A"/>
    <w:rsid w:val="007875B8"/>
    <w:rsid w:val="00787B1D"/>
    <w:rsid w:val="00787F2B"/>
    <w:rsid w:val="0079042B"/>
    <w:rsid w:val="00790EA1"/>
    <w:rsid w:val="00791B8C"/>
    <w:rsid w:val="00791C3B"/>
    <w:rsid w:val="00791DCA"/>
    <w:rsid w:val="00791FD5"/>
    <w:rsid w:val="00791FD7"/>
    <w:rsid w:val="00792252"/>
    <w:rsid w:val="00793858"/>
    <w:rsid w:val="00793E88"/>
    <w:rsid w:val="00794170"/>
    <w:rsid w:val="0079513E"/>
    <w:rsid w:val="00795249"/>
    <w:rsid w:val="00795924"/>
    <w:rsid w:val="00795DC0"/>
    <w:rsid w:val="007970F6"/>
    <w:rsid w:val="00797CDE"/>
    <w:rsid w:val="007A07BE"/>
    <w:rsid w:val="007A0DB7"/>
    <w:rsid w:val="007A14E4"/>
    <w:rsid w:val="007A1878"/>
    <w:rsid w:val="007A2606"/>
    <w:rsid w:val="007A27EE"/>
    <w:rsid w:val="007A309D"/>
    <w:rsid w:val="007A3493"/>
    <w:rsid w:val="007A37CD"/>
    <w:rsid w:val="007A385B"/>
    <w:rsid w:val="007A3EE1"/>
    <w:rsid w:val="007A4250"/>
    <w:rsid w:val="007A498A"/>
    <w:rsid w:val="007A4AE5"/>
    <w:rsid w:val="007A518C"/>
    <w:rsid w:val="007A5220"/>
    <w:rsid w:val="007A5A1E"/>
    <w:rsid w:val="007A5ACA"/>
    <w:rsid w:val="007A632D"/>
    <w:rsid w:val="007A633B"/>
    <w:rsid w:val="007A6AD7"/>
    <w:rsid w:val="007A6F48"/>
    <w:rsid w:val="007B011A"/>
    <w:rsid w:val="007B034E"/>
    <w:rsid w:val="007B0A14"/>
    <w:rsid w:val="007B1090"/>
    <w:rsid w:val="007B1AE9"/>
    <w:rsid w:val="007B1D4F"/>
    <w:rsid w:val="007B1E56"/>
    <w:rsid w:val="007B20D7"/>
    <w:rsid w:val="007B2123"/>
    <w:rsid w:val="007B2869"/>
    <w:rsid w:val="007B2C72"/>
    <w:rsid w:val="007B367B"/>
    <w:rsid w:val="007B3E7E"/>
    <w:rsid w:val="007B459D"/>
    <w:rsid w:val="007B4B2A"/>
    <w:rsid w:val="007B4B66"/>
    <w:rsid w:val="007B4CAF"/>
    <w:rsid w:val="007B4CEF"/>
    <w:rsid w:val="007B5714"/>
    <w:rsid w:val="007B5771"/>
    <w:rsid w:val="007B6925"/>
    <w:rsid w:val="007B6B0F"/>
    <w:rsid w:val="007B70C6"/>
    <w:rsid w:val="007B773A"/>
    <w:rsid w:val="007B790D"/>
    <w:rsid w:val="007B7C36"/>
    <w:rsid w:val="007B7E0D"/>
    <w:rsid w:val="007C0368"/>
    <w:rsid w:val="007C0541"/>
    <w:rsid w:val="007C1C35"/>
    <w:rsid w:val="007C1C99"/>
    <w:rsid w:val="007C2AEE"/>
    <w:rsid w:val="007C2CAA"/>
    <w:rsid w:val="007C3326"/>
    <w:rsid w:val="007C4AA8"/>
    <w:rsid w:val="007C5270"/>
    <w:rsid w:val="007C52EE"/>
    <w:rsid w:val="007C53B5"/>
    <w:rsid w:val="007C5902"/>
    <w:rsid w:val="007C6372"/>
    <w:rsid w:val="007C6376"/>
    <w:rsid w:val="007C6734"/>
    <w:rsid w:val="007C74B2"/>
    <w:rsid w:val="007C7BD1"/>
    <w:rsid w:val="007C7DE0"/>
    <w:rsid w:val="007D08E3"/>
    <w:rsid w:val="007D0C9B"/>
    <w:rsid w:val="007D0DF4"/>
    <w:rsid w:val="007D1225"/>
    <w:rsid w:val="007D185C"/>
    <w:rsid w:val="007D1EB4"/>
    <w:rsid w:val="007D1F43"/>
    <w:rsid w:val="007D2009"/>
    <w:rsid w:val="007D228C"/>
    <w:rsid w:val="007D28C0"/>
    <w:rsid w:val="007D328A"/>
    <w:rsid w:val="007D3E5E"/>
    <w:rsid w:val="007D3FDA"/>
    <w:rsid w:val="007D4285"/>
    <w:rsid w:val="007D4406"/>
    <w:rsid w:val="007D5013"/>
    <w:rsid w:val="007D5170"/>
    <w:rsid w:val="007D520D"/>
    <w:rsid w:val="007D60F9"/>
    <w:rsid w:val="007D62A1"/>
    <w:rsid w:val="007D69AA"/>
    <w:rsid w:val="007D73B5"/>
    <w:rsid w:val="007D74C3"/>
    <w:rsid w:val="007D74FE"/>
    <w:rsid w:val="007D77DC"/>
    <w:rsid w:val="007D7FA2"/>
    <w:rsid w:val="007E016F"/>
    <w:rsid w:val="007E023F"/>
    <w:rsid w:val="007E0276"/>
    <w:rsid w:val="007E053C"/>
    <w:rsid w:val="007E05C3"/>
    <w:rsid w:val="007E1B38"/>
    <w:rsid w:val="007E1C57"/>
    <w:rsid w:val="007E2121"/>
    <w:rsid w:val="007E22EE"/>
    <w:rsid w:val="007E2981"/>
    <w:rsid w:val="007E386B"/>
    <w:rsid w:val="007E3ABC"/>
    <w:rsid w:val="007E3BC3"/>
    <w:rsid w:val="007E4F17"/>
    <w:rsid w:val="007E53FD"/>
    <w:rsid w:val="007E5B75"/>
    <w:rsid w:val="007E6203"/>
    <w:rsid w:val="007E66D9"/>
    <w:rsid w:val="007E693A"/>
    <w:rsid w:val="007E69AB"/>
    <w:rsid w:val="007E710E"/>
    <w:rsid w:val="007E74F7"/>
    <w:rsid w:val="007E7702"/>
    <w:rsid w:val="007E791B"/>
    <w:rsid w:val="007E7D33"/>
    <w:rsid w:val="007E7EF8"/>
    <w:rsid w:val="007F040A"/>
    <w:rsid w:val="007F0417"/>
    <w:rsid w:val="007F04B1"/>
    <w:rsid w:val="007F0B39"/>
    <w:rsid w:val="007F0F6A"/>
    <w:rsid w:val="007F109F"/>
    <w:rsid w:val="007F13DC"/>
    <w:rsid w:val="007F17A0"/>
    <w:rsid w:val="007F1805"/>
    <w:rsid w:val="007F1980"/>
    <w:rsid w:val="007F1F32"/>
    <w:rsid w:val="007F2379"/>
    <w:rsid w:val="007F34AF"/>
    <w:rsid w:val="007F3E6B"/>
    <w:rsid w:val="007F51A0"/>
    <w:rsid w:val="007F5260"/>
    <w:rsid w:val="007F564D"/>
    <w:rsid w:val="007F59BB"/>
    <w:rsid w:val="007F604B"/>
    <w:rsid w:val="007F6389"/>
    <w:rsid w:val="007F6446"/>
    <w:rsid w:val="007F6683"/>
    <w:rsid w:val="007F6699"/>
    <w:rsid w:val="007F6BD8"/>
    <w:rsid w:val="007F6D05"/>
    <w:rsid w:val="007F73AB"/>
    <w:rsid w:val="007F73BC"/>
    <w:rsid w:val="007F7580"/>
    <w:rsid w:val="007F7585"/>
    <w:rsid w:val="00800651"/>
    <w:rsid w:val="0080090A"/>
    <w:rsid w:val="00801048"/>
    <w:rsid w:val="00801662"/>
    <w:rsid w:val="00801FA7"/>
    <w:rsid w:val="00802679"/>
    <w:rsid w:val="008028EC"/>
    <w:rsid w:val="00802EC9"/>
    <w:rsid w:val="00803481"/>
    <w:rsid w:val="00803579"/>
    <w:rsid w:val="00803D5A"/>
    <w:rsid w:val="008047E8"/>
    <w:rsid w:val="00805374"/>
    <w:rsid w:val="008058B9"/>
    <w:rsid w:val="00805996"/>
    <w:rsid w:val="00805C64"/>
    <w:rsid w:val="00805D92"/>
    <w:rsid w:val="00806866"/>
    <w:rsid w:val="00807126"/>
    <w:rsid w:val="008072CC"/>
    <w:rsid w:val="00807F97"/>
    <w:rsid w:val="00810299"/>
    <w:rsid w:val="00811750"/>
    <w:rsid w:val="00812B10"/>
    <w:rsid w:val="00812D85"/>
    <w:rsid w:val="00814168"/>
    <w:rsid w:val="008142F5"/>
    <w:rsid w:val="008149C0"/>
    <w:rsid w:val="00815EAD"/>
    <w:rsid w:val="008166A7"/>
    <w:rsid w:val="00816819"/>
    <w:rsid w:val="0081713F"/>
    <w:rsid w:val="00817BE1"/>
    <w:rsid w:val="00817CF2"/>
    <w:rsid w:val="008200C2"/>
    <w:rsid w:val="008202AB"/>
    <w:rsid w:val="00820CB9"/>
    <w:rsid w:val="0082106F"/>
    <w:rsid w:val="0082110F"/>
    <w:rsid w:val="00822E9A"/>
    <w:rsid w:val="00823056"/>
    <w:rsid w:val="00823C62"/>
    <w:rsid w:val="0082455C"/>
    <w:rsid w:val="00824811"/>
    <w:rsid w:val="00824B49"/>
    <w:rsid w:val="00824F9F"/>
    <w:rsid w:val="00825108"/>
    <w:rsid w:val="00825A4E"/>
    <w:rsid w:val="00825B9F"/>
    <w:rsid w:val="008268D7"/>
    <w:rsid w:val="00826B97"/>
    <w:rsid w:val="00827ED1"/>
    <w:rsid w:val="00830A38"/>
    <w:rsid w:val="00830ABA"/>
    <w:rsid w:val="008323F9"/>
    <w:rsid w:val="00832F5D"/>
    <w:rsid w:val="00833D60"/>
    <w:rsid w:val="00834157"/>
    <w:rsid w:val="00834670"/>
    <w:rsid w:val="008347A4"/>
    <w:rsid w:val="008349E8"/>
    <w:rsid w:val="00834DDD"/>
    <w:rsid w:val="00835230"/>
    <w:rsid w:val="00835E20"/>
    <w:rsid w:val="00836546"/>
    <w:rsid w:val="00837163"/>
    <w:rsid w:val="00837330"/>
    <w:rsid w:val="00840552"/>
    <w:rsid w:val="00840BCF"/>
    <w:rsid w:val="00842079"/>
    <w:rsid w:val="00842A6A"/>
    <w:rsid w:val="00842A6F"/>
    <w:rsid w:val="00842CCF"/>
    <w:rsid w:val="00842E74"/>
    <w:rsid w:val="00842EC1"/>
    <w:rsid w:val="00843B4C"/>
    <w:rsid w:val="0084565B"/>
    <w:rsid w:val="00845FD8"/>
    <w:rsid w:val="0084620F"/>
    <w:rsid w:val="008467EB"/>
    <w:rsid w:val="00846AED"/>
    <w:rsid w:val="00846B71"/>
    <w:rsid w:val="0084761B"/>
    <w:rsid w:val="00847F36"/>
    <w:rsid w:val="00851043"/>
    <w:rsid w:val="008517F6"/>
    <w:rsid w:val="008518D4"/>
    <w:rsid w:val="00851B2E"/>
    <w:rsid w:val="00851BD1"/>
    <w:rsid w:val="00851C02"/>
    <w:rsid w:val="00852517"/>
    <w:rsid w:val="0085258E"/>
    <w:rsid w:val="0085272C"/>
    <w:rsid w:val="008529D4"/>
    <w:rsid w:val="00852BCF"/>
    <w:rsid w:val="00853057"/>
    <w:rsid w:val="0085308F"/>
    <w:rsid w:val="00853297"/>
    <w:rsid w:val="008532CD"/>
    <w:rsid w:val="00853422"/>
    <w:rsid w:val="0085360C"/>
    <w:rsid w:val="00854381"/>
    <w:rsid w:val="00854CB7"/>
    <w:rsid w:val="00855F1A"/>
    <w:rsid w:val="00856C97"/>
    <w:rsid w:val="00860109"/>
    <w:rsid w:val="008604AA"/>
    <w:rsid w:val="00860A71"/>
    <w:rsid w:val="00860E5B"/>
    <w:rsid w:val="00860F27"/>
    <w:rsid w:val="00861266"/>
    <w:rsid w:val="00861468"/>
    <w:rsid w:val="00861CF5"/>
    <w:rsid w:val="008624FC"/>
    <w:rsid w:val="00862DC6"/>
    <w:rsid w:val="00862E94"/>
    <w:rsid w:val="00863734"/>
    <w:rsid w:val="008644B3"/>
    <w:rsid w:val="00864C1F"/>
    <w:rsid w:val="0086645C"/>
    <w:rsid w:val="00867F42"/>
    <w:rsid w:val="0087140A"/>
    <w:rsid w:val="00871CBD"/>
    <w:rsid w:val="008725F0"/>
    <w:rsid w:val="00873154"/>
    <w:rsid w:val="00873C97"/>
    <w:rsid w:val="00873CB6"/>
    <w:rsid w:val="00874216"/>
    <w:rsid w:val="00874236"/>
    <w:rsid w:val="00874B0E"/>
    <w:rsid w:val="008754C7"/>
    <w:rsid w:val="00875803"/>
    <w:rsid w:val="0087626D"/>
    <w:rsid w:val="00876BAC"/>
    <w:rsid w:val="00877B48"/>
    <w:rsid w:val="00877E38"/>
    <w:rsid w:val="0088025C"/>
    <w:rsid w:val="008809C9"/>
    <w:rsid w:val="00880CFE"/>
    <w:rsid w:val="00881FFD"/>
    <w:rsid w:val="00883190"/>
    <w:rsid w:val="00883E28"/>
    <w:rsid w:val="0088401F"/>
    <w:rsid w:val="008842BB"/>
    <w:rsid w:val="00884A7D"/>
    <w:rsid w:val="00884B48"/>
    <w:rsid w:val="008850A1"/>
    <w:rsid w:val="008860A6"/>
    <w:rsid w:val="008861BF"/>
    <w:rsid w:val="00887471"/>
    <w:rsid w:val="008874BE"/>
    <w:rsid w:val="00887CD4"/>
    <w:rsid w:val="00887F6B"/>
    <w:rsid w:val="00891262"/>
    <w:rsid w:val="00891970"/>
    <w:rsid w:val="0089197B"/>
    <w:rsid w:val="00891B14"/>
    <w:rsid w:val="008924D8"/>
    <w:rsid w:val="00893643"/>
    <w:rsid w:val="008937DF"/>
    <w:rsid w:val="0089384B"/>
    <w:rsid w:val="00894B6C"/>
    <w:rsid w:val="00894C65"/>
    <w:rsid w:val="00894FAB"/>
    <w:rsid w:val="00895CB9"/>
    <w:rsid w:val="008974F1"/>
    <w:rsid w:val="00897FA3"/>
    <w:rsid w:val="008A034D"/>
    <w:rsid w:val="008A0462"/>
    <w:rsid w:val="008A0C91"/>
    <w:rsid w:val="008A14DC"/>
    <w:rsid w:val="008A1560"/>
    <w:rsid w:val="008A15B9"/>
    <w:rsid w:val="008A1756"/>
    <w:rsid w:val="008A1D78"/>
    <w:rsid w:val="008A221D"/>
    <w:rsid w:val="008A222D"/>
    <w:rsid w:val="008A2952"/>
    <w:rsid w:val="008A2A04"/>
    <w:rsid w:val="008A3564"/>
    <w:rsid w:val="008A3803"/>
    <w:rsid w:val="008A3B47"/>
    <w:rsid w:val="008A40C7"/>
    <w:rsid w:val="008A4716"/>
    <w:rsid w:val="008A4827"/>
    <w:rsid w:val="008A493A"/>
    <w:rsid w:val="008A4D01"/>
    <w:rsid w:val="008A4E58"/>
    <w:rsid w:val="008A4E71"/>
    <w:rsid w:val="008A515B"/>
    <w:rsid w:val="008A579C"/>
    <w:rsid w:val="008A5C2A"/>
    <w:rsid w:val="008A5D9B"/>
    <w:rsid w:val="008A6056"/>
    <w:rsid w:val="008A691F"/>
    <w:rsid w:val="008A7B66"/>
    <w:rsid w:val="008B0DE5"/>
    <w:rsid w:val="008B151A"/>
    <w:rsid w:val="008B1A6A"/>
    <w:rsid w:val="008B1B81"/>
    <w:rsid w:val="008B1D56"/>
    <w:rsid w:val="008B1E6A"/>
    <w:rsid w:val="008B2706"/>
    <w:rsid w:val="008B30BD"/>
    <w:rsid w:val="008B33F7"/>
    <w:rsid w:val="008B39E0"/>
    <w:rsid w:val="008B3C30"/>
    <w:rsid w:val="008B3D84"/>
    <w:rsid w:val="008B3F31"/>
    <w:rsid w:val="008B405B"/>
    <w:rsid w:val="008B43A8"/>
    <w:rsid w:val="008B4404"/>
    <w:rsid w:val="008B49A4"/>
    <w:rsid w:val="008B4EF1"/>
    <w:rsid w:val="008B4FCB"/>
    <w:rsid w:val="008B5F4C"/>
    <w:rsid w:val="008B63BB"/>
    <w:rsid w:val="008B67CC"/>
    <w:rsid w:val="008B68B3"/>
    <w:rsid w:val="008B7972"/>
    <w:rsid w:val="008C03AB"/>
    <w:rsid w:val="008C040E"/>
    <w:rsid w:val="008C094F"/>
    <w:rsid w:val="008C178E"/>
    <w:rsid w:val="008C245B"/>
    <w:rsid w:val="008C2C66"/>
    <w:rsid w:val="008C34A9"/>
    <w:rsid w:val="008C366F"/>
    <w:rsid w:val="008C3F56"/>
    <w:rsid w:val="008C41DC"/>
    <w:rsid w:val="008C4BBF"/>
    <w:rsid w:val="008C52FD"/>
    <w:rsid w:val="008C5C43"/>
    <w:rsid w:val="008C6CD9"/>
    <w:rsid w:val="008C7629"/>
    <w:rsid w:val="008D099D"/>
    <w:rsid w:val="008D0BE6"/>
    <w:rsid w:val="008D0D99"/>
    <w:rsid w:val="008D1989"/>
    <w:rsid w:val="008D26CC"/>
    <w:rsid w:val="008D2A8E"/>
    <w:rsid w:val="008D34C2"/>
    <w:rsid w:val="008D35AD"/>
    <w:rsid w:val="008D388A"/>
    <w:rsid w:val="008D3EAA"/>
    <w:rsid w:val="008D5B17"/>
    <w:rsid w:val="008D5B19"/>
    <w:rsid w:val="008D5C5E"/>
    <w:rsid w:val="008D5D46"/>
    <w:rsid w:val="008D5FF1"/>
    <w:rsid w:val="008D600A"/>
    <w:rsid w:val="008D61E8"/>
    <w:rsid w:val="008D67A9"/>
    <w:rsid w:val="008D69BA"/>
    <w:rsid w:val="008D726C"/>
    <w:rsid w:val="008D764B"/>
    <w:rsid w:val="008D7921"/>
    <w:rsid w:val="008D79FF"/>
    <w:rsid w:val="008E13EB"/>
    <w:rsid w:val="008E1579"/>
    <w:rsid w:val="008E1B0A"/>
    <w:rsid w:val="008E2039"/>
    <w:rsid w:val="008E2221"/>
    <w:rsid w:val="008E2352"/>
    <w:rsid w:val="008E2A7C"/>
    <w:rsid w:val="008E2BBD"/>
    <w:rsid w:val="008E2C08"/>
    <w:rsid w:val="008E345B"/>
    <w:rsid w:val="008E3562"/>
    <w:rsid w:val="008E44C2"/>
    <w:rsid w:val="008E4573"/>
    <w:rsid w:val="008E490E"/>
    <w:rsid w:val="008E4EE8"/>
    <w:rsid w:val="008E56CA"/>
    <w:rsid w:val="008E66CA"/>
    <w:rsid w:val="008E7213"/>
    <w:rsid w:val="008F1142"/>
    <w:rsid w:val="008F169C"/>
    <w:rsid w:val="008F187E"/>
    <w:rsid w:val="008F1ABC"/>
    <w:rsid w:val="008F2588"/>
    <w:rsid w:val="008F2B32"/>
    <w:rsid w:val="008F32C4"/>
    <w:rsid w:val="008F3814"/>
    <w:rsid w:val="008F38E1"/>
    <w:rsid w:val="008F4F0A"/>
    <w:rsid w:val="008F58EF"/>
    <w:rsid w:val="008F6D0E"/>
    <w:rsid w:val="008F6F6E"/>
    <w:rsid w:val="008F746B"/>
    <w:rsid w:val="008F7BAD"/>
    <w:rsid w:val="0090031C"/>
    <w:rsid w:val="009015D3"/>
    <w:rsid w:val="0090168C"/>
    <w:rsid w:val="00901B91"/>
    <w:rsid w:val="00903AED"/>
    <w:rsid w:val="00904BC9"/>
    <w:rsid w:val="00905730"/>
    <w:rsid w:val="0090677C"/>
    <w:rsid w:val="009067E4"/>
    <w:rsid w:val="00906CE2"/>
    <w:rsid w:val="00906EA8"/>
    <w:rsid w:val="0090718A"/>
    <w:rsid w:val="00907C8B"/>
    <w:rsid w:val="00907FBB"/>
    <w:rsid w:val="00910B28"/>
    <w:rsid w:val="00910B4B"/>
    <w:rsid w:val="00910CAD"/>
    <w:rsid w:val="00911323"/>
    <w:rsid w:val="00911FCF"/>
    <w:rsid w:val="00912296"/>
    <w:rsid w:val="00912371"/>
    <w:rsid w:val="009125EE"/>
    <w:rsid w:val="009125F3"/>
    <w:rsid w:val="009128E4"/>
    <w:rsid w:val="009131DA"/>
    <w:rsid w:val="00913E78"/>
    <w:rsid w:val="00914A14"/>
    <w:rsid w:val="00914FC3"/>
    <w:rsid w:val="00915038"/>
    <w:rsid w:val="00915237"/>
    <w:rsid w:val="00915C8A"/>
    <w:rsid w:val="00915D43"/>
    <w:rsid w:val="00915FA6"/>
    <w:rsid w:val="0091680D"/>
    <w:rsid w:val="00916E33"/>
    <w:rsid w:val="009176B6"/>
    <w:rsid w:val="00917988"/>
    <w:rsid w:val="009179FB"/>
    <w:rsid w:val="00917DCC"/>
    <w:rsid w:val="00917F24"/>
    <w:rsid w:val="0092009B"/>
    <w:rsid w:val="00920143"/>
    <w:rsid w:val="00920581"/>
    <w:rsid w:val="00920C2E"/>
    <w:rsid w:val="00920CE5"/>
    <w:rsid w:val="00920D7F"/>
    <w:rsid w:val="00920FC3"/>
    <w:rsid w:val="00921361"/>
    <w:rsid w:val="00921445"/>
    <w:rsid w:val="00921796"/>
    <w:rsid w:val="00921E9C"/>
    <w:rsid w:val="0092252A"/>
    <w:rsid w:val="0092280B"/>
    <w:rsid w:val="009228B6"/>
    <w:rsid w:val="00922DE6"/>
    <w:rsid w:val="00923287"/>
    <w:rsid w:val="00923F13"/>
    <w:rsid w:val="009240FE"/>
    <w:rsid w:val="0092445E"/>
    <w:rsid w:val="00924CCE"/>
    <w:rsid w:val="009256C4"/>
    <w:rsid w:val="00925A5B"/>
    <w:rsid w:val="00925BCF"/>
    <w:rsid w:val="00925C8B"/>
    <w:rsid w:val="00925FD2"/>
    <w:rsid w:val="009265A4"/>
    <w:rsid w:val="009269C4"/>
    <w:rsid w:val="00926A08"/>
    <w:rsid w:val="00926E4F"/>
    <w:rsid w:val="00927558"/>
    <w:rsid w:val="0092764A"/>
    <w:rsid w:val="009277CD"/>
    <w:rsid w:val="00927F05"/>
    <w:rsid w:val="00930A87"/>
    <w:rsid w:val="009315AB"/>
    <w:rsid w:val="00931A76"/>
    <w:rsid w:val="00931CDF"/>
    <w:rsid w:val="00932F06"/>
    <w:rsid w:val="00933095"/>
    <w:rsid w:val="00933EEA"/>
    <w:rsid w:val="0093531E"/>
    <w:rsid w:val="00935340"/>
    <w:rsid w:val="00935663"/>
    <w:rsid w:val="0093694E"/>
    <w:rsid w:val="00937583"/>
    <w:rsid w:val="00937A78"/>
    <w:rsid w:val="00937AB8"/>
    <w:rsid w:val="00937DB4"/>
    <w:rsid w:val="0094064B"/>
    <w:rsid w:val="00940FEE"/>
    <w:rsid w:val="00941D61"/>
    <w:rsid w:val="00941DFD"/>
    <w:rsid w:val="0094245E"/>
    <w:rsid w:val="00942E01"/>
    <w:rsid w:val="00942EF4"/>
    <w:rsid w:val="009434D7"/>
    <w:rsid w:val="0094385E"/>
    <w:rsid w:val="009447D1"/>
    <w:rsid w:val="00944AA9"/>
    <w:rsid w:val="009451A1"/>
    <w:rsid w:val="009452EA"/>
    <w:rsid w:val="00945F02"/>
    <w:rsid w:val="009462CD"/>
    <w:rsid w:val="00946403"/>
    <w:rsid w:val="00946742"/>
    <w:rsid w:val="009467E2"/>
    <w:rsid w:val="0094762F"/>
    <w:rsid w:val="009500A7"/>
    <w:rsid w:val="00950748"/>
    <w:rsid w:val="00951259"/>
    <w:rsid w:val="00951540"/>
    <w:rsid w:val="00952441"/>
    <w:rsid w:val="009529D9"/>
    <w:rsid w:val="00952DF2"/>
    <w:rsid w:val="0095300E"/>
    <w:rsid w:val="00953124"/>
    <w:rsid w:val="00953C8A"/>
    <w:rsid w:val="00954381"/>
    <w:rsid w:val="00954A6A"/>
    <w:rsid w:val="00954EAD"/>
    <w:rsid w:val="009555DD"/>
    <w:rsid w:val="00955BC6"/>
    <w:rsid w:val="00955EAC"/>
    <w:rsid w:val="009562FC"/>
    <w:rsid w:val="00956E62"/>
    <w:rsid w:val="00956F73"/>
    <w:rsid w:val="00957E54"/>
    <w:rsid w:val="00960520"/>
    <w:rsid w:val="00960953"/>
    <w:rsid w:val="00960AF4"/>
    <w:rsid w:val="00960C61"/>
    <w:rsid w:val="00960D24"/>
    <w:rsid w:val="00960E99"/>
    <w:rsid w:val="00961B3A"/>
    <w:rsid w:val="009623C2"/>
    <w:rsid w:val="0096353A"/>
    <w:rsid w:val="00963F18"/>
    <w:rsid w:val="00963F9B"/>
    <w:rsid w:val="0096400D"/>
    <w:rsid w:val="0096403C"/>
    <w:rsid w:val="009645AF"/>
    <w:rsid w:val="00965131"/>
    <w:rsid w:val="00965451"/>
    <w:rsid w:val="00966586"/>
    <w:rsid w:val="00966683"/>
    <w:rsid w:val="0096692D"/>
    <w:rsid w:val="009670EC"/>
    <w:rsid w:val="00967493"/>
    <w:rsid w:val="009676DF"/>
    <w:rsid w:val="00967B5F"/>
    <w:rsid w:val="00967D18"/>
    <w:rsid w:val="00970130"/>
    <w:rsid w:val="00970520"/>
    <w:rsid w:val="00970608"/>
    <w:rsid w:val="00971C58"/>
    <w:rsid w:val="00972393"/>
    <w:rsid w:val="009726D0"/>
    <w:rsid w:val="00973C9F"/>
    <w:rsid w:val="00973F3C"/>
    <w:rsid w:val="00974051"/>
    <w:rsid w:val="00974665"/>
    <w:rsid w:val="0097476D"/>
    <w:rsid w:val="00974847"/>
    <w:rsid w:val="00977611"/>
    <w:rsid w:val="00977883"/>
    <w:rsid w:val="00977E58"/>
    <w:rsid w:val="009805CD"/>
    <w:rsid w:val="00980602"/>
    <w:rsid w:val="0098067D"/>
    <w:rsid w:val="00980B78"/>
    <w:rsid w:val="00981BBB"/>
    <w:rsid w:val="009820FB"/>
    <w:rsid w:val="00982D84"/>
    <w:rsid w:val="00982E77"/>
    <w:rsid w:val="0098307D"/>
    <w:rsid w:val="00983BBA"/>
    <w:rsid w:val="00983C78"/>
    <w:rsid w:val="00983DCE"/>
    <w:rsid w:val="00984417"/>
    <w:rsid w:val="00984603"/>
    <w:rsid w:val="009854E3"/>
    <w:rsid w:val="0098586B"/>
    <w:rsid w:val="00985F1C"/>
    <w:rsid w:val="00987200"/>
    <w:rsid w:val="00987220"/>
    <w:rsid w:val="009877B8"/>
    <w:rsid w:val="0099071A"/>
    <w:rsid w:val="009907FE"/>
    <w:rsid w:val="00990AD3"/>
    <w:rsid w:val="00990B33"/>
    <w:rsid w:val="00992D64"/>
    <w:rsid w:val="0099320C"/>
    <w:rsid w:val="00993726"/>
    <w:rsid w:val="00993891"/>
    <w:rsid w:val="00994BFF"/>
    <w:rsid w:val="00995616"/>
    <w:rsid w:val="0099563A"/>
    <w:rsid w:val="00996133"/>
    <w:rsid w:val="0099729E"/>
    <w:rsid w:val="00997F57"/>
    <w:rsid w:val="00997FB2"/>
    <w:rsid w:val="009A0D20"/>
    <w:rsid w:val="009A140E"/>
    <w:rsid w:val="009A184D"/>
    <w:rsid w:val="009A2108"/>
    <w:rsid w:val="009A21F1"/>
    <w:rsid w:val="009A262A"/>
    <w:rsid w:val="009A2A8D"/>
    <w:rsid w:val="009A31A8"/>
    <w:rsid w:val="009A3801"/>
    <w:rsid w:val="009A42D4"/>
    <w:rsid w:val="009A4FBB"/>
    <w:rsid w:val="009A50FD"/>
    <w:rsid w:val="009A51F2"/>
    <w:rsid w:val="009A5278"/>
    <w:rsid w:val="009A5390"/>
    <w:rsid w:val="009A5AB1"/>
    <w:rsid w:val="009A6389"/>
    <w:rsid w:val="009A6C08"/>
    <w:rsid w:val="009A6D75"/>
    <w:rsid w:val="009A7F2A"/>
    <w:rsid w:val="009B0336"/>
    <w:rsid w:val="009B1615"/>
    <w:rsid w:val="009B1B0B"/>
    <w:rsid w:val="009B2137"/>
    <w:rsid w:val="009B2310"/>
    <w:rsid w:val="009B2557"/>
    <w:rsid w:val="009B29F9"/>
    <w:rsid w:val="009B31EA"/>
    <w:rsid w:val="009B3550"/>
    <w:rsid w:val="009B3CE1"/>
    <w:rsid w:val="009B47DA"/>
    <w:rsid w:val="009B4E1E"/>
    <w:rsid w:val="009B5852"/>
    <w:rsid w:val="009B5B33"/>
    <w:rsid w:val="009B640D"/>
    <w:rsid w:val="009B760F"/>
    <w:rsid w:val="009B7996"/>
    <w:rsid w:val="009B7AF3"/>
    <w:rsid w:val="009B7CB2"/>
    <w:rsid w:val="009C01C6"/>
    <w:rsid w:val="009C0274"/>
    <w:rsid w:val="009C071A"/>
    <w:rsid w:val="009C11B9"/>
    <w:rsid w:val="009C134C"/>
    <w:rsid w:val="009C1BC7"/>
    <w:rsid w:val="009C1CE8"/>
    <w:rsid w:val="009C1E61"/>
    <w:rsid w:val="009C232C"/>
    <w:rsid w:val="009C2357"/>
    <w:rsid w:val="009C2BFC"/>
    <w:rsid w:val="009C2DC2"/>
    <w:rsid w:val="009C2F5D"/>
    <w:rsid w:val="009C32EB"/>
    <w:rsid w:val="009C3807"/>
    <w:rsid w:val="009C3B1D"/>
    <w:rsid w:val="009C3B59"/>
    <w:rsid w:val="009C4D23"/>
    <w:rsid w:val="009C5C7E"/>
    <w:rsid w:val="009C7112"/>
    <w:rsid w:val="009C73DC"/>
    <w:rsid w:val="009D01D4"/>
    <w:rsid w:val="009D04CB"/>
    <w:rsid w:val="009D0674"/>
    <w:rsid w:val="009D0703"/>
    <w:rsid w:val="009D0F74"/>
    <w:rsid w:val="009D1179"/>
    <w:rsid w:val="009D1585"/>
    <w:rsid w:val="009D1A0E"/>
    <w:rsid w:val="009D1DB5"/>
    <w:rsid w:val="009D1F31"/>
    <w:rsid w:val="009D24F0"/>
    <w:rsid w:val="009D2DF3"/>
    <w:rsid w:val="009D3888"/>
    <w:rsid w:val="009D4011"/>
    <w:rsid w:val="009D4C3F"/>
    <w:rsid w:val="009D53D8"/>
    <w:rsid w:val="009D602C"/>
    <w:rsid w:val="009D6D7E"/>
    <w:rsid w:val="009D79A1"/>
    <w:rsid w:val="009E0C53"/>
    <w:rsid w:val="009E0E25"/>
    <w:rsid w:val="009E10C6"/>
    <w:rsid w:val="009E12C9"/>
    <w:rsid w:val="009E12D9"/>
    <w:rsid w:val="009E132C"/>
    <w:rsid w:val="009E1808"/>
    <w:rsid w:val="009E1CE9"/>
    <w:rsid w:val="009E2170"/>
    <w:rsid w:val="009E28BA"/>
    <w:rsid w:val="009E2D4F"/>
    <w:rsid w:val="009E344F"/>
    <w:rsid w:val="009E38AA"/>
    <w:rsid w:val="009E3A4A"/>
    <w:rsid w:val="009E3E04"/>
    <w:rsid w:val="009E446A"/>
    <w:rsid w:val="009E500F"/>
    <w:rsid w:val="009E503C"/>
    <w:rsid w:val="009E5C70"/>
    <w:rsid w:val="009E5D6D"/>
    <w:rsid w:val="009E686E"/>
    <w:rsid w:val="009E738B"/>
    <w:rsid w:val="009E7954"/>
    <w:rsid w:val="009E7B5B"/>
    <w:rsid w:val="009E7D04"/>
    <w:rsid w:val="009E7E3A"/>
    <w:rsid w:val="009F01A0"/>
    <w:rsid w:val="009F0303"/>
    <w:rsid w:val="009F0C5D"/>
    <w:rsid w:val="009F12DA"/>
    <w:rsid w:val="009F15DB"/>
    <w:rsid w:val="009F1BE1"/>
    <w:rsid w:val="009F2049"/>
    <w:rsid w:val="009F2679"/>
    <w:rsid w:val="009F26E9"/>
    <w:rsid w:val="009F2AC3"/>
    <w:rsid w:val="009F2CE0"/>
    <w:rsid w:val="009F2D56"/>
    <w:rsid w:val="009F3D92"/>
    <w:rsid w:val="009F420E"/>
    <w:rsid w:val="009F4507"/>
    <w:rsid w:val="009F4986"/>
    <w:rsid w:val="009F4E66"/>
    <w:rsid w:val="009F5688"/>
    <w:rsid w:val="009F58F4"/>
    <w:rsid w:val="009F5977"/>
    <w:rsid w:val="009F5CF7"/>
    <w:rsid w:val="009F6884"/>
    <w:rsid w:val="009F6B4B"/>
    <w:rsid w:val="009F731D"/>
    <w:rsid w:val="009F76AD"/>
    <w:rsid w:val="009F7E99"/>
    <w:rsid w:val="00A000D1"/>
    <w:rsid w:val="00A0070A"/>
    <w:rsid w:val="00A0092A"/>
    <w:rsid w:val="00A0141E"/>
    <w:rsid w:val="00A01658"/>
    <w:rsid w:val="00A01F7F"/>
    <w:rsid w:val="00A02040"/>
    <w:rsid w:val="00A020EE"/>
    <w:rsid w:val="00A02988"/>
    <w:rsid w:val="00A02A92"/>
    <w:rsid w:val="00A02F9A"/>
    <w:rsid w:val="00A03153"/>
    <w:rsid w:val="00A03EC5"/>
    <w:rsid w:val="00A04557"/>
    <w:rsid w:val="00A04B45"/>
    <w:rsid w:val="00A04FF8"/>
    <w:rsid w:val="00A05440"/>
    <w:rsid w:val="00A05833"/>
    <w:rsid w:val="00A05E96"/>
    <w:rsid w:val="00A06078"/>
    <w:rsid w:val="00A06394"/>
    <w:rsid w:val="00A06A33"/>
    <w:rsid w:val="00A06C7A"/>
    <w:rsid w:val="00A06DDB"/>
    <w:rsid w:val="00A06F2C"/>
    <w:rsid w:val="00A074BC"/>
    <w:rsid w:val="00A07BA2"/>
    <w:rsid w:val="00A1018D"/>
    <w:rsid w:val="00A10F84"/>
    <w:rsid w:val="00A11167"/>
    <w:rsid w:val="00A11B9A"/>
    <w:rsid w:val="00A12389"/>
    <w:rsid w:val="00A12F52"/>
    <w:rsid w:val="00A13C24"/>
    <w:rsid w:val="00A13E2F"/>
    <w:rsid w:val="00A143C3"/>
    <w:rsid w:val="00A1455B"/>
    <w:rsid w:val="00A1586D"/>
    <w:rsid w:val="00A16D9E"/>
    <w:rsid w:val="00A170C4"/>
    <w:rsid w:val="00A17A9C"/>
    <w:rsid w:val="00A20174"/>
    <w:rsid w:val="00A20AEA"/>
    <w:rsid w:val="00A20B69"/>
    <w:rsid w:val="00A20BF0"/>
    <w:rsid w:val="00A20C7A"/>
    <w:rsid w:val="00A20D70"/>
    <w:rsid w:val="00A213CD"/>
    <w:rsid w:val="00A21913"/>
    <w:rsid w:val="00A21EF3"/>
    <w:rsid w:val="00A21FD0"/>
    <w:rsid w:val="00A22E8B"/>
    <w:rsid w:val="00A2332B"/>
    <w:rsid w:val="00A23674"/>
    <w:rsid w:val="00A24022"/>
    <w:rsid w:val="00A240C5"/>
    <w:rsid w:val="00A254D9"/>
    <w:rsid w:val="00A26717"/>
    <w:rsid w:val="00A26A95"/>
    <w:rsid w:val="00A26AD0"/>
    <w:rsid w:val="00A27319"/>
    <w:rsid w:val="00A301CC"/>
    <w:rsid w:val="00A3081C"/>
    <w:rsid w:val="00A30B6B"/>
    <w:rsid w:val="00A31787"/>
    <w:rsid w:val="00A317E3"/>
    <w:rsid w:val="00A31908"/>
    <w:rsid w:val="00A31AF6"/>
    <w:rsid w:val="00A32255"/>
    <w:rsid w:val="00A335CC"/>
    <w:rsid w:val="00A341B4"/>
    <w:rsid w:val="00A344DD"/>
    <w:rsid w:val="00A34B91"/>
    <w:rsid w:val="00A35B19"/>
    <w:rsid w:val="00A36B54"/>
    <w:rsid w:val="00A37247"/>
    <w:rsid w:val="00A375C0"/>
    <w:rsid w:val="00A376B8"/>
    <w:rsid w:val="00A37859"/>
    <w:rsid w:val="00A4030B"/>
    <w:rsid w:val="00A410B3"/>
    <w:rsid w:val="00A41F99"/>
    <w:rsid w:val="00A43090"/>
    <w:rsid w:val="00A430DC"/>
    <w:rsid w:val="00A442CF"/>
    <w:rsid w:val="00A445EF"/>
    <w:rsid w:val="00A4533F"/>
    <w:rsid w:val="00A45932"/>
    <w:rsid w:val="00A45A84"/>
    <w:rsid w:val="00A45D1E"/>
    <w:rsid w:val="00A45D6A"/>
    <w:rsid w:val="00A45F73"/>
    <w:rsid w:val="00A46104"/>
    <w:rsid w:val="00A46244"/>
    <w:rsid w:val="00A47309"/>
    <w:rsid w:val="00A502F6"/>
    <w:rsid w:val="00A504C7"/>
    <w:rsid w:val="00A50736"/>
    <w:rsid w:val="00A50967"/>
    <w:rsid w:val="00A50A46"/>
    <w:rsid w:val="00A50E03"/>
    <w:rsid w:val="00A51397"/>
    <w:rsid w:val="00A516B9"/>
    <w:rsid w:val="00A526DA"/>
    <w:rsid w:val="00A527E6"/>
    <w:rsid w:val="00A52A39"/>
    <w:rsid w:val="00A52B36"/>
    <w:rsid w:val="00A536A0"/>
    <w:rsid w:val="00A5487D"/>
    <w:rsid w:val="00A54C28"/>
    <w:rsid w:val="00A558D7"/>
    <w:rsid w:val="00A55A04"/>
    <w:rsid w:val="00A56892"/>
    <w:rsid w:val="00A56C27"/>
    <w:rsid w:val="00A56C39"/>
    <w:rsid w:val="00A575F0"/>
    <w:rsid w:val="00A57E89"/>
    <w:rsid w:val="00A610F0"/>
    <w:rsid w:val="00A62D0D"/>
    <w:rsid w:val="00A62D4D"/>
    <w:rsid w:val="00A63010"/>
    <w:rsid w:val="00A633BE"/>
    <w:rsid w:val="00A63606"/>
    <w:rsid w:val="00A636AF"/>
    <w:rsid w:val="00A63B2D"/>
    <w:rsid w:val="00A669FB"/>
    <w:rsid w:val="00A66E4D"/>
    <w:rsid w:val="00A66E5E"/>
    <w:rsid w:val="00A67330"/>
    <w:rsid w:val="00A677C4"/>
    <w:rsid w:val="00A7019A"/>
    <w:rsid w:val="00A70503"/>
    <w:rsid w:val="00A7080E"/>
    <w:rsid w:val="00A709F1"/>
    <w:rsid w:val="00A71C6C"/>
    <w:rsid w:val="00A72075"/>
    <w:rsid w:val="00A72DAD"/>
    <w:rsid w:val="00A73996"/>
    <w:rsid w:val="00A74582"/>
    <w:rsid w:val="00A745FC"/>
    <w:rsid w:val="00A752A3"/>
    <w:rsid w:val="00A75486"/>
    <w:rsid w:val="00A75A20"/>
    <w:rsid w:val="00A76F85"/>
    <w:rsid w:val="00A77E50"/>
    <w:rsid w:val="00A805C9"/>
    <w:rsid w:val="00A80607"/>
    <w:rsid w:val="00A81A86"/>
    <w:rsid w:val="00A823D2"/>
    <w:rsid w:val="00A83E2A"/>
    <w:rsid w:val="00A84133"/>
    <w:rsid w:val="00A85091"/>
    <w:rsid w:val="00A85299"/>
    <w:rsid w:val="00A85472"/>
    <w:rsid w:val="00A864CF"/>
    <w:rsid w:val="00A86F7E"/>
    <w:rsid w:val="00A8701D"/>
    <w:rsid w:val="00A87372"/>
    <w:rsid w:val="00A87CEF"/>
    <w:rsid w:val="00A900CA"/>
    <w:rsid w:val="00A90311"/>
    <w:rsid w:val="00A90CB2"/>
    <w:rsid w:val="00A90E0D"/>
    <w:rsid w:val="00A91781"/>
    <w:rsid w:val="00A91A6D"/>
    <w:rsid w:val="00A925EC"/>
    <w:rsid w:val="00A93021"/>
    <w:rsid w:val="00A94CCB"/>
    <w:rsid w:val="00A9584D"/>
    <w:rsid w:val="00A95BD2"/>
    <w:rsid w:val="00A95CD5"/>
    <w:rsid w:val="00A96530"/>
    <w:rsid w:val="00A96B09"/>
    <w:rsid w:val="00A96FC0"/>
    <w:rsid w:val="00A977F7"/>
    <w:rsid w:val="00A9780A"/>
    <w:rsid w:val="00A97FE6"/>
    <w:rsid w:val="00AA0166"/>
    <w:rsid w:val="00AA0CC5"/>
    <w:rsid w:val="00AA0F35"/>
    <w:rsid w:val="00AA1730"/>
    <w:rsid w:val="00AA1E78"/>
    <w:rsid w:val="00AA2899"/>
    <w:rsid w:val="00AA3936"/>
    <w:rsid w:val="00AA3FCD"/>
    <w:rsid w:val="00AA414B"/>
    <w:rsid w:val="00AA5191"/>
    <w:rsid w:val="00AA59C6"/>
    <w:rsid w:val="00AA5B2D"/>
    <w:rsid w:val="00AA603A"/>
    <w:rsid w:val="00AA634A"/>
    <w:rsid w:val="00AA6766"/>
    <w:rsid w:val="00AA6D67"/>
    <w:rsid w:val="00AA6EB5"/>
    <w:rsid w:val="00AA730C"/>
    <w:rsid w:val="00AA743D"/>
    <w:rsid w:val="00AA76BB"/>
    <w:rsid w:val="00AA783F"/>
    <w:rsid w:val="00AA78F0"/>
    <w:rsid w:val="00AB10C7"/>
    <w:rsid w:val="00AB1E1D"/>
    <w:rsid w:val="00AB34AA"/>
    <w:rsid w:val="00AB4027"/>
    <w:rsid w:val="00AB4DC8"/>
    <w:rsid w:val="00AB4F3D"/>
    <w:rsid w:val="00AB66C6"/>
    <w:rsid w:val="00AB6DD8"/>
    <w:rsid w:val="00AB6E0A"/>
    <w:rsid w:val="00AB7519"/>
    <w:rsid w:val="00AB7728"/>
    <w:rsid w:val="00AB7773"/>
    <w:rsid w:val="00AB77C0"/>
    <w:rsid w:val="00AB7B65"/>
    <w:rsid w:val="00AB7C46"/>
    <w:rsid w:val="00AC04C2"/>
    <w:rsid w:val="00AC0919"/>
    <w:rsid w:val="00AC095C"/>
    <w:rsid w:val="00AC0CC5"/>
    <w:rsid w:val="00AC140C"/>
    <w:rsid w:val="00AC142B"/>
    <w:rsid w:val="00AC156B"/>
    <w:rsid w:val="00AC1573"/>
    <w:rsid w:val="00AC23A6"/>
    <w:rsid w:val="00AC26F4"/>
    <w:rsid w:val="00AC3177"/>
    <w:rsid w:val="00AC3446"/>
    <w:rsid w:val="00AC34E9"/>
    <w:rsid w:val="00AC3F2F"/>
    <w:rsid w:val="00AC4446"/>
    <w:rsid w:val="00AC4457"/>
    <w:rsid w:val="00AC4622"/>
    <w:rsid w:val="00AC46B7"/>
    <w:rsid w:val="00AC4A44"/>
    <w:rsid w:val="00AC4E32"/>
    <w:rsid w:val="00AC58AA"/>
    <w:rsid w:val="00AC6090"/>
    <w:rsid w:val="00AC65D4"/>
    <w:rsid w:val="00AC6E79"/>
    <w:rsid w:val="00AC71F2"/>
    <w:rsid w:val="00AC7DFC"/>
    <w:rsid w:val="00AD13CD"/>
    <w:rsid w:val="00AD1AFA"/>
    <w:rsid w:val="00AD1B15"/>
    <w:rsid w:val="00AD2082"/>
    <w:rsid w:val="00AD2CA0"/>
    <w:rsid w:val="00AD335B"/>
    <w:rsid w:val="00AD3C53"/>
    <w:rsid w:val="00AD3DBA"/>
    <w:rsid w:val="00AD478D"/>
    <w:rsid w:val="00AD5342"/>
    <w:rsid w:val="00AD53EB"/>
    <w:rsid w:val="00AD5C39"/>
    <w:rsid w:val="00AD65B6"/>
    <w:rsid w:val="00AD6720"/>
    <w:rsid w:val="00AD68BF"/>
    <w:rsid w:val="00AD7035"/>
    <w:rsid w:val="00AD78DB"/>
    <w:rsid w:val="00AD7C64"/>
    <w:rsid w:val="00AE0813"/>
    <w:rsid w:val="00AE0DD8"/>
    <w:rsid w:val="00AE0F35"/>
    <w:rsid w:val="00AE12E7"/>
    <w:rsid w:val="00AE16D9"/>
    <w:rsid w:val="00AE1890"/>
    <w:rsid w:val="00AE1A2E"/>
    <w:rsid w:val="00AE1BC4"/>
    <w:rsid w:val="00AE28DD"/>
    <w:rsid w:val="00AE2C70"/>
    <w:rsid w:val="00AE342B"/>
    <w:rsid w:val="00AE4646"/>
    <w:rsid w:val="00AE504C"/>
    <w:rsid w:val="00AE5584"/>
    <w:rsid w:val="00AE668E"/>
    <w:rsid w:val="00AE6B8E"/>
    <w:rsid w:val="00AE7457"/>
    <w:rsid w:val="00AE7FF6"/>
    <w:rsid w:val="00AF001E"/>
    <w:rsid w:val="00AF007B"/>
    <w:rsid w:val="00AF015A"/>
    <w:rsid w:val="00AF076F"/>
    <w:rsid w:val="00AF11C4"/>
    <w:rsid w:val="00AF11EA"/>
    <w:rsid w:val="00AF23E0"/>
    <w:rsid w:val="00AF33F6"/>
    <w:rsid w:val="00AF373B"/>
    <w:rsid w:val="00AF3776"/>
    <w:rsid w:val="00AF3876"/>
    <w:rsid w:val="00AF3AAD"/>
    <w:rsid w:val="00AF49B9"/>
    <w:rsid w:val="00AF4C26"/>
    <w:rsid w:val="00AF56FF"/>
    <w:rsid w:val="00AF5A56"/>
    <w:rsid w:val="00AF5AF2"/>
    <w:rsid w:val="00AF5C8F"/>
    <w:rsid w:val="00AF5F21"/>
    <w:rsid w:val="00AF6357"/>
    <w:rsid w:val="00AF6712"/>
    <w:rsid w:val="00AF70EA"/>
    <w:rsid w:val="00B0089A"/>
    <w:rsid w:val="00B00D99"/>
    <w:rsid w:val="00B01F33"/>
    <w:rsid w:val="00B02259"/>
    <w:rsid w:val="00B02ADB"/>
    <w:rsid w:val="00B02E58"/>
    <w:rsid w:val="00B031FE"/>
    <w:rsid w:val="00B035C2"/>
    <w:rsid w:val="00B03BB6"/>
    <w:rsid w:val="00B043BB"/>
    <w:rsid w:val="00B04530"/>
    <w:rsid w:val="00B04807"/>
    <w:rsid w:val="00B04993"/>
    <w:rsid w:val="00B05A25"/>
    <w:rsid w:val="00B05B9A"/>
    <w:rsid w:val="00B05E8C"/>
    <w:rsid w:val="00B06067"/>
    <w:rsid w:val="00B061F0"/>
    <w:rsid w:val="00B06FCB"/>
    <w:rsid w:val="00B070C0"/>
    <w:rsid w:val="00B0712A"/>
    <w:rsid w:val="00B077B5"/>
    <w:rsid w:val="00B07A13"/>
    <w:rsid w:val="00B07C65"/>
    <w:rsid w:val="00B11500"/>
    <w:rsid w:val="00B1189B"/>
    <w:rsid w:val="00B11A00"/>
    <w:rsid w:val="00B12F85"/>
    <w:rsid w:val="00B13A87"/>
    <w:rsid w:val="00B13B9D"/>
    <w:rsid w:val="00B13D9E"/>
    <w:rsid w:val="00B13DD6"/>
    <w:rsid w:val="00B14648"/>
    <w:rsid w:val="00B14998"/>
    <w:rsid w:val="00B14F09"/>
    <w:rsid w:val="00B15C7A"/>
    <w:rsid w:val="00B16A57"/>
    <w:rsid w:val="00B16DB1"/>
    <w:rsid w:val="00B17358"/>
    <w:rsid w:val="00B17BDA"/>
    <w:rsid w:val="00B21186"/>
    <w:rsid w:val="00B21220"/>
    <w:rsid w:val="00B21795"/>
    <w:rsid w:val="00B21B8A"/>
    <w:rsid w:val="00B21E0E"/>
    <w:rsid w:val="00B21E89"/>
    <w:rsid w:val="00B21EF1"/>
    <w:rsid w:val="00B21FC4"/>
    <w:rsid w:val="00B2237F"/>
    <w:rsid w:val="00B223EC"/>
    <w:rsid w:val="00B229AB"/>
    <w:rsid w:val="00B22A82"/>
    <w:rsid w:val="00B22B4C"/>
    <w:rsid w:val="00B22EA7"/>
    <w:rsid w:val="00B24C91"/>
    <w:rsid w:val="00B24D9A"/>
    <w:rsid w:val="00B25047"/>
    <w:rsid w:val="00B25893"/>
    <w:rsid w:val="00B2658E"/>
    <w:rsid w:val="00B26929"/>
    <w:rsid w:val="00B26DCA"/>
    <w:rsid w:val="00B274D3"/>
    <w:rsid w:val="00B276FE"/>
    <w:rsid w:val="00B277F4"/>
    <w:rsid w:val="00B30552"/>
    <w:rsid w:val="00B3094A"/>
    <w:rsid w:val="00B30BED"/>
    <w:rsid w:val="00B3108F"/>
    <w:rsid w:val="00B3269D"/>
    <w:rsid w:val="00B32880"/>
    <w:rsid w:val="00B333E9"/>
    <w:rsid w:val="00B33508"/>
    <w:rsid w:val="00B33551"/>
    <w:rsid w:val="00B339FB"/>
    <w:rsid w:val="00B33F65"/>
    <w:rsid w:val="00B34519"/>
    <w:rsid w:val="00B3517F"/>
    <w:rsid w:val="00B35377"/>
    <w:rsid w:val="00B35B3C"/>
    <w:rsid w:val="00B3644A"/>
    <w:rsid w:val="00B3662D"/>
    <w:rsid w:val="00B3671C"/>
    <w:rsid w:val="00B36E0D"/>
    <w:rsid w:val="00B36E43"/>
    <w:rsid w:val="00B37254"/>
    <w:rsid w:val="00B379DA"/>
    <w:rsid w:val="00B37A6E"/>
    <w:rsid w:val="00B37BE5"/>
    <w:rsid w:val="00B40042"/>
    <w:rsid w:val="00B42190"/>
    <w:rsid w:val="00B42284"/>
    <w:rsid w:val="00B42644"/>
    <w:rsid w:val="00B428A4"/>
    <w:rsid w:val="00B428D4"/>
    <w:rsid w:val="00B43011"/>
    <w:rsid w:val="00B436E4"/>
    <w:rsid w:val="00B44045"/>
    <w:rsid w:val="00B44DC7"/>
    <w:rsid w:val="00B45CE9"/>
    <w:rsid w:val="00B461EE"/>
    <w:rsid w:val="00B46746"/>
    <w:rsid w:val="00B4682F"/>
    <w:rsid w:val="00B46E68"/>
    <w:rsid w:val="00B47079"/>
    <w:rsid w:val="00B47BDB"/>
    <w:rsid w:val="00B502CA"/>
    <w:rsid w:val="00B505DC"/>
    <w:rsid w:val="00B51AD6"/>
    <w:rsid w:val="00B52100"/>
    <w:rsid w:val="00B52288"/>
    <w:rsid w:val="00B525C5"/>
    <w:rsid w:val="00B52895"/>
    <w:rsid w:val="00B53331"/>
    <w:rsid w:val="00B534E3"/>
    <w:rsid w:val="00B536A7"/>
    <w:rsid w:val="00B53C1C"/>
    <w:rsid w:val="00B548FA"/>
    <w:rsid w:val="00B55123"/>
    <w:rsid w:val="00B55F12"/>
    <w:rsid w:val="00B56870"/>
    <w:rsid w:val="00B56CC6"/>
    <w:rsid w:val="00B5739B"/>
    <w:rsid w:val="00B57A7B"/>
    <w:rsid w:val="00B57CB5"/>
    <w:rsid w:val="00B57DEF"/>
    <w:rsid w:val="00B57E01"/>
    <w:rsid w:val="00B57F86"/>
    <w:rsid w:val="00B6027D"/>
    <w:rsid w:val="00B603D9"/>
    <w:rsid w:val="00B60FD4"/>
    <w:rsid w:val="00B61F4A"/>
    <w:rsid w:val="00B62662"/>
    <w:rsid w:val="00B62DCD"/>
    <w:rsid w:val="00B62DE8"/>
    <w:rsid w:val="00B63F7A"/>
    <w:rsid w:val="00B64118"/>
    <w:rsid w:val="00B6466F"/>
    <w:rsid w:val="00B6502A"/>
    <w:rsid w:val="00B65280"/>
    <w:rsid w:val="00B65351"/>
    <w:rsid w:val="00B6595F"/>
    <w:rsid w:val="00B65ECB"/>
    <w:rsid w:val="00B65ED5"/>
    <w:rsid w:val="00B669BC"/>
    <w:rsid w:val="00B677A6"/>
    <w:rsid w:val="00B67901"/>
    <w:rsid w:val="00B700F6"/>
    <w:rsid w:val="00B70FCB"/>
    <w:rsid w:val="00B71386"/>
    <w:rsid w:val="00B715F3"/>
    <w:rsid w:val="00B72806"/>
    <w:rsid w:val="00B7295A"/>
    <w:rsid w:val="00B736E2"/>
    <w:rsid w:val="00B73BCA"/>
    <w:rsid w:val="00B73CC5"/>
    <w:rsid w:val="00B74046"/>
    <w:rsid w:val="00B74E01"/>
    <w:rsid w:val="00B751C0"/>
    <w:rsid w:val="00B75824"/>
    <w:rsid w:val="00B75C3C"/>
    <w:rsid w:val="00B7624B"/>
    <w:rsid w:val="00B76A1B"/>
    <w:rsid w:val="00B76CC2"/>
    <w:rsid w:val="00B7741A"/>
    <w:rsid w:val="00B7763C"/>
    <w:rsid w:val="00B778D7"/>
    <w:rsid w:val="00B77B79"/>
    <w:rsid w:val="00B80A72"/>
    <w:rsid w:val="00B80EB0"/>
    <w:rsid w:val="00B81B54"/>
    <w:rsid w:val="00B8229C"/>
    <w:rsid w:val="00B82D1B"/>
    <w:rsid w:val="00B82F4E"/>
    <w:rsid w:val="00B83103"/>
    <w:rsid w:val="00B837E3"/>
    <w:rsid w:val="00B83EA5"/>
    <w:rsid w:val="00B8475C"/>
    <w:rsid w:val="00B85807"/>
    <w:rsid w:val="00B8611E"/>
    <w:rsid w:val="00B869B1"/>
    <w:rsid w:val="00B87D6C"/>
    <w:rsid w:val="00B900D8"/>
    <w:rsid w:val="00B90A27"/>
    <w:rsid w:val="00B91023"/>
    <w:rsid w:val="00B920E8"/>
    <w:rsid w:val="00B92585"/>
    <w:rsid w:val="00B9296A"/>
    <w:rsid w:val="00B92A35"/>
    <w:rsid w:val="00B92AC1"/>
    <w:rsid w:val="00B92EB1"/>
    <w:rsid w:val="00B9301F"/>
    <w:rsid w:val="00B934DD"/>
    <w:rsid w:val="00B935D8"/>
    <w:rsid w:val="00B949BB"/>
    <w:rsid w:val="00B94F7A"/>
    <w:rsid w:val="00B950AF"/>
    <w:rsid w:val="00B95741"/>
    <w:rsid w:val="00B96580"/>
    <w:rsid w:val="00B96954"/>
    <w:rsid w:val="00B96B7A"/>
    <w:rsid w:val="00B96F11"/>
    <w:rsid w:val="00B97107"/>
    <w:rsid w:val="00B97642"/>
    <w:rsid w:val="00B97C1F"/>
    <w:rsid w:val="00B97DA2"/>
    <w:rsid w:val="00B97FDF"/>
    <w:rsid w:val="00BA0478"/>
    <w:rsid w:val="00BA0A37"/>
    <w:rsid w:val="00BA0AEC"/>
    <w:rsid w:val="00BA0D6D"/>
    <w:rsid w:val="00BA1054"/>
    <w:rsid w:val="00BA11F0"/>
    <w:rsid w:val="00BA1F14"/>
    <w:rsid w:val="00BA317F"/>
    <w:rsid w:val="00BA3208"/>
    <w:rsid w:val="00BA3399"/>
    <w:rsid w:val="00BA3653"/>
    <w:rsid w:val="00BA3775"/>
    <w:rsid w:val="00BA3E58"/>
    <w:rsid w:val="00BA547E"/>
    <w:rsid w:val="00BA592F"/>
    <w:rsid w:val="00BA59BA"/>
    <w:rsid w:val="00BA59DC"/>
    <w:rsid w:val="00BA5EBC"/>
    <w:rsid w:val="00BA6CAB"/>
    <w:rsid w:val="00BA71A6"/>
    <w:rsid w:val="00BB1122"/>
    <w:rsid w:val="00BB1191"/>
    <w:rsid w:val="00BB1773"/>
    <w:rsid w:val="00BB1B11"/>
    <w:rsid w:val="00BB24D5"/>
    <w:rsid w:val="00BB26E5"/>
    <w:rsid w:val="00BB29AE"/>
    <w:rsid w:val="00BB2EBE"/>
    <w:rsid w:val="00BB3148"/>
    <w:rsid w:val="00BB3219"/>
    <w:rsid w:val="00BB335B"/>
    <w:rsid w:val="00BB48C1"/>
    <w:rsid w:val="00BB4CFF"/>
    <w:rsid w:val="00BB4D51"/>
    <w:rsid w:val="00BB5129"/>
    <w:rsid w:val="00BB5499"/>
    <w:rsid w:val="00BB5B0E"/>
    <w:rsid w:val="00BB793E"/>
    <w:rsid w:val="00BB7A0F"/>
    <w:rsid w:val="00BB7AEE"/>
    <w:rsid w:val="00BC0032"/>
    <w:rsid w:val="00BC0313"/>
    <w:rsid w:val="00BC0878"/>
    <w:rsid w:val="00BC0993"/>
    <w:rsid w:val="00BC0F92"/>
    <w:rsid w:val="00BC15E2"/>
    <w:rsid w:val="00BC1C14"/>
    <w:rsid w:val="00BC2103"/>
    <w:rsid w:val="00BC21AD"/>
    <w:rsid w:val="00BC22B6"/>
    <w:rsid w:val="00BC32A4"/>
    <w:rsid w:val="00BC3566"/>
    <w:rsid w:val="00BC3863"/>
    <w:rsid w:val="00BC3B64"/>
    <w:rsid w:val="00BC423F"/>
    <w:rsid w:val="00BC43C8"/>
    <w:rsid w:val="00BC48A8"/>
    <w:rsid w:val="00BC4B5E"/>
    <w:rsid w:val="00BC56F2"/>
    <w:rsid w:val="00BC58F5"/>
    <w:rsid w:val="00BC6391"/>
    <w:rsid w:val="00BC64D2"/>
    <w:rsid w:val="00BC6765"/>
    <w:rsid w:val="00BC6AD4"/>
    <w:rsid w:val="00BC6E36"/>
    <w:rsid w:val="00BC7337"/>
    <w:rsid w:val="00BC77A5"/>
    <w:rsid w:val="00BD03D4"/>
    <w:rsid w:val="00BD11F3"/>
    <w:rsid w:val="00BD1265"/>
    <w:rsid w:val="00BD1BAA"/>
    <w:rsid w:val="00BD1C65"/>
    <w:rsid w:val="00BD2157"/>
    <w:rsid w:val="00BD2514"/>
    <w:rsid w:val="00BD2E1D"/>
    <w:rsid w:val="00BD318D"/>
    <w:rsid w:val="00BD3199"/>
    <w:rsid w:val="00BD3DEB"/>
    <w:rsid w:val="00BD40FA"/>
    <w:rsid w:val="00BD50FB"/>
    <w:rsid w:val="00BD5120"/>
    <w:rsid w:val="00BD55C5"/>
    <w:rsid w:val="00BD5750"/>
    <w:rsid w:val="00BD5E5A"/>
    <w:rsid w:val="00BD5FC6"/>
    <w:rsid w:val="00BD641E"/>
    <w:rsid w:val="00BD6483"/>
    <w:rsid w:val="00BD6848"/>
    <w:rsid w:val="00BD6AB9"/>
    <w:rsid w:val="00BD6BD5"/>
    <w:rsid w:val="00BD6BFB"/>
    <w:rsid w:val="00BD7624"/>
    <w:rsid w:val="00BD78DF"/>
    <w:rsid w:val="00BD7C44"/>
    <w:rsid w:val="00BE016D"/>
    <w:rsid w:val="00BE03A9"/>
    <w:rsid w:val="00BE1817"/>
    <w:rsid w:val="00BE2935"/>
    <w:rsid w:val="00BE2BFC"/>
    <w:rsid w:val="00BE3F35"/>
    <w:rsid w:val="00BE4428"/>
    <w:rsid w:val="00BE5135"/>
    <w:rsid w:val="00BE533D"/>
    <w:rsid w:val="00BE53E0"/>
    <w:rsid w:val="00BE5475"/>
    <w:rsid w:val="00BE58BA"/>
    <w:rsid w:val="00BE5D2B"/>
    <w:rsid w:val="00BE6732"/>
    <w:rsid w:val="00BE78E1"/>
    <w:rsid w:val="00BE7AAD"/>
    <w:rsid w:val="00BE7CB7"/>
    <w:rsid w:val="00BF0001"/>
    <w:rsid w:val="00BF0089"/>
    <w:rsid w:val="00BF0A96"/>
    <w:rsid w:val="00BF1112"/>
    <w:rsid w:val="00BF1C54"/>
    <w:rsid w:val="00BF1E85"/>
    <w:rsid w:val="00BF2F8C"/>
    <w:rsid w:val="00BF33D9"/>
    <w:rsid w:val="00BF34BF"/>
    <w:rsid w:val="00BF3D2E"/>
    <w:rsid w:val="00BF4008"/>
    <w:rsid w:val="00BF409C"/>
    <w:rsid w:val="00BF41E3"/>
    <w:rsid w:val="00BF4453"/>
    <w:rsid w:val="00BF495C"/>
    <w:rsid w:val="00BF4C77"/>
    <w:rsid w:val="00BF5912"/>
    <w:rsid w:val="00BF5AF8"/>
    <w:rsid w:val="00BF5DD7"/>
    <w:rsid w:val="00BF65C2"/>
    <w:rsid w:val="00BF6DD0"/>
    <w:rsid w:val="00BF7023"/>
    <w:rsid w:val="00BF7112"/>
    <w:rsid w:val="00C00106"/>
    <w:rsid w:val="00C00251"/>
    <w:rsid w:val="00C00760"/>
    <w:rsid w:val="00C0155D"/>
    <w:rsid w:val="00C01C75"/>
    <w:rsid w:val="00C024B9"/>
    <w:rsid w:val="00C024D8"/>
    <w:rsid w:val="00C02AAA"/>
    <w:rsid w:val="00C032DD"/>
    <w:rsid w:val="00C0336B"/>
    <w:rsid w:val="00C035F2"/>
    <w:rsid w:val="00C03767"/>
    <w:rsid w:val="00C037B7"/>
    <w:rsid w:val="00C039FB"/>
    <w:rsid w:val="00C03AC6"/>
    <w:rsid w:val="00C03EBA"/>
    <w:rsid w:val="00C04227"/>
    <w:rsid w:val="00C0449C"/>
    <w:rsid w:val="00C04798"/>
    <w:rsid w:val="00C04C3D"/>
    <w:rsid w:val="00C05643"/>
    <w:rsid w:val="00C058B2"/>
    <w:rsid w:val="00C061B4"/>
    <w:rsid w:val="00C0622D"/>
    <w:rsid w:val="00C06895"/>
    <w:rsid w:val="00C073FB"/>
    <w:rsid w:val="00C07AD5"/>
    <w:rsid w:val="00C07F7A"/>
    <w:rsid w:val="00C10FAA"/>
    <w:rsid w:val="00C11472"/>
    <w:rsid w:val="00C12444"/>
    <w:rsid w:val="00C13A0D"/>
    <w:rsid w:val="00C143C1"/>
    <w:rsid w:val="00C15684"/>
    <w:rsid w:val="00C16306"/>
    <w:rsid w:val="00C16406"/>
    <w:rsid w:val="00C164E1"/>
    <w:rsid w:val="00C167F0"/>
    <w:rsid w:val="00C16ACB"/>
    <w:rsid w:val="00C16C04"/>
    <w:rsid w:val="00C16F62"/>
    <w:rsid w:val="00C17091"/>
    <w:rsid w:val="00C17B84"/>
    <w:rsid w:val="00C20237"/>
    <w:rsid w:val="00C2213B"/>
    <w:rsid w:val="00C22CDD"/>
    <w:rsid w:val="00C244BD"/>
    <w:rsid w:val="00C2459B"/>
    <w:rsid w:val="00C247D2"/>
    <w:rsid w:val="00C253D4"/>
    <w:rsid w:val="00C254F3"/>
    <w:rsid w:val="00C25BC2"/>
    <w:rsid w:val="00C26033"/>
    <w:rsid w:val="00C264B9"/>
    <w:rsid w:val="00C267AB"/>
    <w:rsid w:val="00C2693F"/>
    <w:rsid w:val="00C270CB"/>
    <w:rsid w:val="00C27816"/>
    <w:rsid w:val="00C2797F"/>
    <w:rsid w:val="00C27A9B"/>
    <w:rsid w:val="00C310DF"/>
    <w:rsid w:val="00C31430"/>
    <w:rsid w:val="00C315EE"/>
    <w:rsid w:val="00C31720"/>
    <w:rsid w:val="00C32038"/>
    <w:rsid w:val="00C32217"/>
    <w:rsid w:val="00C32C27"/>
    <w:rsid w:val="00C32E9A"/>
    <w:rsid w:val="00C331EE"/>
    <w:rsid w:val="00C3353C"/>
    <w:rsid w:val="00C33C4E"/>
    <w:rsid w:val="00C34297"/>
    <w:rsid w:val="00C3430D"/>
    <w:rsid w:val="00C34442"/>
    <w:rsid w:val="00C34A79"/>
    <w:rsid w:val="00C35210"/>
    <w:rsid w:val="00C35803"/>
    <w:rsid w:val="00C35832"/>
    <w:rsid w:val="00C35C4C"/>
    <w:rsid w:val="00C35CD8"/>
    <w:rsid w:val="00C360F7"/>
    <w:rsid w:val="00C362B8"/>
    <w:rsid w:val="00C36B88"/>
    <w:rsid w:val="00C37A11"/>
    <w:rsid w:val="00C4056F"/>
    <w:rsid w:val="00C42C0D"/>
    <w:rsid w:val="00C42E18"/>
    <w:rsid w:val="00C4306D"/>
    <w:rsid w:val="00C430AD"/>
    <w:rsid w:val="00C440B5"/>
    <w:rsid w:val="00C442FB"/>
    <w:rsid w:val="00C443CD"/>
    <w:rsid w:val="00C44904"/>
    <w:rsid w:val="00C461A7"/>
    <w:rsid w:val="00C463DB"/>
    <w:rsid w:val="00C46412"/>
    <w:rsid w:val="00C4668E"/>
    <w:rsid w:val="00C46E20"/>
    <w:rsid w:val="00C4710A"/>
    <w:rsid w:val="00C47E3B"/>
    <w:rsid w:val="00C5098D"/>
    <w:rsid w:val="00C516BD"/>
    <w:rsid w:val="00C51894"/>
    <w:rsid w:val="00C51B41"/>
    <w:rsid w:val="00C51E7E"/>
    <w:rsid w:val="00C51EE2"/>
    <w:rsid w:val="00C527F6"/>
    <w:rsid w:val="00C528C2"/>
    <w:rsid w:val="00C533E7"/>
    <w:rsid w:val="00C5363D"/>
    <w:rsid w:val="00C53815"/>
    <w:rsid w:val="00C538FF"/>
    <w:rsid w:val="00C542CD"/>
    <w:rsid w:val="00C54A5B"/>
    <w:rsid w:val="00C561D6"/>
    <w:rsid w:val="00C57331"/>
    <w:rsid w:val="00C57361"/>
    <w:rsid w:val="00C57AE2"/>
    <w:rsid w:val="00C60663"/>
    <w:rsid w:val="00C60FD1"/>
    <w:rsid w:val="00C6113F"/>
    <w:rsid w:val="00C6146F"/>
    <w:rsid w:val="00C62F4E"/>
    <w:rsid w:val="00C658C0"/>
    <w:rsid w:val="00C6592A"/>
    <w:rsid w:val="00C65C71"/>
    <w:rsid w:val="00C669DD"/>
    <w:rsid w:val="00C669E8"/>
    <w:rsid w:val="00C67CDB"/>
    <w:rsid w:val="00C67D8C"/>
    <w:rsid w:val="00C7061F"/>
    <w:rsid w:val="00C70816"/>
    <w:rsid w:val="00C709D8"/>
    <w:rsid w:val="00C711F6"/>
    <w:rsid w:val="00C714FC"/>
    <w:rsid w:val="00C71505"/>
    <w:rsid w:val="00C718F4"/>
    <w:rsid w:val="00C71BAB"/>
    <w:rsid w:val="00C72503"/>
    <w:rsid w:val="00C72681"/>
    <w:rsid w:val="00C730B1"/>
    <w:rsid w:val="00C733FC"/>
    <w:rsid w:val="00C7358A"/>
    <w:rsid w:val="00C73930"/>
    <w:rsid w:val="00C740ED"/>
    <w:rsid w:val="00C7561F"/>
    <w:rsid w:val="00C75CBE"/>
    <w:rsid w:val="00C7692E"/>
    <w:rsid w:val="00C769D3"/>
    <w:rsid w:val="00C80125"/>
    <w:rsid w:val="00C80D61"/>
    <w:rsid w:val="00C811E5"/>
    <w:rsid w:val="00C81405"/>
    <w:rsid w:val="00C81D30"/>
    <w:rsid w:val="00C826B1"/>
    <w:rsid w:val="00C8308D"/>
    <w:rsid w:val="00C837B9"/>
    <w:rsid w:val="00C83A3C"/>
    <w:rsid w:val="00C83F8B"/>
    <w:rsid w:val="00C84008"/>
    <w:rsid w:val="00C842CB"/>
    <w:rsid w:val="00C842E6"/>
    <w:rsid w:val="00C84556"/>
    <w:rsid w:val="00C847F1"/>
    <w:rsid w:val="00C84C42"/>
    <w:rsid w:val="00C84D47"/>
    <w:rsid w:val="00C85AEB"/>
    <w:rsid w:val="00C85BD8"/>
    <w:rsid w:val="00C86344"/>
    <w:rsid w:val="00C86F1B"/>
    <w:rsid w:val="00C8772B"/>
    <w:rsid w:val="00C87C33"/>
    <w:rsid w:val="00C90406"/>
    <w:rsid w:val="00C9085C"/>
    <w:rsid w:val="00C91278"/>
    <w:rsid w:val="00C912F8"/>
    <w:rsid w:val="00C91C8C"/>
    <w:rsid w:val="00C91E81"/>
    <w:rsid w:val="00C93C46"/>
    <w:rsid w:val="00C95106"/>
    <w:rsid w:val="00C959C1"/>
    <w:rsid w:val="00C95BED"/>
    <w:rsid w:val="00C95ED8"/>
    <w:rsid w:val="00C95F84"/>
    <w:rsid w:val="00C964E4"/>
    <w:rsid w:val="00C96F6F"/>
    <w:rsid w:val="00C97066"/>
    <w:rsid w:val="00CA0FEC"/>
    <w:rsid w:val="00CA1778"/>
    <w:rsid w:val="00CA25BB"/>
    <w:rsid w:val="00CA2B75"/>
    <w:rsid w:val="00CA2B95"/>
    <w:rsid w:val="00CA2D3C"/>
    <w:rsid w:val="00CA34E7"/>
    <w:rsid w:val="00CA3958"/>
    <w:rsid w:val="00CA3D68"/>
    <w:rsid w:val="00CA417E"/>
    <w:rsid w:val="00CA4C36"/>
    <w:rsid w:val="00CA4E4D"/>
    <w:rsid w:val="00CA5039"/>
    <w:rsid w:val="00CA5244"/>
    <w:rsid w:val="00CA590A"/>
    <w:rsid w:val="00CA5F3A"/>
    <w:rsid w:val="00CA6BFB"/>
    <w:rsid w:val="00CA6F70"/>
    <w:rsid w:val="00CA70EF"/>
    <w:rsid w:val="00CA71DF"/>
    <w:rsid w:val="00CA728A"/>
    <w:rsid w:val="00CB047B"/>
    <w:rsid w:val="00CB0915"/>
    <w:rsid w:val="00CB11E0"/>
    <w:rsid w:val="00CB12EF"/>
    <w:rsid w:val="00CB1775"/>
    <w:rsid w:val="00CB23DE"/>
    <w:rsid w:val="00CB2520"/>
    <w:rsid w:val="00CB288C"/>
    <w:rsid w:val="00CB2936"/>
    <w:rsid w:val="00CB2CB4"/>
    <w:rsid w:val="00CB2D3C"/>
    <w:rsid w:val="00CB30B4"/>
    <w:rsid w:val="00CB3FB7"/>
    <w:rsid w:val="00CB4625"/>
    <w:rsid w:val="00CB4637"/>
    <w:rsid w:val="00CB4AB8"/>
    <w:rsid w:val="00CB4B75"/>
    <w:rsid w:val="00CB4F94"/>
    <w:rsid w:val="00CB53A3"/>
    <w:rsid w:val="00CB5AC4"/>
    <w:rsid w:val="00CB6256"/>
    <w:rsid w:val="00CB6499"/>
    <w:rsid w:val="00CB65CE"/>
    <w:rsid w:val="00CB6A1F"/>
    <w:rsid w:val="00CB785F"/>
    <w:rsid w:val="00CB7E8E"/>
    <w:rsid w:val="00CC02BC"/>
    <w:rsid w:val="00CC0900"/>
    <w:rsid w:val="00CC11CF"/>
    <w:rsid w:val="00CC15CE"/>
    <w:rsid w:val="00CC2589"/>
    <w:rsid w:val="00CC2E59"/>
    <w:rsid w:val="00CC315F"/>
    <w:rsid w:val="00CC342A"/>
    <w:rsid w:val="00CC3FB7"/>
    <w:rsid w:val="00CC409B"/>
    <w:rsid w:val="00CC4132"/>
    <w:rsid w:val="00CC43EF"/>
    <w:rsid w:val="00CC4650"/>
    <w:rsid w:val="00CC5116"/>
    <w:rsid w:val="00CC52CA"/>
    <w:rsid w:val="00CC545F"/>
    <w:rsid w:val="00CC5AA1"/>
    <w:rsid w:val="00CC5D1C"/>
    <w:rsid w:val="00CC5D78"/>
    <w:rsid w:val="00CC6C4D"/>
    <w:rsid w:val="00CC719A"/>
    <w:rsid w:val="00CC72A1"/>
    <w:rsid w:val="00CC7960"/>
    <w:rsid w:val="00CC79AF"/>
    <w:rsid w:val="00CD0767"/>
    <w:rsid w:val="00CD07C0"/>
    <w:rsid w:val="00CD087E"/>
    <w:rsid w:val="00CD0B17"/>
    <w:rsid w:val="00CD0B29"/>
    <w:rsid w:val="00CD1519"/>
    <w:rsid w:val="00CD1CE4"/>
    <w:rsid w:val="00CD2731"/>
    <w:rsid w:val="00CD435E"/>
    <w:rsid w:val="00CD439E"/>
    <w:rsid w:val="00CD4CCC"/>
    <w:rsid w:val="00CD59E5"/>
    <w:rsid w:val="00CD5BF6"/>
    <w:rsid w:val="00CD5D1F"/>
    <w:rsid w:val="00CD619A"/>
    <w:rsid w:val="00CD6CDA"/>
    <w:rsid w:val="00CD7313"/>
    <w:rsid w:val="00CD758C"/>
    <w:rsid w:val="00CE024D"/>
    <w:rsid w:val="00CE09DC"/>
    <w:rsid w:val="00CE0A49"/>
    <w:rsid w:val="00CE0F53"/>
    <w:rsid w:val="00CE18EF"/>
    <w:rsid w:val="00CE28AC"/>
    <w:rsid w:val="00CE29ED"/>
    <w:rsid w:val="00CE2C53"/>
    <w:rsid w:val="00CE38AE"/>
    <w:rsid w:val="00CE3BDD"/>
    <w:rsid w:val="00CE3E9B"/>
    <w:rsid w:val="00CE4669"/>
    <w:rsid w:val="00CE4F8E"/>
    <w:rsid w:val="00CE53F5"/>
    <w:rsid w:val="00CE566D"/>
    <w:rsid w:val="00CE5793"/>
    <w:rsid w:val="00CE71B6"/>
    <w:rsid w:val="00CE72A7"/>
    <w:rsid w:val="00CE7CE0"/>
    <w:rsid w:val="00CF0021"/>
    <w:rsid w:val="00CF03A8"/>
    <w:rsid w:val="00CF0B21"/>
    <w:rsid w:val="00CF0F7E"/>
    <w:rsid w:val="00CF1733"/>
    <w:rsid w:val="00CF1868"/>
    <w:rsid w:val="00CF25BF"/>
    <w:rsid w:val="00CF2729"/>
    <w:rsid w:val="00CF28C6"/>
    <w:rsid w:val="00CF2953"/>
    <w:rsid w:val="00CF296B"/>
    <w:rsid w:val="00CF3407"/>
    <w:rsid w:val="00CF3F37"/>
    <w:rsid w:val="00CF4651"/>
    <w:rsid w:val="00CF47E6"/>
    <w:rsid w:val="00CF4AF2"/>
    <w:rsid w:val="00CF5539"/>
    <w:rsid w:val="00CF5F55"/>
    <w:rsid w:val="00CF671A"/>
    <w:rsid w:val="00CF6874"/>
    <w:rsid w:val="00CF7C84"/>
    <w:rsid w:val="00D00533"/>
    <w:rsid w:val="00D008A6"/>
    <w:rsid w:val="00D011B8"/>
    <w:rsid w:val="00D01564"/>
    <w:rsid w:val="00D017FA"/>
    <w:rsid w:val="00D024C0"/>
    <w:rsid w:val="00D02E95"/>
    <w:rsid w:val="00D0377F"/>
    <w:rsid w:val="00D038B2"/>
    <w:rsid w:val="00D04218"/>
    <w:rsid w:val="00D05BA7"/>
    <w:rsid w:val="00D05EF7"/>
    <w:rsid w:val="00D066F4"/>
    <w:rsid w:val="00D06977"/>
    <w:rsid w:val="00D06CD1"/>
    <w:rsid w:val="00D07A70"/>
    <w:rsid w:val="00D107D2"/>
    <w:rsid w:val="00D10FEC"/>
    <w:rsid w:val="00D117AC"/>
    <w:rsid w:val="00D1189F"/>
    <w:rsid w:val="00D11AFC"/>
    <w:rsid w:val="00D12174"/>
    <w:rsid w:val="00D12797"/>
    <w:rsid w:val="00D127F8"/>
    <w:rsid w:val="00D128DB"/>
    <w:rsid w:val="00D133E6"/>
    <w:rsid w:val="00D13C8D"/>
    <w:rsid w:val="00D147A3"/>
    <w:rsid w:val="00D14D8E"/>
    <w:rsid w:val="00D15B9B"/>
    <w:rsid w:val="00D15D0A"/>
    <w:rsid w:val="00D16160"/>
    <w:rsid w:val="00D16724"/>
    <w:rsid w:val="00D17295"/>
    <w:rsid w:val="00D1734D"/>
    <w:rsid w:val="00D1785E"/>
    <w:rsid w:val="00D20382"/>
    <w:rsid w:val="00D20452"/>
    <w:rsid w:val="00D20733"/>
    <w:rsid w:val="00D20BA1"/>
    <w:rsid w:val="00D217EC"/>
    <w:rsid w:val="00D219B4"/>
    <w:rsid w:val="00D21F83"/>
    <w:rsid w:val="00D2205F"/>
    <w:rsid w:val="00D2286E"/>
    <w:rsid w:val="00D230E8"/>
    <w:rsid w:val="00D230F6"/>
    <w:rsid w:val="00D23165"/>
    <w:rsid w:val="00D2317C"/>
    <w:rsid w:val="00D23917"/>
    <w:rsid w:val="00D23982"/>
    <w:rsid w:val="00D2497D"/>
    <w:rsid w:val="00D24FCC"/>
    <w:rsid w:val="00D2543B"/>
    <w:rsid w:val="00D2565D"/>
    <w:rsid w:val="00D25B56"/>
    <w:rsid w:val="00D26B5F"/>
    <w:rsid w:val="00D26BCC"/>
    <w:rsid w:val="00D26C74"/>
    <w:rsid w:val="00D26EF2"/>
    <w:rsid w:val="00D26FFF"/>
    <w:rsid w:val="00D275F3"/>
    <w:rsid w:val="00D31109"/>
    <w:rsid w:val="00D3141A"/>
    <w:rsid w:val="00D3199F"/>
    <w:rsid w:val="00D31EE8"/>
    <w:rsid w:val="00D32011"/>
    <w:rsid w:val="00D324DC"/>
    <w:rsid w:val="00D3282A"/>
    <w:rsid w:val="00D3382B"/>
    <w:rsid w:val="00D35FAB"/>
    <w:rsid w:val="00D3637A"/>
    <w:rsid w:val="00D3662C"/>
    <w:rsid w:val="00D36EEF"/>
    <w:rsid w:val="00D37004"/>
    <w:rsid w:val="00D3700C"/>
    <w:rsid w:val="00D372A5"/>
    <w:rsid w:val="00D40F10"/>
    <w:rsid w:val="00D41190"/>
    <w:rsid w:val="00D416F7"/>
    <w:rsid w:val="00D41719"/>
    <w:rsid w:val="00D41B0F"/>
    <w:rsid w:val="00D41DDE"/>
    <w:rsid w:val="00D42764"/>
    <w:rsid w:val="00D42955"/>
    <w:rsid w:val="00D42E26"/>
    <w:rsid w:val="00D43156"/>
    <w:rsid w:val="00D4344C"/>
    <w:rsid w:val="00D43B61"/>
    <w:rsid w:val="00D43FF2"/>
    <w:rsid w:val="00D456C5"/>
    <w:rsid w:val="00D45FE4"/>
    <w:rsid w:val="00D465A4"/>
    <w:rsid w:val="00D471A0"/>
    <w:rsid w:val="00D47243"/>
    <w:rsid w:val="00D47BCB"/>
    <w:rsid w:val="00D50A1C"/>
    <w:rsid w:val="00D50D6D"/>
    <w:rsid w:val="00D50FF7"/>
    <w:rsid w:val="00D517A7"/>
    <w:rsid w:val="00D51BE3"/>
    <w:rsid w:val="00D51FFC"/>
    <w:rsid w:val="00D528DE"/>
    <w:rsid w:val="00D5318E"/>
    <w:rsid w:val="00D535E3"/>
    <w:rsid w:val="00D536B0"/>
    <w:rsid w:val="00D53765"/>
    <w:rsid w:val="00D53CBB"/>
    <w:rsid w:val="00D540A6"/>
    <w:rsid w:val="00D543CE"/>
    <w:rsid w:val="00D54E82"/>
    <w:rsid w:val="00D559F4"/>
    <w:rsid w:val="00D55F7F"/>
    <w:rsid w:val="00D5633C"/>
    <w:rsid w:val="00D56563"/>
    <w:rsid w:val="00D57AF6"/>
    <w:rsid w:val="00D57BE1"/>
    <w:rsid w:val="00D57C46"/>
    <w:rsid w:val="00D57EC0"/>
    <w:rsid w:val="00D60BDD"/>
    <w:rsid w:val="00D60CB9"/>
    <w:rsid w:val="00D60E08"/>
    <w:rsid w:val="00D61815"/>
    <w:rsid w:val="00D61DAF"/>
    <w:rsid w:val="00D61F2C"/>
    <w:rsid w:val="00D6213C"/>
    <w:rsid w:val="00D62299"/>
    <w:rsid w:val="00D63099"/>
    <w:rsid w:val="00D633A2"/>
    <w:rsid w:val="00D63EDC"/>
    <w:rsid w:val="00D63FE1"/>
    <w:rsid w:val="00D64A75"/>
    <w:rsid w:val="00D64AF4"/>
    <w:rsid w:val="00D64C2D"/>
    <w:rsid w:val="00D6517C"/>
    <w:rsid w:val="00D654B3"/>
    <w:rsid w:val="00D65778"/>
    <w:rsid w:val="00D65D6C"/>
    <w:rsid w:val="00D65DB9"/>
    <w:rsid w:val="00D660AB"/>
    <w:rsid w:val="00D667FE"/>
    <w:rsid w:val="00D6689D"/>
    <w:rsid w:val="00D66B47"/>
    <w:rsid w:val="00D66E12"/>
    <w:rsid w:val="00D67A5E"/>
    <w:rsid w:val="00D7074C"/>
    <w:rsid w:val="00D70AB4"/>
    <w:rsid w:val="00D70BD2"/>
    <w:rsid w:val="00D71597"/>
    <w:rsid w:val="00D71E0B"/>
    <w:rsid w:val="00D72206"/>
    <w:rsid w:val="00D725DD"/>
    <w:rsid w:val="00D74116"/>
    <w:rsid w:val="00D7444B"/>
    <w:rsid w:val="00D755BE"/>
    <w:rsid w:val="00D75EC5"/>
    <w:rsid w:val="00D80663"/>
    <w:rsid w:val="00D8099B"/>
    <w:rsid w:val="00D81307"/>
    <w:rsid w:val="00D81F2D"/>
    <w:rsid w:val="00D81F3E"/>
    <w:rsid w:val="00D82141"/>
    <w:rsid w:val="00D82EA5"/>
    <w:rsid w:val="00D83314"/>
    <w:rsid w:val="00D8377E"/>
    <w:rsid w:val="00D83D79"/>
    <w:rsid w:val="00D846BC"/>
    <w:rsid w:val="00D85693"/>
    <w:rsid w:val="00D85947"/>
    <w:rsid w:val="00D90035"/>
    <w:rsid w:val="00D9013B"/>
    <w:rsid w:val="00D905E5"/>
    <w:rsid w:val="00D917B3"/>
    <w:rsid w:val="00D917F2"/>
    <w:rsid w:val="00D91CC4"/>
    <w:rsid w:val="00D9230C"/>
    <w:rsid w:val="00D9247B"/>
    <w:rsid w:val="00D9333F"/>
    <w:rsid w:val="00D93727"/>
    <w:rsid w:val="00D93C27"/>
    <w:rsid w:val="00D93D07"/>
    <w:rsid w:val="00D94D78"/>
    <w:rsid w:val="00D9530C"/>
    <w:rsid w:val="00D9586A"/>
    <w:rsid w:val="00D95FA7"/>
    <w:rsid w:val="00D9621E"/>
    <w:rsid w:val="00D96D5D"/>
    <w:rsid w:val="00D96F7C"/>
    <w:rsid w:val="00D9740D"/>
    <w:rsid w:val="00D974FA"/>
    <w:rsid w:val="00D97C5E"/>
    <w:rsid w:val="00D97C80"/>
    <w:rsid w:val="00DA02F7"/>
    <w:rsid w:val="00DA0CB6"/>
    <w:rsid w:val="00DA14A4"/>
    <w:rsid w:val="00DA16A4"/>
    <w:rsid w:val="00DA1DCC"/>
    <w:rsid w:val="00DA24A3"/>
    <w:rsid w:val="00DA2713"/>
    <w:rsid w:val="00DA271D"/>
    <w:rsid w:val="00DA320E"/>
    <w:rsid w:val="00DA3715"/>
    <w:rsid w:val="00DA4A6D"/>
    <w:rsid w:val="00DA604A"/>
    <w:rsid w:val="00DA6976"/>
    <w:rsid w:val="00DA733B"/>
    <w:rsid w:val="00DA73AB"/>
    <w:rsid w:val="00DB0844"/>
    <w:rsid w:val="00DB0AA0"/>
    <w:rsid w:val="00DB0CC2"/>
    <w:rsid w:val="00DB0E98"/>
    <w:rsid w:val="00DB17B5"/>
    <w:rsid w:val="00DB1C10"/>
    <w:rsid w:val="00DB1C35"/>
    <w:rsid w:val="00DB21B2"/>
    <w:rsid w:val="00DB2C7A"/>
    <w:rsid w:val="00DB2D49"/>
    <w:rsid w:val="00DB39B8"/>
    <w:rsid w:val="00DB3C1E"/>
    <w:rsid w:val="00DB412E"/>
    <w:rsid w:val="00DB58F0"/>
    <w:rsid w:val="00DB5C74"/>
    <w:rsid w:val="00DB6623"/>
    <w:rsid w:val="00DB6E54"/>
    <w:rsid w:val="00DB743E"/>
    <w:rsid w:val="00DB7880"/>
    <w:rsid w:val="00DB7AA0"/>
    <w:rsid w:val="00DC0F26"/>
    <w:rsid w:val="00DC0FC4"/>
    <w:rsid w:val="00DC1386"/>
    <w:rsid w:val="00DC19B6"/>
    <w:rsid w:val="00DC259C"/>
    <w:rsid w:val="00DC2785"/>
    <w:rsid w:val="00DC2DA5"/>
    <w:rsid w:val="00DC2FAD"/>
    <w:rsid w:val="00DC3BE0"/>
    <w:rsid w:val="00DC3F6A"/>
    <w:rsid w:val="00DC448F"/>
    <w:rsid w:val="00DC4F1C"/>
    <w:rsid w:val="00DC5AD5"/>
    <w:rsid w:val="00DC5CC3"/>
    <w:rsid w:val="00DC6837"/>
    <w:rsid w:val="00DC72E3"/>
    <w:rsid w:val="00DC7506"/>
    <w:rsid w:val="00DC7DFA"/>
    <w:rsid w:val="00DD01B1"/>
    <w:rsid w:val="00DD03D3"/>
    <w:rsid w:val="00DD1D12"/>
    <w:rsid w:val="00DD20CF"/>
    <w:rsid w:val="00DD23FD"/>
    <w:rsid w:val="00DD2538"/>
    <w:rsid w:val="00DD29EB"/>
    <w:rsid w:val="00DD2E85"/>
    <w:rsid w:val="00DD378C"/>
    <w:rsid w:val="00DD390A"/>
    <w:rsid w:val="00DD412E"/>
    <w:rsid w:val="00DD4613"/>
    <w:rsid w:val="00DD4D17"/>
    <w:rsid w:val="00DD572D"/>
    <w:rsid w:val="00DD5E4F"/>
    <w:rsid w:val="00DD67F6"/>
    <w:rsid w:val="00DD7307"/>
    <w:rsid w:val="00DD7FC3"/>
    <w:rsid w:val="00DE0CA5"/>
    <w:rsid w:val="00DE118E"/>
    <w:rsid w:val="00DE18B4"/>
    <w:rsid w:val="00DE1A52"/>
    <w:rsid w:val="00DE1DA9"/>
    <w:rsid w:val="00DE2302"/>
    <w:rsid w:val="00DE30F8"/>
    <w:rsid w:val="00DE3905"/>
    <w:rsid w:val="00DE390F"/>
    <w:rsid w:val="00DE3B4B"/>
    <w:rsid w:val="00DE427F"/>
    <w:rsid w:val="00DE430D"/>
    <w:rsid w:val="00DE4B83"/>
    <w:rsid w:val="00DE4EB3"/>
    <w:rsid w:val="00DE507C"/>
    <w:rsid w:val="00DE6246"/>
    <w:rsid w:val="00DE655E"/>
    <w:rsid w:val="00DE65DB"/>
    <w:rsid w:val="00DE65F5"/>
    <w:rsid w:val="00DE6C6A"/>
    <w:rsid w:val="00DE75FE"/>
    <w:rsid w:val="00DE77C0"/>
    <w:rsid w:val="00DE7AFF"/>
    <w:rsid w:val="00DE7FC9"/>
    <w:rsid w:val="00DF0335"/>
    <w:rsid w:val="00DF0A1B"/>
    <w:rsid w:val="00DF1782"/>
    <w:rsid w:val="00DF18F0"/>
    <w:rsid w:val="00DF1E5E"/>
    <w:rsid w:val="00DF1E62"/>
    <w:rsid w:val="00DF271A"/>
    <w:rsid w:val="00DF28D8"/>
    <w:rsid w:val="00DF290C"/>
    <w:rsid w:val="00DF2C54"/>
    <w:rsid w:val="00DF37C9"/>
    <w:rsid w:val="00DF45F0"/>
    <w:rsid w:val="00DF48D1"/>
    <w:rsid w:val="00DF510F"/>
    <w:rsid w:val="00DF56E4"/>
    <w:rsid w:val="00DF687A"/>
    <w:rsid w:val="00DF698C"/>
    <w:rsid w:val="00DF6A8A"/>
    <w:rsid w:val="00DF6B75"/>
    <w:rsid w:val="00DF7993"/>
    <w:rsid w:val="00DF7F04"/>
    <w:rsid w:val="00E0190B"/>
    <w:rsid w:val="00E02461"/>
    <w:rsid w:val="00E0277D"/>
    <w:rsid w:val="00E03D31"/>
    <w:rsid w:val="00E04627"/>
    <w:rsid w:val="00E047A9"/>
    <w:rsid w:val="00E052D7"/>
    <w:rsid w:val="00E05C10"/>
    <w:rsid w:val="00E06064"/>
    <w:rsid w:val="00E06393"/>
    <w:rsid w:val="00E0695E"/>
    <w:rsid w:val="00E0703C"/>
    <w:rsid w:val="00E07D4A"/>
    <w:rsid w:val="00E10ACA"/>
    <w:rsid w:val="00E1126E"/>
    <w:rsid w:val="00E11955"/>
    <w:rsid w:val="00E11B45"/>
    <w:rsid w:val="00E12942"/>
    <w:rsid w:val="00E12C00"/>
    <w:rsid w:val="00E13226"/>
    <w:rsid w:val="00E13676"/>
    <w:rsid w:val="00E13A8F"/>
    <w:rsid w:val="00E13BB7"/>
    <w:rsid w:val="00E13E3E"/>
    <w:rsid w:val="00E13E72"/>
    <w:rsid w:val="00E14724"/>
    <w:rsid w:val="00E1481C"/>
    <w:rsid w:val="00E15AF1"/>
    <w:rsid w:val="00E16B80"/>
    <w:rsid w:val="00E17DB4"/>
    <w:rsid w:val="00E20A36"/>
    <w:rsid w:val="00E2138F"/>
    <w:rsid w:val="00E21DF5"/>
    <w:rsid w:val="00E228A9"/>
    <w:rsid w:val="00E23184"/>
    <w:rsid w:val="00E2327E"/>
    <w:rsid w:val="00E23EF2"/>
    <w:rsid w:val="00E26143"/>
    <w:rsid w:val="00E26386"/>
    <w:rsid w:val="00E269D0"/>
    <w:rsid w:val="00E26C75"/>
    <w:rsid w:val="00E271B0"/>
    <w:rsid w:val="00E30CC5"/>
    <w:rsid w:val="00E30CF7"/>
    <w:rsid w:val="00E31352"/>
    <w:rsid w:val="00E31B8D"/>
    <w:rsid w:val="00E31CD3"/>
    <w:rsid w:val="00E32D16"/>
    <w:rsid w:val="00E34436"/>
    <w:rsid w:val="00E34549"/>
    <w:rsid w:val="00E34942"/>
    <w:rsid w:val="00E35627"/>
    <w:rsid w:val="00E35664"/>
    <w:rsid w:val="00E36098"/>
    <w:rsid w:val="00E36B98"/>
    <w:rsid w:val="00E37087"/>
    <w:rsid w:val="00E3733C"/>
    <w:rsid w:val="00E374F0"/>
    <w:rsid w:val="00E37639"/>
    <w:rsid w:val="00E37F72"/>
    <w:rsid w:val="00E40091"/>
    <w:rsid w:val="00E40C91"/>
    <w:rsid w:val="00E41421"/>
    <w:rsid w:val="00E4188B"/>
    <w:rsid w:val="00E41BA5"/>
    <w:rsid w:val="00E42355"/>
    <w:rsid w:val="00E42ECF"/>
    <w:rsid w:val="00E43517"/>
    <w:rsid w:val="00E43A26"/>
    <w:rsid w:val="00E43FA5"/>
    <w:rsid w:val="00E44DCE"/>
    <w:rsid w:val="00E4564B"/>
    <w:rsid w:val="00E45E84"/>
    <w:rsid w:val="00E45F9D"/>
    <w:rsid w:val="00E4684A"/>
    <w:rsid w:val="00E46AEE"/>
    <w:rsid w:val="00E470A9"/>
    <w:rsid w:val="00E476A5"/>
    <w:rsid w:val="00E5013F"/>
    <w:rsid w:val="00E5088C"/>
    <w:rsid w:val="00E5139F"/>
    <w:rsid w:val="00E513F9"/>
    <w:rsid w:val="00E51523"/>
    <w:rsid w:val="00E520D6"/>
    <w:rsid w:val="00E521CC"/>
    <w:rsid w:val="00E5277A"/>
    <w:rsid w:val="00E533A8"/>
    <w:rsid w:val="00E53AE7"/>
    <w:rsid w:val="00E53DCB"/>
    <w:rsid w:val="00E54062"/>
    <w:rsid w:val="00E54333"/>
    <w:rsid w:val="00E54687"/>
    <w:rsid w:val="00E54915"/>
    <w:rsid w:val="00E5552E"/>
    <w:rsid w:val="00E55589"/>
    <w:rsid w:val="00E56786"/>
    <w:rsid w:val="00E57169"/>
    <w:rsid w:val="00E573DA"/>
    <w:rsid w:val="00E5741E"/>
    <w:rsid w:val="00E578D6"/>
    <w:rsid w:val="00E605AA"/>
    <w:rsid w:val="00E60CA1"/>
    <w:rsid w:val="00E61170"/>
    <w:rsid w:val="00E61CD4"/>
    <w:rsid w:val="00E61E29"/>
    <w:rsid w:val="00E621A8"/>
    <w:rsid w:val="00E6256E"/>
    <w:rsid w:val="00E62A03"/>
    <w:rsid w:val="00E62A9F"/>
    <w:rsid w:val="00E63D90"/>
    <w:rsid w:val="00E64173"/>
    <w:rsid w:val="00E64ED5"/>
    <w:rsid w:val="00E664BE"/>
    <w:rsid w:val="00E66C12"/>
    <w:rsid w:val="00E6767D"/>
    <w:rsid w:val="00E6781E"/>
    <w:rsid w:val="00E67F59"/>
    <w:rsid w:val="00E704EA"/>
    <w:rsid w:val="00E70554"/>
    <w:rsid w:val="00E70FC5"/>
    <w:rsid w:val="00E71F45"/>
    <w:rsid w:val="00E72221"/>
    <w:rsid w:val="00E727A0"/>
    <w:rsid w:val="00E72EE9"/>
    <w:rsid w:val="00E738EB"/>
    <w:rsid w:val="00E739C5"/>
    <w:rsid w:val="00E73FA8"/>
    <w:rsid w:val="00E74E3A"/>
    <w:rsid w:val="00E753A6"/>
    <w:rsid w:val="00E757A1"/>
    <w:rsid w:val="00E76745"/>
    <w:rsid w:val="00E768DF"/>
    <w:rsid w:val="00E77270"/>
    <w:rsid w:val="00E779EE"/>
    <w:rsid w:val="00E77A4C"/>
    <w:rsid w:val="00E77C4E"/>
    <w:rsid w:val="00E807A7"/>
    <w:rsid w:val="00E81507"/>
    <w:rsid w:val="00E82A96"/>
    <w:rsid w:val="00E82EFB"/>
    <w:rsid w:val="00E83121"/>
    <w:rsid w:val="00E83386"/>
    <w:rsid w:val="00E83BDF"/>
    <w:rsid w:val="00E8446B"/>
    <w:rsid w:val="00E84543"/>
    <w:rsid w:val="00E84614"/>
    <w:rsid w:val="00E84C67"/>
    <w:rsid w:val="00E84D41"/>
    <w:rsid w:val="00E84E79"/>
    <w:rsid w:val="00E851D0"/>
    <w:rsid w:val="00E8524D"/>
    <w:rsid w:val="00E855D1"/>
    <w:rsid w:val="00E85865"/>
    <w:rsid w:val="00E858F9"/>
    <w:rsid w:val="00E859CB"/>
    <w:rsid w:val="00E85C73"/>
    <w:rsid w:val="00E8718D"/>
    <w:rsid w:val="00E87815"/>
    <w:rsid w:val="00E878DC"/>
    <w:rsid w:val="00E90270"/>
    <w:rsid w:val="00E904B3"/>
    <w:rsid w:val="00E90A6B"/>
    <w:rsid w:val="00E90AF6"/>
    <w:rsid w:val="00E91518"/>
    <w:rsid w:val="00E91958"/>
    <w:rsid w:val="00E91C4F"/>
    <w:rsid w:val="00E91CA9"/>
    <w:rsid w:val="00E92392"/>
    <w:rsid w:val="00E92E07"/>
    <w:rsid w:val="00E93170"/>
    <w:rsid w:val="00E93B99"/>
    <w:rsid w:val="00E940DD"/>
    <w:rsid w:val="00E94FF6"/>
    <w:rsid w:val="00E95666"/>
    <w:rsid w:val="00E95B28"/>
    <w:rsid w:val="00E96164"/>
    <w:rsid w:val="00E9620E"/>
    <w:rsid w:val="00E9724E"/>
    <w:rsid w:val="00E977AB"/>
    <w:rsid w:val="00E97F01"/>
    <w:rsid w:val="00EA0B84"/>
    <w:rsid w:val="00EA0FB5"/>
    <w:rsid w:val="00EA1495"/>
    <w:rsid w:val="00EA2068"/>
    <w:rsid w:val="00EA287D"/>
    <w:rsid w:val="00EA29E1"/>
    <w:rsid w:val="00EA30CF"/>
    <w:rsid w:val="00EA3C1D"/>
    <w:rsid w:val="00EA4146"/>
    <w:rsid w:val="00EA4330"/>
    <w:rsid w:val="00EA4417"/>
    <w:rsid w:val="00EA4480"/>
    <w:rsid w:val="00EA49BD"/>
    <w:rsid w:val="00EA4EB1"/>
    <w:rsid w:val="00EA527E"/>
    <w:rsid w:val="00EA5594"/>
    <w:rsid w:val="00EA58AB"/>
    <w:rsid w:val="00EA6118"/>
    <w:rsid w:val="00EA64EB"/>
    <w:rsid w:val="00EA6E11"/>
    <w:rsid w:val="00EA7550"/>
    <w:rsid w:val="00EB0036"/>
    <w:rsid w:val="00EB0649"/>
    <w:rsid w:val="00EB0AB0"/>
    <w:rsid w:val="00EB153B"/>
    <w:rsid w:val="00EB1686"/>
    <w:rsid w:val="00EB1A19"/>
    <w:rsid w:val="00EB1E5B"/>
    <w:rsid w:val="00EB2489"/>
    <w:rsid w:val="00EB2BFD"/>
    <w:rsid w:val="00EB3241"/>
    <w:rsid w:val="00EB374A"/>
    <w:rsid w:val="00EB40E8"/>
    <w:rsid w:val="00EB438B"/>
    <w:rsid w:val="00EB4467"/>
    <w:rsid w:val="00EB4C52"/>
    <w:rsid w:val="00EB4E34"/>
    <w:rsid w:val="00EB50D1"/>
    <w:rsid w:val="00EB5392"/>
    <w:rsid w:val="00EB55C4"/>
    <w:rsid w:val="00EB5956"/>
    <w:rsid w:val="00EB5DD6"/>
    <w:rsid w:val="00EB67D2"/>
    <w:rsid w:val="00EB6943"/>
    <w:rsid w:val="00EB70D4"/>
    <w:rsid w:val="00EB7EF5"/>
    <w:rsid w:val="00EC011A"/>
    <w:rsid w:val="00EC0516"/>
    <w:rsid w:val="00EC06AB"/>
    <w:rsid w:val="00EC06D7"/>
    <w:rsid w:val="00EC12B0"/>
    <w:rsid w:val="00EC168F"/>
    <w:rsid w:val="00EC2345"/>
    <w:rsid w:val="00EC241C"/>
    <w:rsid w:val="00EC2782"/>
    <w:rsid w:val="00EC2DC1"/>
    <w:rsid w:val="00EC35FE"/>
    <w:rsid w:val="00EC37D5"/>
    <w:rsid w:val="00EC3835"/>
    <w:rsid w:val="00EC3E09"/>
    <w:rsid w:val="00EC5D72"/>
    <w:rsid w:val="00EC6711"/>
    <w:rsid w:val="00EC68D9"/>
    <w:rsid w:val="00EC6F01"/>
    <w:rsid w:val="00EC7A9A"/>
    <w:rsid w:val="00EC7CC8"/>
    <w:rsid w:val="00EC7EC2"/>
    <w:rsid w:val="00EC7F0D"/>
    <w:rsid w:val="00ED0091"/>
    <w:rsid w:val="00ED0D4C"/>
    <w:rsid w:val="00ED1304"/>
    <w:rsid w:val="00ED13AB"/>
    <w:rsid w:val="00ED1433"/>
    <w:rsid w:val="00ED2628"/>
    <w:rsid w:val="00ED26BD"/>
    <w:rsid w:val="00ED33AE"/>
    <w:rsid w:val="00ED3EA9"/>
    <w:rsid w:val="00ED494C"/>
    <w:rsid w:val="00ED4ED7"/>
    <w:rsid w:val="00ED5E6A"/>
    <w:rsid w:val="00ED5F77"/>
    <w:rsid w:val="00ED6226"/>
    <w:rsid w:val="00ED6689"/>
    <w:rsid w:val="00ED6C2D"/>
    <w:rsid w:val="00ED7A63"/>
    <w:rsid w:val="00EE114A"/>
    <w:rsid w:val="00EE13B0"/>
    <w:rsid w:val="00EE1443"/>
    <w:rsid w:val="00EE1650"/>
    <w:rsid w:val="00EE24DF"/>
    <w:rsid w:val="00EE2A9E"/>
    <w:rsid w:val="00EE328E"/>
    <w:rsid w:val="00EE3609"/>
    <w:rsid w:val="00EE3F6F"/>
    <w:rsid w:val="00EE48D3"/>
    <w:rsid w:val="00EE50F8"/>
    <w:rsid w:val="00EE5DCB"/>
    <w:rsid w:val="00EE5E1F"/>
    <w:rsid w:val="00EE5F69"/>
    <w:rsid w:val="00EE61A0"/>
    <w:rsid w:val="00EE6339"/>
    <w:rsid w:val="00EE6ADF"/>
    <w:rsid w:val="00EE6CE6"/>
    <w:rsid w:val="00EE71C1"/>
    <w:rsid w:val="00EE7282"/>
    <w:rsid w:val="00EF1396"/>
    <w:rsid w:val="00EF18D3"/>
    <w:rsid w:val="00EF1E42"/>
    <w:rsid w:val="00EF2189"/>
    <w:rsid w:val="00EF22E4"/>
    <w:rsid w:val="00EF314A"/>
    <w:rsid w:val="00EF327F"/>
    <w:rsid w:val="00EF3293"/>
    <w:rsid w:val="00EF32D8"/>
    <w:rsid w:val="00EF3567"/>
    <w:rsid w:val="00EF363C"/>
    <w:rsid w:val="00EF3E30"/>
    <w:rsid w:val="00EF4BFD"/>
    <w:rsid w:val="00EF4C45"/>
    <w:rsid w:val="00EF508B"/>
    <w:rsid w:val="00EF56D4"/>
    <w:rsid w:val="00EF5853"/>
    <w:rsid w:val="00EF617E"/>
    <w:rsid w:val="00EF6C3A"/>
    <w:rsid w:val="00EF6EBB"/>
    <w:rsid w:val="00EF726E"/>
    <w:rsid w:val="00EF7B1D"/>
    <w:rsid w:val="00F01094"/>
    <w:rsid w:val="00F0198D"/>
    <w:rsid w:val="00F01E52"/>
    <w:rsid w:val="00F0252B"/>
    <w:rsid w:val="00F029A8"/>
    <w:rsid w:val="00F02BBB"/>
    <w:rsid w:val="00F034A9"/>
    <w:rsid w:val="00F0471A"/>
    <w:rsid w:val="00F04DDC"/>
    <w:rsid w:val="00F05251"/>
    <w:rsid w:val="00F05447"/>
    <w:rsid w:val="00F05C45"/>
    <w:rsid w:val="00F05C8A"/>
    <w:rsid w:val="00F05F25"/>
    <w:rsid w:val="00F0614F"/>
    <w:rsid w:val="00F078B5"/>
    <w:rsid w:val="00F07FAB"/>
    <w:rsid w:val="00F107D9"/>
    <w:rsid w:val="00F110D6"/>
    <w:rsid w:val="00F11A63"/>
    <w:rsid w:val="00F1261A"/>
    <w:rsid w:val="00F12A90"/>
    <w:rsid w:val="00F12B4D"/>
    <w:rsid w:val="00F13E08"/>
    <w:rsid w:val="00F13F96"/>
    <w:rsid w:val="00F145B4"/>
    <w:rsid w:val="00F14847"/>
    <w:rsid w:val="00F15967"/>
    <w:rsid w:val="00F15B87"/>
    <w:rsid w:val="00F15C11"/>
    <w:rsid w:val="00F161E9"/>
    <w:rsid w:val="00F16CF2"/>
    <w:rsid w:val="00F202A8"/>
    <w:rsid w:val="00F20E05"/>
    <w:rsid w:val="00F22934"/>
    <w:rsid w:val="00F22FF3"/>
    <w:rsid w:val="00F23429"/>
    <w:rsid w:val="00F25227"/>
    <w:rsid w:val="00F255ED"/>
    <w:rsid w:val="00F25F32"/>
    <w:rsid w:val="00F26586"/>
    <w:rsid w:val="00F26796"/>
    <w:rsid w:val="00F270F2"/>
    <w:rsid w:val="00F27B03"/>
    <w:rsid w:val="00F27C9D"/>
    <w:rsid w:val="00F311CF"/>
    <w:rsid w:val="00F3171C"/>
    <w:rsid w:val="00F32755"/>
    <w:rsid w:val="00F32840"/>
    <w:rsid w:val="00F3373F"/>
    <w:rsid w:val="00F33951"/>
    <w:rsid w:val="00F33ABF"/>
    <w:rsid w:val="00F33CB2"/>
    <w:rsid w:val="00F33E40"/>
    <w:rsid w:val="00F33F75"/>
    <w:rsid w:val="00F34021"/>
    <w:rsid w:val="00F357B5"/>
    <w:rsid w:val="00F35804"/>
    <w:rsid w:val="00F35FBC"/>
    <w:rsid w:val="00F36148"/>
    <w:rsid w:val="00F36723"/>
    <w:rsid w:val="00F36F2D"/>
    <w:rsid w:val="00F36FF7"/>
    <w:rsid w:val="00F37551"/>
    <w:rsid w:val="00F375AA"/>
    <w:rsid w:val="00F37C0E"/>
    <w:rsid w:val="00F37D1B"/>
    <w:rsid w:val="00F40393"/>
    <w:rsid w:val="00F409C4"/>
    <w:rsid w:val="00F409DD"/>
    <w:rsid w:val="00F40A2D"/>
    <w:rsid w:val="00F40E6C"/>
    <w:rsid w:val="00F410B0"/>
    <w:rsid w:val="00F41503"/>
    <w:rsid w:val="00F41678"/>
    <w:rsid w:val="00F41847"/>
    <w:rsid w:val="00F41964"/>
    <w:rsid w:val="00F421CC"/>
    <w:rsid w:val="00F424EC"/>
    <w:rsid w:val="00F428D4"/>
    <w:rsid w:val="00F430DF"/>
    <w:rsid w:val="00F43170"/>
    <w:rsid w:val="00F43209"/>
    <w:rsid w:val="00F438CF"/>
    <w:rsid w:val="00F43E3E"/>
    <w:rsid w:val="00F441BD"/>
    <w:rsid w:val="00F45A44"/>
    <w:rsid w:val="00F45CA8"/>
    <w:rsid w:val="00F4662D"/>
    <w:rsid w:val="00F46B20"/>
    <w:rsid w:val="00F46E37"/>
    <w:rsid w:val="00F47AF9"/>
    <w:rsid w:val="00F47C16"/>
    <w:rsid w:val="00F47F92"/>
    <w:rsid w:val="00F50F1B"/>
    <w:rsid w:val="00F515FA"/>
    <w:rsid w:val="00F51B22"/>
    <w:rsid w:val="00F52234"/>
    <w:rsid w:val="00F52557"/>
    <w:rsid w:val="00F52E06"/>
    <w:rsid w:val="00F5355F"/>
    <w:rsid w:val="00F53868"/>
    <w:rsid w:val="00F539A7"/>
    <w:rsid w:val="00F53D10"/>
    <w:rsid w:val="00F53FCA"/>
    <w:rsid w:val="00F545A2"/>
    <w:rsid w:val="00F54864"/>
    <w:rsid w:val="00F55496"/>
    <w:rsid w:val="00F55DE6"/>
    <w:rsid w:val="00F55DF2"/>
    <w:rsid w:val="00F561EB"/>
    <w:rsid w:val="00F56BAB"/>
    <w:rsid w:val="00F57236"/>
    <w:rsid w:val="00F57C64"/>
    <w:rsid w:val="00F6133F"/>
    <w:rsid w:val="00F61C41"/>
    <w:rsid w:val="00F6203B"/>
    <w:rsid w:val="00F62201"/>
    <w:rsid w:val="00F62AB7"/>
    <w:rsid w:val="00F62C17"/>
    <w:rsid w:val="00F62E9D"/>
    <w:rsid w:val="00F633C9"/>
    <w:rsid w:val="00F633DC"/>
    <w:rsid w:val="00F6348B"/>
    <w:rsid w:val="00F63963"/>
    <w:rsid w:val="00F63B95"/>
    <w:rsid w:val="00F63DB1"/>
    <w:rsid w:val="00F6408D"/>
    <w:rsid w:val="00F64836"/>
    <w:rsid w:val="00F64855"/>
    <w:rsid w:val="00F64BE0"/>
    <w:rsid w:val="00F64F9A"/>
    <w:rsid w:val="00F65DC0"/>
    <w:rsid w:val="00F6638B"/>
    <w:rsid w:val="00F66BEC"/>
    <w:rsid w:val="00F66F39"/>
    <w:rsid w:val="00F66F92"/>
    <w:rsid w:val="00F67F58"/>
    <w:rsid w:val="00F709D1"/>
    <w:rsid w:val="00F70C94"/>
    <w:rsid w:val="00F7124A"/>
    <w:rsid w:val="00F7137E"/>
    <w:rsid w:val="00F7194E"/>
    <w:rsid w:val="00F71958"/>
    <w:rsid w:val="00F72918"/>
    <w:rsid w:val="00F74CFE"/>
    <w:rsid w:val="00F75A3A"/>
    <w:rsid w:val="00F75E69"/>
    <w:rsid w:val="00F76A97"/>
    <w:rsid w:val="00F76B61"/>
    <w:rsid w:val="00F7735F"/>
    <w:rsid w:val="00F77BC6"/>
    <w:rsid w:val="00F804C4"/>
    <w:rsid w:val="00F80BB3"/>
    <w:rsid w:val="00F819D9"/>
    <w:rsid w:val="00F81B27"/>
    <w:rsid w:val="00F82600"/>
    <w:rsid w:val="00F82660"/>
    <w:rsid w:val="00F8305F"/>
    <w:rsid w:val="00F83077"/>
    <w:rsid w:val="00F83347"/>
    <w:rsid w:val="00F845EA"/>
    <w:rsid w:val="00F846A7"/>
    <w:rsid w:val="00F84AF9"/>
    <w:rsid w:val="00F84CD7"/>
    <w:rsid w:val="00F84D36"/>
    <w:rsid w:val="00F856ED"/>
    <w:rsid w:val="00F85AE2"/>
    <w:rsid w:val="00F85B99"/>
    <w:rsid w:val="00F85D94"/>
    <w:rsid w:val="00F85F22"/>
    <w:rsid w:val="00F8608D"/>
    <w:rsid w:val="00F8627D"/>
    <w:rsid w:val="00F86CD8"/>
    <w:rsid w:val="00F873ED"/>
    <w:rsid w:val="00F8792A"/>
    <w:rsid w:val="00F87B6A"/>
    <w:rsid w:val="00F91417"/>
    <w:rsid w:val="00F91821"/>
    <w:rsid w:val="00F91FFD"/>
    <w:rsid w:val="00F929F9"/>
    <w:rsid w:val="00F94623"/>
    <w:rsid w:val="00F94743"/>
    <w:rsid w:val="00F95489"/>
    <w:rsid w:val="00F95C82"/>
    <w:rsid w:val="00F95E35"/>
    <w:rsid w:val="00F96AB7"/>
    <w:rsid w:val="00F96BAD"/>
    <w:rsid w:val="00F972B4"/>
    <w:rsid w:val="00F974E3"/>
    <w:rsid w:val="00F97797"/>
    <w:rsid w:val="00F97A74"/>
    <w:rsid w:val="00F97C8E"/>
    <w:rsid w:val="00FA036F"/>
    <w:rsid w:val="00FA094F"/>
    <w:rsid w:val="00FA0EB7"/>
    <w:rsid w:val="00FA11BE"/>
    <w:rsid w:val="00FA13C2"/>
    <w:rsid w:val="00FA1467"/>
    <w:rsid w:val="00FA1B2D"/>
    <w:rsid w:val="00FA24F5"/>
    <w:rsid w:val="00FA285C"/>
    <w:rsid w:val="00FA2A6D"/>
    <w:rsid w:val="00FA32E5"/>
    <w:rsid w:val="00FA3CB6"/>
    <w:rsid w:val="00FA3D48"/>
    <w:rsid w:val="00FA4776"/>
    <w:rsid w:val="00FA4ADB"/>
    <w:rsid w:val="00FA4E47"/>
    <w:rsid w:val="00FA4ED8"/>
    <w:rsid w:val="00FA5A0B"/>
    <w:rsid w:val="00FA62F9"/>
    <w:rsid w:val="00FA68C7"/>
    <w:rsid w:val="00FA6AC3"/>
    <w:rsid w:val="00FA6CF8"/>
    <w:rsid w:val="00FA796D"/>
    <w:rsid w:val="00FB0DA0"/>
    <w:rsid w:val="00FB217C"/>
    <w:rsid w:val="00FB34CF"/>
    <w:rsid w:val="00FB3B75"/>
    <w:rsid w:val="00FB3FAC"/>
    <w:rsid w:val="00FB4395"/>
    <w:rsid w:val="00FB4C82"/>
    <w:rsid w:val="00FB4FA4"/>
    <w:rsid w:val="00FB51BA"/>
    <w:rsid w:val="00FB5316"/>
    <w:rsid w:val="00FB5E09"/>
    <w:rsid w:val="00FB5FFC"/>
    <w:rsid w:val="00FB6E0F"/>
    <w:rsid w:val="00FB6F95"/>
    <w:rsid w:val="00FB7203"/>
    <w:rsid w:val="00FB7360"/>
    <w:rsid w:val="00FB7678"/>
    <w:rsid w:val="00FC01FF"/>
    <w:rsid w:val="00FC050D"/>
    <w:rsid w:val="00FC0FA5"/>
    <w:rsid w:val="00FC1328"/>
    <w:rsid w:val="00FC25D9"/>
    <w:rsid w:val="00FC2A67"/>
    <w:rsid w:val="00FC2EC3"/>
    <w:rsid w:val="00FC311D"/>
    <w:rsid w:val="00FC336C"/>
    <w:rsid w:val="00FC3E3E"/>
    <w:rsid w:val="00FC5067"/>
    <w:rsid w:val="00FC549D"/>
    <w:rsid w:val="00FC690E"/>
    <w:rsid w:val="00FC6A58"/>
    <w:rsid w:val="00FC7298"/>
    <w:rsid w:val="00FC74BC"/>
    <w:rsid w:val="00FC7AAB"/>
    <w:rsid w:val="00FC7D75"/>
    <w:rsid w:val="00FD0C3E"/>
    <w:rsid w:val="00FD1751"/>
    <w:rsid w:val="00FD1B18"/>
    <w:rsid w:val="00FD1DA0"/>
    <w:rsid w:val="00FD2695"/>
    <w:rsid w:val="00FD2DF9"/>
    <w:rsid w:val="00FD341F"/>
    <w:rsid w:val="00FD3EF5"/>
    <w:rsid w:val="00FD4015"/>
    <w:rsid w:val="00FD4603"/>
    <w:rsid w:val="00FD4F33"/>
    <w:rsid w:val="00FD5025"/>
    <w:rsid w:val="00FD56C3"/>
    <w:rsid w:val="00FD69F4"/>
    <w:rsid w:val="00FD7002"/>
    <w:rsid w:val="00FD73DA"/>
    <w:rsid w:val="00FD7909"/>
    <w:rsid w:val="00FE026C"/>
    <w:rsid w:val="00FE1264"/>
    <w:rsid w:val="00FE1B36"/>
    <w:rsid w:val="00FE29A1"/>
    <w:rsid w:val="00FE2BBD"/>
    <w:rsid w:val="00FE30C8"/>
    <w:rsid w:val="00FE3117"/>
    <w:rsid w:val="00FE350B"/>
    <w:rsid w:val="00FE3C4F"/>
    <w:rsid w:val="00FE47F2"/>
    <w:rsid w:val="00FE4B38"/>
    <w:rsid w:val="00FE4D0C"/>
    <w:rsid w:val="00FE737F"/>
    <w:rsid w:val="00FE73CF"/>
    <w:rsid w:val="00FE76BE"/>
    <w:rsid w:val="00FE7C05"/>
    <w:rsid w:val="00FE7C8E"/>
    <w:rsid w:val="00FF07F8"/>
    <w:rsid w:val="00FF148B"/>
    <w:rsid w:val="00FF1CB7"/>
    <w:rsid w:val="00FF2E69"/>
    <w:rsid w:val="00FF33E1"/>
    <w:rsid w:val="00FF3488"/>
    <w:rsid w:val="00FF3DB5"/>
    <w:rsid w:val="00FF4414"/>
    <w:rsid w:val="00FF46C0"/>
    <w:rsid w:val="00FF5DE9"/>
    <w:rsid w:val="00FF6036"/>
    <w:rsid w:val="00FF6B8B"/>
    <w:rsid w:val="00FF6BD1"/>
    <w:rsid w:val="00FF6FD1"/>
    <w:rsid w:val="00FF7A3D"/>
    <w:rsid w:val="01527D1B"/>
    <w:rsid w:val="043E6455"/>
    <w:rsid w:val="05D97E47"/>
    <w:rsid w:val="07B76837"/>
    <w:rsid w:val="08E140F9"/>
    <w:rsid w:val="0B091979"/>
    <w:rsid w:val="0B456685"/>
    <w:rsid w:val="0BC15317"/>
    <w:rsid w:val="184517B1"/>
    <w:rsid w:val="1CD63E3C"/>
    <w:rsid w:val="20155A00"/>
    <w:rsid w:val="21F23027"/>
    <w:rsid w:val="25195AC3"/>
    <w:rsid w:val="261973CC"/>
    <w:rsid w:val="27B829D0"/>
    <w:rsid w:val="2C4F4924"/>
    <w:rsid w:val="2F303F2D"/>
    <w:rsid w:val="30C813E0"/>
    <w:rsid w:val="33FC11D4"/>
    <w:rsid w:val="34EE15FC"/>
    <w:rsid w:val="35893FF2"/>
    <w:rsid w:val="38FB093A"/>
    <w:rsid w:val="39726290"/>
    <w:rsid w:val="39785F92"/>
    <w:rsid w:val="3A744157"/>
    <w:rsid w:val="3B042E93"/>
    <w:rsid w:val="3D5653BF"/>
    <w:rsid w:val="3E3E79BD"/>
    <w:rsid w:val="40140C68"/>
    <w:rsid w:val="404762D7"/>
    <w:rsid w:val="414A074A"/>
    <w:rsid w:val="47A835DF"/>
    <w:rsid w:val="493B54E6"/>
    <w:rsid w:val="4DCB2F82"/>
    <w:rsid w:val="567661AF"/>
    <w:rsid w:val="57277AC2"/>
    <w:rsid w:val="5A6539A5"/>
    <w:rsid w:val="5F0A6252"/>
    <w:rsid w:val="5FAF2356"/>
    <w:rsid w:val="61E4725A"/>
    <w:rsid w:val="633708B6"/>
    <w:rsid w:val="638742BE"/>
    <w:rsid w:val="68203241"/>
    <w:rsid w:val="6E951389"/>
    <w:rsid w:val="6E984B86"/>
    <w:rsid w:val="6F2D2A3C"/>
    <w:rsid w:val="731B43BE"/>
    <w:rsid w:val="748C1B74"/>
    <w:rsid w:val="76B7581A"/>
    <w:rsid w:val="7703642B"/>
    <w:rsid w:val="7B194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67BB07-71ED-411D-B83C-E0DADF7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numPr>
        <w:numId w:val="1"/>
      </w:numPr>
      <w:autoSpaceDE w:val="0"/>
      <w:autoSpaceDN w:val="0"/>
      <w:adjustRightInd w:val="0"/>
      <w:jc w:val="center"/>
      <w:outlineLvl w:val="0"/>
    </w:pPr>
    <w:rPr>
      <w:color w:val="000000"/>
      <w:kern w:val="0"/>
      <w:sz w:val="44"/>
      <w:szCs w:val="44"/>
      <w:lang w:val="zh-CN"/>
    </w:rPr>
  </w:style>
  <w:style w:type="paragraph" w:styleId="2">
    <w:name w:val="heading 2"/>
    <w:basedOn w:val="a"/>
    <w:next w:val="a"/>
    <w:qFormat/>
    <w:pPr>
      <w:autoSpaceDE w:val="0"/>
      <w:autoSpaceDN w:val="0"/>
      <w:adjustRightInd w:val="0"/>
      <w:ind w:left="270" w:hanging="270"/>
      <w:jc w:val="left"/>
      <w:outlineLvl w:val="1"/>
    </w:pPr>
    <w:rPr>
      <w:color w:val="000000"/>
      <w:kern w:val="0"/>
      <w:sz w:val="32"/>
      <w:szCs w:val="32"/>
      <w:lang w:val="zh-CN"/>
    </w:rPr>
  </w:style>
  <w:style w:type="paragraph" w:styleId="3">
    <w:name w:val="heading 3"/>
    <w:basedOn w:val="a"/>
    <w:next w:val="a1"/>
    <w:qFormat/>
    <w:pPr>
      <w:autoSpaceDE w:val="0"/>
      <w:autoSpaceDN w:val="0"/>
      <w:adjustRightInd w:val="0"/>
      <w:spacing w:beforeLines="50" w:afterLines="50" w:line="360" w:lineRule="auto"/>
      <w:textAlignment w:val="baseline"/>
      <w:outlineLvl w:val="2"/>
    </w:pPr>
    <w:rPr>
      <w:rFonts w:ascii="宋体" w:cs="Arial"/>
      <w:color w:val="000000"/>
      <w:kern w:val="0"/>
      <w:szCs w:val="20"/>
    </w:rPr>
  </w:style>
  <w:style w:type="paragraph" w:styleId="4">
    <w:name w:val="heading 4"/>
    <w:basedOn w:val="a"/>
    <w:next w:val="a1"/>
    <w:qFormat/>
    <w:pPr>
      <w:numPr>
        <w:ilvl w:val="3"/>
        <w:numId w:val="2"/>
      </w:numPr>
      <w:autoSpaceDE w:val="0"/>
      <w:autoSpaceDN w:val="0"/>
      <w:adjustRightInd w:val="0"/>
      <w:spacing w:beforeLines="50" w:afterLines="50" w:line="360" w:lineRule="auto"/>
      <w:textAlignment w:val="baseline"/>
      <w:outlineLvl w:val="3"/>
    </w:pPr>
    <w:rPr>
      <w:rFonts w:ascii="宋体" w:cs="Arial"/>
      <w:color w:val="000000"/>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alloon Text"/>
    <w:basedOn w:val="a"/>
    <w:semiHidden/>
    <w:qFormat/>
    <w:rPr>
      <w:sz w:val="18"/>
      <w:szCs w:val="18"/>
    </w:rPr>
  </w:style>
  <w:style w:type="paragraph" w:styleId="a1">
    <w:name w:val="Normal Indent"/>
    <w:basedOn w:val="a"/>
    <w:pPr>
      <w:ind w:firstLineChars="200" w:firstLine="420"/>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Char"/>
    <w:uiPriority w:val="99"/>
    <w:qFormat/>
    <w:pPr>
      <w:jc w:val="left"/>
    </w:pPr>
  </w:style>
  <w:style w:type="paragraph" w:styleId="30">
    <w:name w:val="Body Text 3"/>
    <w:basedOn w:val="a"/>
    <w:qFormat/>
    <w:pPr>
      <w:spacing w:line="240" w:lineRule="atLeast"/>
    </w:pPr>
    <w:rPr>
      <w:sz w:val="15"/>
    </w:rPr>
  </w:style>
  <w:style w:type="paragraph" w:styleId="a8">
    <w:name w:val="Body Text"/>
    <w:basedOn w:val="a"/>
    <w:qFormat/>
    <w:pPr>
      <w:jc w:val="center"/>
    </w:pPr>
  </w:style>
  <w:style w:type="paragraph" w:styleId="a9">
    <w:name w:val="Body Text Indent"/>
    <w:basedOn w:val="a"/>
    <w:qFormat/>
    <w:pPr>
      <w:spacing w:after="120"/>
      <w:ind w:leftChars="200" w:left="420"/>
    </w:pPr>
  </w:style>
  <w:style w:type="paragraph" w:styleId="31">
    <w:name w:val="toc 3"/>
    <w:basedOn w:val="a"/>
    <w:next w:val="a"/>
    <w:uiPriority w:val="39"/>
    <w:semiHidden/>
    <w:qFormat/>
    <w:pPr>
      <w:ind w:leftChars="400" w:left="840"/>
    </w:pPr>
  </w:style>
  <w:style w:type="paragraph" w:styleId="aa">
    <w:name w:val="Plain Text"/>
    <w:basedOn w:val="a"/>
    <w:link w:val="Char0"/>
    <w:uiPriority w:val="99"/>
    <w:qFormat/>
    <w:pPr>
      <w:adjustRightInd w:val="0"/>
      <w:spacing w:line="360" w:lineRule="atLeast"/>
      <w:textAlignment w:val="baseline"/>
    </w:pPr>
    <w:rPr>
      <w:rFonts w:ascii="宋体" w:hAnsi="Courier New"/>
      <w:szCs w:val="20"/>
    </w:rPr>
  </w:style>
  <w:style w:type="paragraph" w:styleId="ab">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c">
    <w:name w:val="footer"/>
    <w:basedOn w:val="a"/>
    <w:link w:val="Char1"/>
    <w:uiPriority w:val="99"/>
    <w:qFormat/>
    <w:pPr>
      <w:tabs>
        <w:tab w:val="center" w:pos="4153"/>
        <w:tab w:val="right" w:pos="8306"/>
      </w:tabs>
      <w:snapToGrid w:val="0"/>
      <w:jc w:val="left"/>
    </w:pPr>
    <w:rPr>
      <w:sz w:val="18"/>
      <w:szCs w:val="18"/>
    </w:rPr>
  </w:style>
  <w:style w:type="paragraph" w:styleId="ad">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565"/>
        <w:tab w:val="right" w:leader="dot" w:pos="8296"/>
      </w:tabs>
      <w:snapToGrid w:val="0"/>
      <w:spacing w:line="360" w:lineRule="auto"/>
      <w:jc w:val="center"/>
    </w:pPr>
    <w:rPr>
      <w:rFonts w:ascii="宋体" w:hAnsi="宋体" w:cs="宋体"/>
      <w:b/>
      <w:kern w:val="44"/>
      <w:sz w:val="28"/>
      <w:szCs w:val="28"/>
      <w:lang w:val="zh-CN"/>
    </w:rPr>
  </w:style>
  <w:style w:type="paragraph" w:styleId="ae">
    <w:name w:val="footnote text"/>
    <w:basedOn w:val="a"/>
    <w:semiHidden/>
    <w:qFormat/>
    <w:pPr>
      <w:snapToGrid w:val="0"/>
      <w:jc w:val="left"/>
    </w:pPr>
    <w:rPr>
      <w:sz w:val="18"/>
      <w:szCs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qFormat/>
    <w:rPr>
      <w:sz w:val="24"/>
    </w:rPr>
  </w:style>
  <w:style w:type="paragraph" w:styleId="af0">
    <w:name w:val="Title"/>
    <w:basedOn w:val="a"/>
    <w:qFormat/>
    <w:pPr>
      <w:autoSpaceDE w:val="0"/>
      <w:autoSpaceDN w:val="0"/>
      <w:adjustRightInd w:val="0"/>
      <w:spacing w:before="120" w:after="60" w:line="360" w:lineRule="auto"/>
      <w:ind w:firstLine="454"/>
      <w:jc w:val="center"/>
      <w:textAlignment w:val="baseline"/>
      <w:outlineLvl w:val="0"/>
    </w:pPr>
    <w:rPr>
      <w:rFonts w:ascii="宋体"/>
      <w:b/>
      <w:color w:val="000000"/>
      <w:kern w:val="0"/>
      <w:sz w:val="28"/>
      <w:szCs w:val="20"/>
    </w:rPr>
  </w:style>
  <w:style w:type="paragraph" w:styleId="af1">
    <w:name w:val="annotation subject"/>
    <w:basedOn w:val="a7"/>
    <w:next w:val="a7"/>
    <w:semiHidden/>
    <w:qFormat/>
    <w:rPr>
      <w:b/>
      <w:bCs/>
    </w:rPr>
  </w:style>
  <w:style w:type="table" w:styleId="af2">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semiHidden/>
    <w:qFormat/>
    <w:rPr>
      <w:vertAlign w:val="superscript"/>
    </w:rPr>
  </w:style>
  <w:style w:type="paragraph" w:customStyle="1" w:styleId="11">
    <w:name w:val="1"/>
    <w:basedOn w:val="a"/>
    <w:next w:val="af"/>
    <w:qFormat/>
    <w:pPr>
      <w:widowControl/>
      <w:spacing w:before="100" w:beforeAutospacing="1" w:after="100" w:afterAutospacing="1"/>
      <w:jc w:val="left"/>
    </w:pPr>
    <w:rPr>
      <w:rFonts w:ascii="宋体" w:hAnsi="宋体"/>
      <w:kern w:val="0"/>
      <w:sz w:val="24"/>
    </w:rPr>
  </w:style>
  <w:style w:type="character" w:customStyle="1" w:styleId="high1">
    <w:name w:val="high1"/>
    <w:basedOn w:val="a2"/>
    <w:qFormat/>
  </w:style>
  <w:style w:type="character" w:customStyle="1" w:styleId="da1">
    <w:name w:val="da1"/>
    <w:qFormat/>
    <w:rPr>
      <w:rFonts w:ascii="ˎ̥" w:hAnsi="ˎ̥" w:hint="default"/>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页眉1"/>
    <w:basedOn w:val="Default"/>
    <w:next w:val="Default"/>
    <w:qFormat/>
    <w:rPr>
      <w:rFonts w:ascii="Times New Roman" w:cs="Times New Roman"/>
      <w:color w:val="auto"/>
    </w:rPr>
  </w:style>
  <w:style w:type="character" w:customStyle="1" w:styleId="style51">
    <w:name w:val="style51"/>
    <w:qFormat/>
    <w:rPr>
      <w:rFonts w:ascii="Verdana" w:hAnsi="Verdana" w:hint="default"/>
      <w:color w:val="000000"/>
      <w:sz w:val="17"/>
      <w:szCs w:val="17"/>
      <w:u w:val="none"/>
    </w:rPr>
  </w:style>
  <w:style w:type="character" w:customStyle="1" w:styleId="txtcontent11">
    <w:name w:val="txtcontent11"/>
    <w:qFormat/>
    <w:rPr>
      <w:rFonts w:ascii="ˎ̥" w:hAnsi="ˎ̥" w:hint="default"/>
      <w:color w:val="000000"/>
      <w:sz w:val="21"/>
      <w:szCs w:val="21"/>
    </w:rPr>
  </w:style>
  <w:style w:type="paragraph" w:customStyle="1" w:styleId="23">
    <w:name w:val="标题 2'"/>
    <w:basedOn w:val="a"/>
    <w:next w:val="a"/>
    <w:qFormat/>
    <w:pPr>
      <w:keepNext/>
      <w:keepLines/>
      <w:spacing w:before="260" w:after="260" w:line="415" w:lineRule="auto"/>
      <w:outlineLvl w:val="1"/>
    </w:pPr>
    <w:rPr>
      <w:rFonts w:ascii="Arial" w:eastAsia="黑体" w:hAnsi="Arial"/>
      <w:b/>
      <w:bCs/>
      <w:sz w:val="32"/>
      <w:szCs w:val="32"/>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style>
  <w:style w:type="paragraph" w:customStyle="1" w:styleId="Char3">
    <w:name w:val="Char"/>
    <w:basedOn w:val="a"/>
    <w:qFormat/>
  </w:style>
  <w:style w:type="paragraph" w:customStyle="1" w:styleId="CharCharChar">
    <w:name w:val="Char Char Char"/>
    <w:basedOn w:val="a"/>
    <w:qFormat/>
  </w:style>
  <w:style w:type="paragraph" w:customStyle="1" w:styleId="Char1CharCharCharCharChar">
    <w:name w:val="Char1 Char Char Char Char Char"/>
    <w:basedOn w:val="a"/>
    <w:qFormat/>
  </w:style>
  <w:style w:type="paragraph" w:customStyle="1" w:styleId="Char1CharCharCharCharCharCharCharChar">
    <w:name w:val="Char1 Char Char Char Char Char Char Char Char"/>
    <w:basedOn w:val="a"/>
    <w:qFormat/>
    <w:pPr>
      <w:tabs>
        <w:tab w:val="left" w:pos="360"/>
      </w:tabs>
    </w:pPr>
    <w:rPr>
      <w:sz w:val="24"/>
    </w:rPr>
  </w:style>
  <w:style w:type="paragraph" w:customStyle="1" w:styleId="CharCharCharChar">
    <w:name w:val="Char Char Char Char"/>
    <w:basedOn w:val="a"/>
    <w:qFormat/>
  </w:style>
  <w:style w:type="paragraph" w:customStyle="1" w:styleId="CharCharCharCharCharChar">
    <w:name w:val="Char Char Char Char Char Char"/>
    <w:basedOn w:val="a"/>
    <w:qFormat/>
  </w:style>
  <w:style w:type="paragraph" w:customStyle="1" w:styleId="Char1CharCharCharCharCharChar">
    <w:name w:val="Char1 Char Char Char Char Char Char"/>
    <w:basedOn w:val="a"/>
    <w:qFormat/>
  </w:style>
  <w:style w:type="paragraph" w:customStyle="1" w:styleId="CharCharCharCharCharCharChar">
    <w:name w:val="Char Char Char Char Char Char Char"/>
    <w:basedOn w:val="a"/>
    <w:qFormat/>
  </w:style>
  <w:style w:type="paragraph" w:customStyle="1" w:styleId="CharCharCharCharCharCharCharCharCharChar">
    <w:name w:val="Char Char Char Char Char Char Char Char Char Char"/>
    <w:basedOn w:val="a"/>
    <w:qFormat/>
  </w:style>
  <w:style w:type="paragraph" w:customStyle="1" w:styleId="Char1CharCharCharCharCharCharCharChar2">
    <w:name w:val="Char1 Char Char Char Char Char Char Char Char2"/>
    <w:basedOn w:val="a"/>
    <w:qFormat/>
  </w:style>
  <w:style w:type="paragraph" w:customStyle="1" w:styleId="CharCharCharCharCharCharCharCharCharCharCharChar">
    <w:name w:val="Char Char Char Char Char Char Char Char Char Char Char Char"/>
    <w:basedOn w:val="a"/>
    <w:qFormat/>
  </w:style>
  <w:style w:type="paragraph" w:customStyle="1" w:styleId="CharCharCharCharChar">
    <w:name w:val="Char Char Char Char Char"/>
    <w:basedOn w:val="a"/>
    <w:qFormat/>
    <w:pPr>
      <w:tabs>
        <w:tab w:val="left" w:pos="360"/>
      </w:tabs>
    </w:pPr>
    <w:rPr>
      <w:sz w:val="24"/>
    </w:rPr>
  </w:style>
  <w:style w:type="paragraph" w:customStyle="1" w:styleId="CharCharCharCharCharCharCharCharCharCharCharCharCharCharChar">
    <w:name w:val="Char Char Char Char Char Char Char Char Char Char Char Char Char Char Char"/>
    <w:basedOn w:val="a"/>
    <w:qFormat/>
  </w:style>
  <w:style w:type="paragraph" w:customStyle="1" w:styleId="CharCharCharCharCharCharCharCharCharCharCharCharChar">
    <w:name w:val="Char Char Char Char Char Char Char Char Char Char Char Char Char"/>
    <w:basedOn w:val="a"/>
    <w:qFormat/>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style>
  <w:style w:type="paragraph" w:customStyle="1" w:styleId="CharCharCharCharCharCharCharChar1">
    <w:name w:val="Char Char Char Char Char Char Char Char1"/>
    <w:basedOn w:val="a"/>
    <w:qFormat/>
    <w:pPr>
      <w:tabs>
        <w:tab w:val="left" w:pos="360"/>
      </w:tabs>
    </w:pPr>
    <w:rPr>
      <w:sz w:val="24"/>
    </w:rPr>
  </w:style>
  <w:style w:type="paragraph" w:customStyle="1" w:styleId="CharCharCharCharCharCharCharCharCharCharCharCharCharCharCharCharCharChar">
    <w:name w:val="Char Char Char Char Char Char Char Char Char Char Char Char Char Char Char Char Char Char"/>
    <w:basedOn w:val="a"/>
    <w:qFormat/>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CharCharCharCharCharCharCharCharChar1Char">
    <w:name w:val="Char Char Char Char Char Char Char Char Char Char Char Char1 Char"/>
    <w:basedOn w:val="a"/>
    <w:qFormat/>
  </w:style>
  <w:style w:type="paragraph" w:customStyle="1" w:styleId="Char1CharCharCharCharCharCharCharCharCharCharCharChar">
    <w:name w:val="Char1 Char Char Char Char Char Char Char Char Char Char Char Char"/>
    <w:basedOn w:val="a"/>
    <w:qFormat/>
  </w:style>
  <w:style w:type="paragraph" w:customStyle="1" w:styleId="CharCharCharCharCharCharCharChar1Char">
    <w:name w:val="Char Char Char Char Char Char Char Char1 Char"/>
    <w:basedOn w:val="a"/>
    <w:qFormat/>
    <w:pPr>
      <w:tabs>
        <w:tab w:val="left" w:pos="360"/>
      </w:tabs>
    </w:pPr>
    <w:rPr>
      <w:sz w:val="24"/>
    </w:rPr>
  </w:style>
  <w:style w:type="paragraph" w:styleId="af9">
    <w:name w:val="List Paragraph"/>
    <w:basedOn w:val="a"/>
    <w:uiPriority w:val="34"/>
    <w:qFormat/>
    <w:pPr>
      <w:ind w:firstLineChars="200" w:firstLine="420"/>
    </w:pPr>
    <w:rPr>
      <w:rFonts w:ascii="Calibri" w:hAnsi="Calibri"/>
      <w:szCs w:val="22"/>
    </w:rPr>
  </w:style>
  <w:style w:type="paragraph" w:customStyle="1" w:styleId="afa">
    <w:name w:val="正文正文"/>
    <w:basedOn w:val="a"/>
    <w:qFormat/>
    <w:pPr>
      <w:spacing w:afterLines="25" w:line="360" w:lineRule="auto"/>
      <w:ind w:firstLineChars="200" w:firstLine="200"/>
    </w:pPr>
    <w:rPr>
      <w:sz w:val="24"/>
    </w:rPr>
  </w:style>
  <w:style w:type="paragraph" w:customStyle="1" w:styleId="TOC1">
    <w:name w:val="TOC 标题1"/>
    <w:basedOn w:val="1"/>
    <w:next w:val="a"/>
    <w:uiPriority w:val="39"/>
    <w:qFormat/>
    <w:pPr>
      <w:keepNext/>
      <w:keepLines/>
      <w:widowControl/>
      <w:numPr>
        <w:numId w:val="0"/>
      </w:numPr>
      <w:autoSpaceDE/>
      <w:autoSpaceDN/>
      <w:adjustRightInd/>
      <w:spacing w:before="480" w:line="276" w:lineRule="auto"/>
      <w:jc w:val="left"/>
      <w:outlineLvl w:val="9"/>
    </w:pPr>
    <w:rPr>
      <w:rFonts w:ascii="Cambria" w:hAnsi="Cambria"/>
      <w:b/>
      <w:bCs/>
      <w:color w:val="365F91"/>
      <w:sz w:val="28"/>
      <w:szCs w:val="28"/>
      <w:lang w:val="en-US"/>
    </w:rPr>
  </w:style>
  <w:style w:type="character" w:customStyle="1" w:styleId="read">
    <w:name w:val="read"/>
    <w:basedOn w:val="a2"/>
    <w:qFormat/>
  </w:style>
  <w:style w:type="paragraph" w:customStyle="1" w:styleId="13">
    <w:name w:val="修订1"/>
    <w:hidden/>
    <w:uiPriority w:val="99"/>
    <w:semiHidden/>
    <w:qFormat/>
    <w:rPr>
      <w:kern w:val="2"/>
      <w:sz w:val="21"/>
      <w:szCs w:val="24"/>
    </w:rPr>
  </w:style>
  <w:style w:type="character" w:customStyle="1" w:styleId="Char">
    <w:name w:val="批注文字 Char"/>
    <w:link w:val="a7"/>
    <w:uiPriority w:val="99"/>
    <w:qFormat/>
    <w:rPr>
      <w:kern w:val="2"/>
      <w:sz w:val="21"/>
      <w:szCs w:val="24"/>
    </w:rPr>
  </w:style>
  <w:style w:type="character" w:customStyle="1" w:styleId="Char2">
    <w:name w:val="页眉 Char"/>
    <w:link w:val="ad"/>
    <w:qFormat/>
    <w:rPr>
      <w:kern w:val="2"/>
      <w:sz w:val="18"/>
      <w:szCs w:val="18"/>
    </w:rPr>
  </w:style>
  <w:style w:type="paragraph" w:customStyle="1" w:styleId="CharChar">
    <w:name w:val="Char Char"/>
    <w:basedOn w:val="a"/>
    <w:qFormat/>
    <w:rPr>
      <w:szCs w:val="20"/>
    </w:rPr>
  </w:style>
  <w:style w:type="character" w:customStyle="1" w:styleId="Char0">
    <w:name w:val="纯文本 Char"/>
    <w:basedOn w:val="a2"/>
    <w:link w:val="aa"/>
    <w:uiPriority w:val="99"/>
    <w:qFormat/>
    <w:rPr>
      <w:rFonts w:ascii="宋体" w:hAnsi="Courier New"/>
      <w:kern w:val="2"/>
      <w:sz w:val="21"/>
    </w:rPr>
  </w:style>
  <w:style w:type="paragraph" w:customStyle="1" w:styleId="24">
    <w:name w:val="！正文缩进2字符"/>
    <w:basedOn w:val="a"/>
    <w:uiPriority w:val="99"/>
    <w:qFormat/>
    <w:pPr>
      <w:widowControl/>
      <w:spacing w:line="360" w:lineRule="auto"/>
      <w:ind w:firstLineChars="200" w:firstLine="200"/>
    </w:pPr>
    <w:rPr>
      <w:sz w:val="24"/>
    </w:rPr>
  </w:style>
  <w:style w:type="character" w:customStyle="1" w:styleId="Char1">
    <w:name w:val="页脚 Char"/>
    <w:link w:val="ac"/>
    <w:uiPriority w:val="99"/>
    <w:qFormat/>
    <w:rPr>
      <w:kern w:val="2"/>
      <w:sz w:val="18"/>
      <w:szCs w:val="18"/>
    </w:rPr>
  </w:style>
  <w:style w:type="table" w:customStyle="1" w:styleId="14">
    <w:name w:val="网格型1"/>
    <w:basedOn w:val="a3"/>
    <w:uiPriority w:val="59"/>
    <w:qFormat/>
    <w:pPr>
      <w:widowControl w:val="0"/>
      <w:jc w:val="both"/>
    </w:pPr>
    <w:rPr>
      <w:rFonts w:ascii="宋体" w:hAnsi="宋体"/>
      <w:color w:val="000000"/>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uiPriority w:val="59"/>
    <w:qFormat/>
    <w:pPr>
      <w:widowControl w:val="0"/>
      <w:jc w:val="both"/>
    </w:pPr>
    <w:rPr>
      <w:rFonts w:ascii="宋体" w:hAnsi="宋体"/>
      <w:color w:val="000000"/>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semiHidden/>
    <w:qFormat/>
    <w:rPr>
      <w:kern w:val="2"/>
      <w:sz w:val="21"/>
      <w:szCs w:val="24"/>
    </w:rPr>
  </w:style>
  <w:style w:type="paragraph" w:customStyle="1" w:styleId="33">
    <w:name w:val="修订3"/>
    <w:hidden/>
    <w:uiPriority w:val="99"/>
    <w:semiHidden/>
    <w:qFormat/>
    <w:rPr>
      <w:kern w:val="2"/>
      <w:sz w:val="21"/>
      <w:szCs w:val="24"/>
    </w:rPr>
  </w:style>
  <w:style w:type="paragraph" w:styleId="afb">
    <w:name w:val="Revision"/>
    <w:hidden/>
    <w:uiPriority w:val="99"/>
    <w:semiHidden/>
    <w:rsid w:val="00994B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84F38-E43E-4EDA-AF42-E809883C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129</Pages>
  <Words>13692</Words>
  <Characters>78046</Characters>
  <Application>Microsoft Office Word</Application>
  <DocSecurity>0</DocSecurity>
  <Lines>650</Lines>
  <Paragraphs>183</Paragraphs>
  <ScaleCrop>false</ScaleCrop>
  <Company/>
  <LinksUpToDate>false</LinksUpToDate>
  <CharactersWithSpaces>91555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天弘中国节奏股票基金招募说明</dc:title>
  <dc:subject/>
  <dc:creator>刘蕾</dc:creator>
  <cp:keywords/>
  <dc:description/>
  <cp:lastModifiedBy>李晓颖</cp:lastModifiedBy>
  <cp:revision>6</cp:revision>
  <cp:lastPrinted>2021-07-02T02:00:00Z</cp:lastPrinted>
  <dcterms:created xsi:type="dcterms:W3CDTF">2021-07-02T00:53:00Z</dcterms:created>
  <dcterms:modified xsi:type="dcterms:W3CDTF">2021-09-03T06:46:00Z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1DEB3C3A1C244579BDC7CFEF35A84167</vt:lpwstr>
  </property>
</Properties>
</file>