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1D3" w:rsidRDefault="008711D3">
      <w:pPr>
        <w:adjustRightInd w:val="0"/>
        <w:snapToGrid w:val="0"/>
        <w:spacing w:line="360" w:lineRule="auto"/>
        <w:jc w:val="center"/>
        <w:rPr>
          <w:rFonts w:ascii="黑体" w:eastAsia="黑体"/>
          <w:b/>
          <w:color w:val="FF0000"/>
          <w:sz w:val="44"/>
          <w:szCs w:val="44"/>
        </w:rPr>
      </w:pPr>
    </w:p>
    <w:p w:rsidR="008711D3" w:rsidRDefault="008711D3">
      <w:pPr>
        <w:adjustRightInd w:val="0"/>
        <w:snapToGrid w:val="0"/>
        <w:spacing w:line="360" w:lineRule="auto"/>
        <w:jc w:val="center"/>
        <w:rPr>
          <w:rFonts w:ascii="黑体" w:eastAsia="黑体"/>
          <w:b/>
          <w:color w:val="FF0000"/>
          <w:sz w:val="44"/>
          <w:szCs w:val="44"/>
        </w:rPr>
      </w:pPr>
    </w:p>
    <w:p w:rsidR="008711D3" w:rsidRDefault="004479D9">
      <w:pPr>
        <w:adjustRightInd w:val="0"/>
        <w:snapToGrid w:val="0"/>
        <w:spacing w:line="360" w:lineRule="auto"/>
        <w:jc w:val="center"/>
        <w:rPr>
          <w:rFonts w:ascii="黑体" w:eastAsia="黑体"/>
          <w:b/>
          <w:color w:val="FF0000"/>
          <w:sz w:val="44"/>
          <w:szCs w:val="44"/>
        </w:rPr>
      </w:pPr>
      <w:r>
        <w:rPr>
          <w:rFonts w:ascii="黑体" w:eastAsia="黑体" w:hint="eastAsia"/>
          <w:b/>
          <w:color w:val="FF0000"/>
          <w:sz w:val="44"/>
          <w:szCs w:val="44"/>
        </w:rPr>
        <w:t>嘉实领先优势混合型证券投资基金</w:t>
      </w:r>
    </w:p>
    <w:p w:rsidR="008711D3" w:rsidRDefault="004479D9">
      <w:pPr>
        <w:adjustRightInd w:val="0"/>
        <w:snapToGrid w:val="0"/>
        <w:spacing w:line="360" w:lineRule="auto"/>
        <w:jc w:val="center"/>
        <w:rPr>
          <w:rFonts w:ascii="黑体" w:eastAsia="黑体"/>
          <w:b/>
          <w:color w:val="FF0000"/>
          <w:sz w:val="44"/>
          <w:szCs w:val="44"/>
        </w:rPr>
      </w:pPr>
      <w:r>
        <w:rPr>
          <w:rFonts w:ascii="黑体" w:eastAsia="黑体" w:hint="eastAsia"/>
          <w:b/>
          <w:color w:val="FF0000"/>
          <w:sz w:val="44"/>
          <w:szCs w:val="44"/>
        </w:rPr>
        <w:t>招募说明书</w:t>
      </w:r>
    </w:p>
    <w:p w:rsidR="008711D3" w:rsidRDefault="008711D3">
      <w:pPr>
        <w:adjustRightInd w:val="0"/>
        <w:snapToGrid w:val="0"/>
        <w:spacing w:line="360" w:lineRule="auto"/>
        <w:jc w:val="center"/>
        <w:rPr>
          <w:rFonts w:ascii="黑体" w:eastAsia="黑体"/>
          <w:b/>
          <w:color w:val="FF0000"/>
          <w:sz w:val="44"/>
          <w:szCs w:val="44"/>
        </w:rPr>
      </w:pPr>
    </w:p>
    <w:p w:rsidR="008711D3" w:rsidRDefault="008711D3">
      <w:pPr>
        <w:adjustRightInd w:val="0"/>
        <w:snapToGrid w:val="0"/>
        <w:spacing w:line="360" w:lineRule="auto"/>
        <w:jc w:val="center"/>
        <w:rPr>
          <w:rFonts w:ascii="黑体" w:eastAsia="黑体"/>
          <w:b/>
          <w:color w:val="FF0000"/>
          <w:sz w:val="44"/>
          <w:szCs w:val="44"/>
        </w:rPr>
      </w:pPr>
    </w:p>
    <w:p w:rsidR="008711D3" w:rsidRDefault="008711D3">
      <w:pPr>
        <w:adjustRightInd w:val="0"/>
        <w:snapToGrid w:val="0"/>
        <w:spacing w:line="360" w:lineRule="auto"/>
        <w:jc w:val="center"/>
        <w:rPr>
          <w:rFonts w:ascii="黑体" w:eastAsia="黑体"/>
          <w:b/>
          <w:color w:val="FF0000"/>
          <w:sz w:val="44"/>
          <w:szCs w:val="44"/>
        </w:rPr>
      </w:pPr>
    </w:p>
    <w:p w:rsidR="008711D3" w:rsidRDefault="008711D3">
      <w:pPr>
        <w:adjustRightInd w:val="0"/>
        <w:snapToGrid w:val="0"/>
        <w:spacing w:line="360" w:lineRule="auto"/>
        <w:jc w:val="center"/>
        <w:rPr>
          <w:rFonts w:ascii="黑体" w:eastAsia="黑体"/>
          <w:b/>
          <w:color w:val="FF0000"/>
          <w:sz w:val="44"/>
          <w:szCs w:val="44"/>
        </w:rPr>
      </w:pPr>
    </w:p>
    <w:p w:rsidR="008711D3" w:rsidRDefault="008711D3">
      <w:pPr>
        <w:tabs>
          <w:tab w:val="left" w:pos="6660"/>
        </w:tabs>
        <w:spacing w:line="720" w:lineRule="auto"/>
        <w:rPr>
          <w:b/>
          <w:bCs/>
          <w:color w:val="FF0000"/>
          <w:sz w:val="44"/>
          <w:szCs w:val="44"/>
        </w:rPr>
      </w:pPr>
    </w:p>
    <w:p w:rsidR="008711D3" w:rsidRDefault="004479D9">
      <w:pPr>
        <w:spacing w:line="360" w:lineRule="auto"/>
        <w:jc w:val="center"/>
        <w:rPr>
          <w:rFonts w:ascii="黑体" w:eastAsia="黑体"/>
          <w:b/>
          <w:color w:val="FF0000"/>
          <w:sz w:val="32"/>
          <w:szCs w:val="44"/>
        </w:rPr>
      </w:pPr>
      <w:bookmarkStart w:id="0" w:name="_Toc123701383"/>
      <w:bookmarkStart w:id="1" w:name="_Toc123112224"/>
      <w:bookmarkStart w:id="2" w:name="_Toc139991726"/>
      <w:bookmarkStart w:id="3" w:name="_Toc139992301"/>
      <w:bookmarkStart w:id="4" w:name="_Toc123112263"/>
      <w:r>
        <w:rPr>
          <w:rFonts w:ascii="黑体" w:eastAsia="黑体" w:hint="eastAsia"/>
          <w:b/>
          <w:color w:val="FF0000"/>
          <w:sz w:val="32"/>
          <w:szCs w:val="44"/>
        </w:rPr>
        <w:t>基金管理人：</w:t>
      </w:r>
      <w:bookmarkEnd w:id="0"/>
      <w:bookmarkEnd w:id="1"/>
      <w:bookmarkEnd w:id="2"/>
      <w:bookmarkEnd w:id="3"/>
      <w:bookmarkEnd w:id="4"/>
      <w:r>
        <w:rPr>
          <w:rFonts w:ascii="黑体" w:eastAsia="黑体" w:hint="eastAsia"/>
          <w:b/>
          <w:color w:val="FF0000"/>
          <w:sz w:val="32"/>
          <w:szCs w:val="44"/>
        </w:rPr>
        <w:t>嘉实基金管理有限公司</w:t>
      </w:r>
    </w:p>
    <w:p w:rsidR="008711D3" w:rsidRDefault="004479D9">
      <w:pPr>
        <w:spacing w:line="360" w:lineRule="auto"/>
        <w:jc w:val="center"/>
        <w:rPr>
          <w:rFonts w:ascii="黑体" w:eastAsia="黑体"/>
          <w:b/>
          <w:color w:val="FF0000"/>
          <w:sz w:val="32"/>
          <w:szCs w:val="44"/>
        </w:rPr>
      </w:pPr>
      <w:bookmarkStart w:id="5" w:name="_Toc123112264"/>
      <w:bookmarkStart w:id="6" w:name="_Toc139992302"/>
      <w:bookmarkStart w:id="7" w:name="_Toc123112225"/>
      <w:bookmarkStart w:id="8" w:name="_Toc123701384"/>
      <w:bookmarkStart w:id="9" w:name="_Toc139991727"/>
      <w:r>
        <w:rPr>
          <w:rFonts w:ascii="黑体" w:eastAsia="黑体" w:hint="eastAsia"/>
          <w:b/>
          <w:color w:val="FF0000"/>
          <w:sz w:val="32"/>
          <w:szCs w:val="44"/>
        </w:rPr>
        <w:t>基金托管人：</w:t>
      </w:r>
      <w:bookmarkEnd w:id="5"/>
      <w:bookmarkEnd w:id="6"/>
      <w:bookmarkEnd w:id="7"/>
      <w:bookmarkEnd w:id="8"/>
      <w:bookmarkEnd w:id="9"/>
      <w:r>
        <w:rPr>
          <w:rFonts w:ascii="黑体" w:eastAsia="黑体" w:hint="eastAsia"/>
          <w:b/>
          <w:color w:val="FF0000"/>
          <w:sz w:val="32"/>
          <w:szCs w:val="44"/>
        </w:rPr>
        <w:t>中国银行股份有限公司</w:t>
      </w:r>
    </w:p>
    <w:p w:rsidR="008711D3" w:rsidRDefault="008711D3">
      <w:pPr>
        <w:spacing w:line="360" w:lineRule="auto"/>
        <w:jc w:val="center"/>
        <w:rPr>
          <w:rFonts w:ascii="黑体" w:eastAsia="黑体"/>
          <w:b/>
          <w:color w:val="FF0000"/>
          <w:sz w:val="32"/>
          <w:szCs w:val="44"/>
        </w:rPr>
      </w:pPr>
    </w:p>
    <w:p w:rsidR="008711D3" w:rsidRDefault="004479D9">
      <w:pPr>
        <w:spacing w:line="360" w:lineRule="auto"/>
        <w:jc w:val="center"/>
        <w:rPr>
          <w:rFonts w:ascii="黑体" w:eastAsia="黑体"/>
          <w:b/>
          <w:color w:val="FF0000"/>
          <w:sz w:val="32"/>
          <w:szCs w:val="44"/>
        </w:rPr>
      </w:pPr>
      <w:r>
        <w:rPr>
          <w:rFonts w:ascii="黑体" w:eastAsia="黑体" w:hint="eastAsia"/>
          <w:b/>
          <w:color w:val="FF0000"/>
          <w:sz w:val="32"/>
          <w:szCs w:val="44"/>
        </w:rPr>
        <w:t>二〇二一年</w:t>
      </w:r>
      <w:r w:rsidR="00FB7DC9">
        <w:rPr>
          <w:rFonts w:ascii="黑体" w:eastAsia="黑体" w:hint="eastAsia"/>
          <w:b/>
          <w:color w:val="FF0000"/>
          <w:sz w:val="32"/>
          <w:szCs w:val="44"/>
        </w:rPr>
        <w:t>五</w:t>
      </w:r>
      <w:r>
        <w:rPr>
          <w:rFonts w:ascii="黑体" w:eastAsia="黑体"/>
          <w:b/>
          <w:color w:val="FF0000"/>
          <w:sz w:val="32"/>
          <w:szCs w:val="44"/>
        </w:rPr>
        <w:t>月</w:t>
      </w:r>
    </w:p>
    <w:p w:rsidR="008711D3" w:rsidRDefault="004479D9">
      <w:pPr>
        <w:widowControl/>
        <w:jc w:val="left"/>
        <w:rPr>
          <w:rFonts w:hAnsi="宋体"/>
          <w:b/>
          <w:sz w:val="28"/>
        </w:rPr>
      </w:pPr>
      <w:r>
        <w:rPr>
          <w:rFonts w:hAnsi="宋体"/>
          <w:b/>
          <w:sz w:val="28"/>
        </w:rPr>
        <w:br w:type="page"/>
      </w:r>
    </w:p>
    <w:p w:rsidR="008711D3" w:rsidRDefault="004479D9">
      <w:pPr>
        <w:tabs>
          <w:tab w:val="center" w:pos="4252"/>
          <w:tab w:val="left" w:pos="7530"/>
        </w:tabs>
        <w:autoSpaceDE w:val="0"/>
        <w:autoSpaceDN w:val="0"/>
        <w:adjustRightInd w:val="0"/>
        <w:spacing w:line="360" w:lineRule="auto"/>
        <w:ind w:firstLine="198"/>
        <w:jc w:val="center"/>
        <w:rPr>
          <w:rFonts w:ascii="黑体" w:eastAsia="黑体" w:hAnsi="宋体"/>
          <w:b/>
          <w:bCs/>
          <w:kern w:val="0"/>
          <w:sz w:val="36"/>
          <w:szCs w:val="26"/>
        </w:rPr>
      </w:pPr>
      <w:r>
        <w:rPr>
          <w:rFonts w:ascii="黑体" w:eastAsia="黑体" w:hAnsi="宋体" w:hint="eastAsia"/>
          <w:b/>
          <w:bCs/>
          <w:kern w:val="0"/>
          <w:sz w:val="36"/>
          <w:szCs w:val="26"/>
        </w:rPr>
        <w:lastRenderedPageBreak/>
        <w:t>嘉实领先优势混合型证券投资基金</w:t>
      </w:r>
    </w:p>
    <w:p w:rsidR="008711D3" w:rsidRDefault="004479D9">
      <w:pPr>
        <w:autoSpaceDE w:val="0"/>
        <w:autoSpaceDN w:val="0"/>
        <w:adjustRightInd w:val="0"/>
        <w:spacing w:line="360" w:lineRule="auto"/>
        <w:ind w:firstLine="198"/>
        <w:jc w:val="center"/>
        <w:rPr>
          <w:rFonts w:ascii="宋体" w:hAnsi="宋体"/>
          <w:b/>
          <w:bCs/>
          <w:kern w:val="0"/>
          <w:sz w:val="28"/>
          <w:szCs w:val="26"/>
        </w:rPr>
      </w:pPr>
      <w:r>
        <w:rPr>
          <w:rFonts w:ascii="黑体" w:eastAsia="黑体" w:hAnsi="宋体" w:hint="eastAsia"/>
          <w:b/>
          <w:bCs/>
          <w:kern w:val="0"/>
          <w:sz w:val="36"/>
          <w:szCs w:val="26"/>
        </w:rPr>
        <w:t>招募说明书</w:t>
      </w:r>
    </w:p>
    <w:p w:rsidR="008711D3" w:rsidRDefault="008711D3">
      <w:pPr>
        <w:tabs>
          <w:tab w:val="center" w:pos="4153"/>
          <w:tab w:val="right" w:pos="8306"/>
        </w:tabs>
        <w:autoSpaceDE w:val="0"/>
        <w:autoSpaceDN w:val="0"/>
        <w:adjustRightInd w:val="0"/>
        <w:spacing w:line="360" w:lineRule="auto"/>
        <w:jc w:val="center"/>
        <w:rPr>
          <w:rFonts w:hAnsi="宋体"/>
          <w:b/>
          <w:sz w:val="28"/>
        </w:rPr>
      </w:pPr>
    </w:p>
    <w:p w:rsidR="008711D3" w:rsidRDefault="004479D9">
      <w:pPr>
        <w:tabs>
          <w:tab w:val="center" w:pos="4153"/>
          <w:tab w:val="right" w:pos="8306"/>
        </w:tabs>
        <w:autoSpaceDE w:val="0"/>
        <w:autoSpaceDN w:val="0"/>
        <w:adjustRightInd w:val="0"/>
        <w:spacing w:line="360" w:lineRule="auto"/>
        <w:jc w:val="center"/>
        <w:rPr>
          <w:b/>
          <w:sz w:val="28"/>
        </w:rPr>
      </w:pPr>
      <w:r>
        <w:rPr>
          <w:rFonts w:hAnsi="宋体" w:hint="eastAsia"/>
          <w:b/>
          <w:sz w:val="28"/>
        </w:rPr>
        <w:t>重要提示</w:t>
      </w:r>
    </w:p>
    <w:p w:rsidR="008711D3" w:rsidRDefault="004479D9">
      <w:pPr>
        <w:pStyle w:val="af4"/>
        <w:autoSpaceDE w:val="0"/>
        <w:autoSpaceDN w:val="0"/>
        <w:adjustRightInd w:val="0"/>
        <w:rPr>
          <w:rFonts w:ascii="Times New Roman" w:hAnsi="宋体"/>
          <w:szCs w:val="24"/>
        </w:rPr>
      </w:pPr>
      <w:r>
        <w:rPr>
          <w:rFonts w:ascii="Times New Roman" w:hAnsi="宋体" w:hint="eastAsia"/>
          <w:szCs w:val="24"/>
        </w:rPr>
        <w:t>嘉实领先优势混合型证券投资基金（以下简称</w:t>
      </w:r>
      <w:r>
        <w:rPr>
          <w:rFonts w:ascii="Times New Roman" w:hAnsi="宋体"/>
          <w:szCs w:val="24"/>
        </w:rPr>
        <w:t>“</w:t>
      </w:r>
      <w:r>
        <w:rPr>
          <w:rFonts w:ascii="Times New Roman" w:hAnsi="宋体" w:hint="eastAsia"/>
          <w:szCs w:val="24"/>
        </w:rPr>
        <w:t>本基金</w:t>
      </w:r>
      <w:r>
        <w:rPr>
          <w:rFonts w:ascii="Times New Roman" w:hAnsi="宋体"/>
          <w:szCs w:val="24"/>
        </w:rPr>
        <w:t>”</w:t>
      </w:r>
      <w:r>
        <w:rPr>
          <w:rFonts w:ascii="Times New Roman" w:hAnsi="宋体" w:hint="eastAsia"/>
          <w:szCs w:val="24"/>
        </w:rPr>
        <w:t>）经中国证监会</w:t>
      </w:r>
      <w:r>
        <w:rPr>
          <w:rFonts w:ascii="Times New Roman" w:hAnsi="宋体" w:hint="eastAsia"/>
          <w:szCs w:val="24"/>
        </w:rPr>
        <w:t>20</w:t>
      </w:r>
      <w:r w:rsidR="00FB7DC9">
        <w:rPr>
          <w:rFonts w:ascii="Times New Roman" w:hAnsi="宋体"/>
          <w:szCs w:val="24"/>
        </w:rPr>
        <w:t>21</w:t>
      </w:r>
      <w:r>
        <w:rPr>
          <w:rFonts w:ascii="Times New Roman" w:hAnsi="宋体" w:hint="eastAsia"/>
          <w:szCs w:val="24"/>
        </w:rPr>
        <w:t>年</w:t>
      </w:r>
      <w:r w:rsidR="00FB7DC9">
        <w:rPr>
          <w:rFonts w:ascii="Times New Roman" w:hAnsi="宋体"/>
          <w:szCs w:val="24"/>
        </w:rPr>
        <w:t>4</w:t>
      </w:r>
      <w:r>
        <w:rPr>
          <w:rFonts w:ascii="Times New Roman" w:hAnsi="宋体" w:hint="eastAsia"/>
          <w:szCs w:val="24"/>
        </w:rPr>
        <w:t>月</w:t>
      </w:r>
      <w:r w:rsidR="00FB7DC9">
        <w:rPr>
          <w:rFonts w:ascii="Times New Roman" w:hAnsi="宋体"/>
          <w:szCs w:val="24"/>
        </w:rPr>
        <w:t>21</w:t>
      </w:r>
      <w:r>
        <w:rPr>
          <w:rFonts w:ascii="Times New Roman" w:hAnsi="宋体" w:hint="eastAsia"/>
          <w:szCs w:val="24"/>
        </w:rPr>
        <w:t>日</w:t>
      </w:r>
      <w:bookmarkStart w:id="10" w:name="OLE_LINK6"/>
      <w:bookmarkStart w:id="11" w:name="OLE_LINK8"/>
      <w:r>
        <w:rPr>
          <w:rFonts w:ascii="Times New Roman" w:hAnsi="宋体" w:hint="eastAsia"/>
          <w:szCs w:val="24"/>
        </w:rPr>
        <w:t>证监许可</w:t>
      </w:r>
      <w:r>
        <w:rPr>
          <w:rFonts w:ascii="Times New Roman" w:hAnsi="宋体" w:hint="eastAsia"/>
          <w:szCs w:val="24"/>
        </w:rPr>
        <w:t>[</w:t>
      </w:r>
      <w:r>
        <w:rPr>
          <w:rFonts w:ascii="Times New Roman" w:hAnsi="宋体"/>
          <w:szCs w:val="24"/>
        </w:rPr>
        <w:t>20</w:t>
      </w:r>
      <w:r w:rsidR="00FB7DC9">
        <w:rPr>
          <w:rFonts w:ascii="Times New Roman" w:hAnsi="宋体"/>
          <w:szCs w:val="24"/>
        </w:rPr>
        <w:t>21</w:t>
      </w:r>
      <w:r>
        <w:rPr>
          <w:rFonts w:ascii="Times New Roman" w:hAnsi="宋体" w:hint="eastAsia"/>
          <w:szCs w:val="24"/>
        </w:rPr>
        <w:t>]</w:t>
      </w:r>
      <w:r w:rsidR="00FB7DC9">
        <w:rPr>
          <w:rFonts w:ascii="Times New Roman" w:hAnsi="宋体"/>
          <w:szCs w:val="24"/>
        </w:rPr>
        <w:t>1461</w:t>
      </w:r>
      <w:r>
        <w:rPr>
          <w:rFonts w:ascii="Times New Roman" w:hAnsi="宋体" w:hint="eastAsia"/>
          <w:szCs w:val="24"/>
        </w:rPr>
        <w:t>号</w:t>
      </w:r>
      <w:r>
        <w:rPr>
          <w:rFonts w:hAnsi="宋体" w:cs="宋体"/>
          <w:color w:val="000000"/>
          <w:kern w:val="0"/>
          <w:szCs w:val="21"/>
        </w:rPr>
        <w:t>《关于</w:t>
      </w:r>
      <w:r>
        <w:rPr>
          <w:rFonts w:hAnsi="宋体" w:cs="宋体" w:hint="eastAsia"/>
          <w:color w:val="000000"/>
          <w:kern w:val="0"/>
          <w:szCs w:val="21"/>
        </w:rPr>
        <w:t>准予嘉实</w:t>
      </w:r>
      <w:r>
        <w:rPr>
          <w:rFonts w:ascii="Times New Roman" w:hAnsi="宋体" w:hint="eastAsia"/>
          <w:szCs w:val="24"/>
        </w:rPr>
        <w:t>领先优势</w:t>
      </w:r>
      <w:r>
        <w:rPr>
          <w:rFonts w:hAnsi="宋体" w:cs="宋体" w:hint="eastAsia"/>
          <w:color w:val="000000"/>
          <w:kern w:val="0"/>
          <w:szCs w:val="21"/>
        </w:rPr>
        <w:t>混合型证券投资基金注册</w:t>
      </w:r>
      <w:r>
        <w:rPr>
          <w:rFonts w:hAnsi="宋体" w:cs="宋体"/>
          <w:color w:val="000000"/>
          <w:kern w:val="0"/>
          <w:szCs w:val="21"/>
        </w:rPr>
        <w:t>的批复》</w:t>
      </w:r>
      <w:bookmarkEnd w:id="10"/>
      <w:bookmarkEnd w:id="11"/>
      <w:r>
        <w:rPr>
          <w:rFonts w:ascii="Times New Roman" w:hAnsi="宋体" w:hint="eastAsia"/>
          <w:szCs w:val="24"/>
        </w:rPr>
        <w:t>注册募集。</w:t>
      </w:r>
    </w:p>
    <w:p w:rsidR="008711D3" w:rsidRDefault="004479D9">
      <w:pPr>
        <w:pStyle w:val="af4"/>
        <w:autoSpaceDE w:val="0"/>
        <w:autoSpaceDN w:val="0"/>
        <w:adjustRightInd w:val="0"/>
        <w:rPr>
          <w:rFonts w:ascii="Times New Roman" w:hAnsi="宋体"/>
          <w:szCs w:val="24"/>
        </w:rPr>
      </w:pPr>
      <w:r>
        <w:rPr>
          <w:rFonts w:ascii="Times New Roman" w:hAnsi="宋体" w:hint="eastAsia"/>
          <w:szCs w:val="24"/>
        </w:rPr>
        <w:t>基金管理人保证本招募说明书的内容真实、准确、完整。本招募说明书经中国证监会注册，但中国证监会对本基金募集的注册，并不表明其对本基金的投资价值和市场前景作出实质性判断或保证，也不表明投资于本基金没有风险。</w:t>
      </w:r>
    </w:p>
    <w:p w:rsidR="008711D3" w:rsidRDefault="004479D9">
      <w:pPr>
        <w:pStyle w:val="af4"/>
        <w:autoSpaceDE w:val="0"/>
        <w:autoSpaceDN w:val="0"/>
        <w:adjustRightInd w:val="0"/>
        <w:rPr>
          <w:rFonts w:ascii="Times New Roman"/>
          <w:szCs w:val="24"/>
        </w:rPr>
      </w:pPr>
      <w:r>
        <w:rPr>
          <w:rFonts w:ascii="Times New Roman" w:hint="eastAsia"/>
          <w:szCs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rsidR="008711D3" w:rsidRDefault="004479D9">
      <w:pPr>
        <w:autoSpaceDE w:val="0"/>
        <w:autoSpaceDN w:val="0"/>
        <w:adjustRightInd w:val="0"/>
        <w:spacing w:line="360" w:lineRule="auto"/>
        <w:ind w:firstLine="420"/>
        <w:rPr>
          <w:rFonts w:ascii="宋体" w:hAnsi="宋体" w:cs="宋体"/>
          <w:kern w:val="0"/>
          <w:szCs w:val="21"/>
        </w:rPr>
      </w:pPr>
      <w:r>
        <w:rPr>
          <w:rFonts w:hint="eastAsia"/>
          <w:szCs w:val="24"/>
        </w:rPr>
        <w:t>本基金投资于证券市场，基金净值会因为证券市场波动等因素产生波动，投资者在投资本基金前，应全面了解本基金的产品特性，充分考虑自身的风险承受能力，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有风险等等。本基金的投资范围包含国债期货、股指期货</w:t>
      </w:r>
      <w:r>
        <w:rPr>
          <w:szCs w:val="24"/>
        </w:rPr>
        <w:t>、</w:t>
      </w:r>
      <w:r>
        <w:rPr>
          <w:rFonts w:hint="eastAsia"/>
          <w:szCs w:val="24"/>
        </w:rPr>
        <w:t>股票期权等金融衍生品、资产支持证券等品种，可能给本基金带来额外风险。</w:t>
      </w:r>
    </w:p>
    <w:p w:rsidR="008711D3" w:rsidRDefault="004479D9">
      <w:pPr>
        <w:pStyle w:val="af4"/>
        <w:autoSpaceDE w:val="0"/>
        <w:autoSpaceDN w:val="0"/>
        <w:adjustRightInd w:val="0"/>
        <w:rPr>
          <w:rFonts w:ascii="Times New Roman"/>
          <w:szCs w:val="24"/>
        </w:rPr>
      </w:pPr>
      <w:r>
        <w:rPr>
          <w:rFonts w:ascii="Times New Roman" w:hint="eastAsia"/>
          <w:szCs w:val="24"/>
        </w:rPr>
        <w:t>本基金为</w:t>
      </w:r>
      <w:r>
        <w:rPr>
          <w:rFonts w:hint="eastAsia"/>
          <w:bCs/>
          <w:szCs w:val="24"/>
        </w:rPr>
        <w:t>混合型证券投资基金，</w:t>
      </w:r>
      <w:r>
        <w:rPr>
          <w:bCs/>
          <w:szCs w:val="24"/>
        </w:rPr>
        <w:t>风险与收益高于债券型基金与货币市场基金，低于股票型基金。</w:t>
      </w:r>
      <w:r>
        <w:rPr>
          <w:rFonts w:hint="eastAsia"/>
          <w:bCs/>
          <w:szCs w:val="24"/>
        </w:rPr>
        <w:t>本基金将投资港股通标的股票，将承担汇率风险以及因投资环境、投资标的、市场制度、交易规则差异等带来的境外市场的风险。本基金投资港股通标的股票的具体风险请详见本招募“十七、风险揭示”章节。</w:t>
      </w:r>
      <w:r>
        <w:rPr>
          <w:rFonts w:ascii="Times New Roman" w:hint="eastAsia"/>
          <w:szCs w:val="24"/>
        </w:rPr>
        <w:t>投资者在投资本基金之前，请仔细阅读本基金的招募说明书、</w:t>
      </w:r>
      <w:r>
        <w:rPr>
          <w:rFonts w:ascii="Times New Roman"/>
          <w:szCs w:val="24"/>
        </w:rPr>
        <w:t>基金产品资料概要</w:t>
      </w:r>
      <w:r>
        <w:rPr>
          <w:rFonts w:ascii="Times New Roman" w:hint="eastAsia"/>
          <w:szCs w:val="24"/>
        </w:rPr>
        <w:t>和基金合同，全面认识本基金的风险收益特征和产品特性，并充分考虑自身的风险承受能力，理性判断市场，谨慎做出投资决策。</w:t>
      </w:r>
    </w:p>
    <w:p w:rsidR="008711D3" w:rsidRDefault="004479D9">
      <w:pPr>
        <w:pStyle w:val="af4"/>
        <w:autoSpaceDE w:val="0"/>
        <w:autoSpaceDN w:val="0"/>
        <w:adjustRightInd w:val="0"/>
        <w:rPr>
          <w:bCs/>
          <w:szCs w:val="24"/>
        </w:rPr>
      </w:pPr>
      <w:r>
        <w:rPr>
          <w:rFonts w:hint="eastAsia"/>
          <w:bCs/>
          <w:szCs w:val="24"/>
        </w:rPr>
        <w:t>本基金投资相关股票市场交易互联互通机制试点允许买卖的规定范围内的香港联合交易所上市的股票（以下简称“港股通标的股票”）的，会面临港股通机制下因投资环境、投</w:t>
      </w:r>
      <w:r>
        <w:rPr>
          <w:rFonts w:hint="eastAsia"/>
          <w:bCs/>
          <w:szCs w:val="24"/>
        </w:rPr>
        <w:lastRenderedPageBreak/>
        <w:t>资标的、市场制度以及交易规则等差异带来的特有风险，包括港股市场股价波动较大的风险（港股市场实行T+0回转交易，且对个股不设涨跌幅限制，港股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rsidR="008711D3" w:rsidRDefault="004479D9">
      <w:pPr>
        <w:pStyle w:val="af4"/>
        <w:autoSpaceDE w:val="0"/>
        <w:autoSpaceDN w:val="0"/>
        <w:adjustRightInd w:val="0"/>
        <w:rPr>
          <w:szCs w:val="24"/>
        </w:rPr>
      </w:pPr>
      <w:r>
        <w:rPr>
          <w:rFonts w:hint="eastAsia"/>
          <w:bCs/>
          <w:szCs w:val="24"/>
        </w:rPr>
        <w:t>本基金投资港股通标的股票的比例下限为零，即本基金可根据投资策略需要或不同配置地市场环境的变化，选择将部分基金资产投资于港股通标的股票或选择不将基金资产投资于港股通标的股票，基金资产并非必然投资港股通标的股票。</w:t>
      </w:r>
    </w:p>
    <w:p w:rsidR="008711D3" w:rsidRDefault="004479D9">
      <w:pPr>
        <w:pStyle w:val="af4"/>
        <w:autoSpaceDE w:val="0"/>
        <w:autoSpaceDN w:val="0"/>
        <w:adjustRightInd w:val="0"/>
        <w:rPr>
          <w:rFonts w:hAnsi="宋体"/>
          <w:bCs/>
          <w:szCs w:val="21"/>
        </w:rPr>
      </w:pPr>
      <w:r>
        <w:rPr>
          <w:rFonts w:hAnsi="宋体" w:hint="eastAsia"/>
          <w:bCs/>
          <w:szCs w:val="21"/>
        </w:rPr>
        <w:t>本基金的投资范围包括存托凭证，除与其他仅投资于沪深市场股票的基金所面临的共同风险外，本基金还将面临中国存托凭证价格大幅波动甚至出现较大亏损的风险，以及与中国存托凭证发行机制相关的风险。</w:t>
      </w:r>
    </w:p>
    <w:p w:rsidR="008711D3" w:rsidRDefault="004479D9">
      <w:pPr>
        <w:pStyle w:val="af4"/>
        <w:autoSpaceDE w:val="0"/>
        <w:autoSpaceDN w:val="0"/>
        <w:adjustRightInd w:val="0"/>
        <w:rPr>
          <w:rFonts w:hAnsi="宋体"/>
          <w:bCs/>
          <w:szCs w:val="21"/>
        </w:rPr>
      </w:pPr>
      <w:r>
        <w:rPr>
          <w:rFonts w:hAnsi="宋体" w:hint="eastAsia"/>
          <w:bCs/>
          <w:szCs w:val="21"/>
        </w:rPr>
        <w:t>当本基金持有特定资产且存在或潜在大额赎回申请时，基金管理人履行相应程序后，可以启用侧袋机制，具体详见本招募说明书“侧袋机制”章节。侧袋机制实施期间，基金管理人将对基金简称进行特殊标识，并不办理侧袋账户的申购赎回。请基金份额持有人仔细阅读相关内容并关注本基金启用侧袋机制时的特定风险。</w:t>
      </w:r>
    </w:p>
    <w:p w:rsidR="008711D3" w:rsidRDefault="004479D9">
      <w:pPr>
        <w:pStyle w:val="af4"/>
        <w:autoSpaceDE w:val="0"/>
        <w:autoSpaceDN w:val="0"/>
        <w:adjustRightInd w:val="0"/>
        <w:rPr>
          <w:rFonts w:ascii="Times New Roman"/>
          <w:szCs w:val="24"/>
        </w:rPr>
      </w:pPr>
      <w:r>
        <w:rPr>
          <w:rFonts w:ascii="Times New Roman" w:hint="eastAsia"/>
          <w:szCs w:val="24"/>
        </w:rPr>
        <w:t>投资者应当通过本基金管理人或代销机构购买和赎回基金。本基金在募集期内按</w:t>
      </w:r>
      <w:r>
        <w:rPr>
          <w:rFonts w:ascii="Times New Roman" w:hint="eastAsia"/>
          <w:szCs w:val="24"/>
        </w:rPr>
        <w:t>1</w:t>
      </w:r>
      <w:r>
        <w:rPr>
          <w:rFonts w:ascii="Times New Roman" w:hint="eastAsia"/>
          <w:szCs w:val="24"/>
        </w:rPr>
        <w:t>元面值发售并不改变基金的风险收益特征。投资者按</w:t>
      </w:r>
      <w:r>
        <w:rPr>
          <w:rFonts w:ascii="Times New Roman" w:hint="eastAsia"/>
          <w:szCs w:val="24"/>
        </w:rPr>
        <w:t>1</w:t>
      </w:r>
      <w:r>
        <w:rPr>
          <w:rFonts w:ascii="Times New Roman" w:hint="eastAsia"/>
          <w:szCs w:val="24"/>
        </w:rPr>
        <w:t>元面值购买基金份额以后，有可能面临基金份额净值跌破</w:t>
      </w:r>
      <w:r>
        <w:rPr>
          <w:rFonts w:ascii="Times New Roman" w:hint="eastAsia"/>
          <w:szCs w:val="24"/>
        </w:rPr>
        <w:t>1</w:t>
      </w:r>
      <w:r>
        <w:rPr>
          <w:rFonts w:ascii="Times New Roman" w:hint="eastAsia"/>
          <w:szCs w:val="24"/>
        </w:rPr>
        <w:t>元、从而遭受损失的风险。</w:t>
      </w:r>
    </w:p>
    <w:p w:rsidR="008711D3" w:rsidRDefault="004479D9">
      <w:pPr>
        <w:pStyle w:val="af4"/>
        <w:autoSpaceDE w:val="0"/>
        <w:autoSpaceDN w:val="0"/>
        <w:adjustRightInd w:val="0"/>
        <w:jc w:val="left"/>
        <w:rPr>
          <w:rFonts w:ascii="Times New Roman"/>
          <w:szCs w:val="24"/>
        </w:rPr>
      </w:pPr>
      <w:r>
        <w:rPr>
          <w:rFonts w:ascii="Times New Roman" w:hint="eastAsia"/>
          <w:szCs w:val="24"/>
        </w:rPr>
        <w:t>本基金管理人承诺以诚实信用、勤勉尽责的原则管理和运用基金资产，但不保证本基金一定盈利，也不保证最低收益。基金的过往业绩及其净值高低并不预示其未来业绩表现。</w:t>
      </w:r>
    </w:p>
    <w:p w:rsidR="008711D3" w:rsidRDefault="004479D9">
      <w:pPr>
        <w:pStyle w:val="af4"/>
        <w:autoSpaceDE w:val="0"/>
        <w:autoSpaceDN w:val="0"/>
        <w:adjustRightInd w:val="0"/>
        <w:jc w:val="left"/>
        <w:rPr>
          <w:rFonts w:ascii="Times New Roman"/>
          <w:szCs w:val="24"/>
        </w:rPr>
      </w:pPr>
      <w:r>
        <w:rPr>
          <w:rFonts w:ascii="Times New Roman" w:hint="eastAsia"/>
          <w:szCs w:val="24"/>
        </w:rPr>
        <w:t>本基金管理人提醒投资者基金投资的“买者自负”原则，在做出投资决策后，基金运营状况与基金净值变化引致的投资风险，由投资者自行负担。</w:t>
      </w:r>
    </w:p>
    <w:p w:rsidR="008711D3" w:rsidRDefault="008711D3">
      <w:pPr>
        <w:tabs>
          <w:tab w:val="left" w:pos="6660"/>
        </w:tabs>
        <w:spacing w:line="360" w:lineRule="auto"/>
        <w:jc w:val="center"/>
        <w:rPr>
          <w:b/>
          <w:bCs/>
          <w:sz w:val="44"/>
          <w:szCs w:val="44"/>
        </w:rPr>
        <w:sectPr w:rsidR="008711D3">
          <w:headerReference w:type="default" r:id="rId11"/>
          <w:footerReference w:type="default" r:id="rId12"/>
          <w:headerReference w:type="first" r:id="rId13"/>
          <w:pgSz w:w="11906" w:h="16838"/>
          <w:pgMar w:top="1440" w:right="1800" w:bottom="1440" w:left="1800" w:header="851" w:footer="992" w:gutter="0"/>
          <w:pgNumType w:start="1"/>
          <w:cols w:space="425"/>
          <w:titlePg/>
          <w:docGrid w:type="lines" w:linePitch="312"/>
        </w:sectPr>
      </w:pPr>
    </w:p>
    <w:p w:rsidR="008711D3" w:rsidRDefault="004479D9">
      <w:pPr>
        <w:spacing w:line="360" w:lineRule="auto"/>
        <w:ind w:firstLine="420"/>
        <w:jc w:val="center"/>
        <w:rPr>
          <w:rFonts w:hAnsi="宋体"/>
          <w:b/>
          <w:sz w:val="28"/>
        </w:rPr>
      </w:pPr>
      <w:r>
        <w:rPr>
          <w:rFonts w:hAnsi="宋体" w:hint="eastAsia"/>
          <w:b/>
          <w:sz w:val="28"/>
        </w:rPr>
        <w:lastRenderedPageBreak/>
        <w:t>目</w:t>
      </w:r>
      <w:r>
        <w:rPr>
          <w:rFonts w:hAnsi="宋体" w:hint="eastAsia"/>
          <w:b/>
          <w:sz w:val="28"/>
        </w:rPr>
        <w:t xml:space="preserve">  </w:t>
      </w:r>
      <w:r>
        <w:rPr>
          <w:rFonts w:hAnsi="宋体" w:hint="eastAsia"/>
          <w:b/>
          <w:sz w:val="28"/>
        </w:rPr>
        <w:t>录</w:t>
      </w:r>
    </w:p>
    <w:p w:rsidR="008711D3" w:rsidRDefault="008711D3">
      <w:pPr>
        <w:spacing w:line="360" w:lineRule="auto"/>
        <w:ind w:firstLine="420"/>
        <w:jc w:val="center"/>
        <w:rPr>
          <w:b/>
          <w:bCs/>
          <w:sz w:val="44"/>
          <w:szCs w:val="44"/>
        </w:rPr>
      </w:pPr>
    </w:p>
    <w:bookmarkStart w:id="12" w:name="_Hlt462043851"/>
    <w:bookmarkStart w:id="13" w:name="_Hlt462043980"/>
    <w:p w:rsidR="00CE3BC2" w:rsidRDefault="004479D9">
      <w:pPr>
        <w:pStyle w:val="10"/>
        <w:rPr>
          <w:rFonts w:asciiTheme="minorHAnsi" w:eastAsiaTheme="minorEastAsia" w:hAnsiTheme="minorHAnsi" w:cstheme="minorBidi"/>
          <w:noProof/>
          <w:szCs w:val="22"/>
        </w:rPr>
      </w:pPr>
      <w:r>
        <w:rPr>
          <w:rFonts w:ascii="宋体" w:hAnsi="宋体"/>
          <w:b/>
          <w:bCs/>
          <w:sz w:val="44"/>
          <w:szCs w:val="44"/>
        </w:rPr>
        <w:fldChar w:fldCharType="begin"/>
      </w:r>
      <w:bookmarkEnd w:id="12"/>
      <w:bookmarkEnd w:id="13"/>
      <w:r>
        <w:rPr>
          <w:rFonts w:ascii="宋体" w:hAnsi="宋体"/>
          <w:b/>
          <w:bCs/>
          <w:sz w:val="44"/>
          <w:szCs w:val="44"/>
        </w:rPr>
        <w:instrText xml:space="preserve"> TOC \o "1-1" \h \z \u </w:instrText>
      </w:r>
      <w:r>
        <w:rPr>
          <w:rFonts w:ascii="宋体" w:hAnsi="宋体"/>
          <w:b/>
          <w:bCs/>
          <w:sz w:val="44"/>
          <w:szCs w:val="44"/>
        </w:rPr>
        <w:fldChar w:fldCharType="separate"/>
      </w:r>
      <w:hyperlink w:anchor="_Toc71748055" w:history="1">
        <w:r w:rsidR="00CE3BC2" w:rsidRPr="006A4E51">
          <w:rPr>
            <w:rStyle w:val="af2"/>
            <w:rFonts w:hAnsi="宋体" w:hint="eastAsia"/>
            <w:bCs/>
            <w:noProof/>
            <w:kern w:val="44"/>
          </w:rPr>
          <w:t>一、绪言</w:t>
        </w:r>
        <w:r w:rsidR="00CE3BC2">
          <w:rPr>
            <w:noProof/>
            <w:webHidden/>
          </w:rPr>
          <w:tab/>
        </w:r>
        <w:r w:rsidR="00CE3BC2">
          <w:rPr>
            <w:noProof/>
            <w:webHidden/>
          </w:rPr>
          <w:fldChar w:fldCharType="begin"/>
        </w:r>
        <w:r w:rsidR="00CE3BC2">
          <w:rPr>
            <w:noProof/>
            <w:webHidden/>
          </w:rPr>
          <w:instrText xml:space="preserve"> PAGEREF _Toc71748055 \h </w:instrText>
        </w:r>
        <w:r w:rsidR="00CE3BC2">
          <w:rPr>
            <w:noProof/>
            <w:webHidden/>
          </w:rPr>
        </w:r>
        <w:r w:rsidR="00CE3BC2">
          <w:rPr>
            <w:noProof/>
            <w:webHidden/>
          </w:rPr>
          <w:fldChar w:fldCharType="separate"/>
        </w:r>
        <w:r w:rsidR="00CE3BC2">
          <w:rPr>
            <w:noProof/>
            <w:webHidden/>
          </w:rPr>
          <w:t>4</w:t>
        </w:r>
        <w:r w:rsidR="00CE3BC2">
          <w:rPr>
            <w:noProof/>
            <w:webHidden/>
          </w:rPr>
          <w:fldChar w:fldCharType="end"/>
        </w:r>
      </w:hyperlink>
    </w:p>
    <w:p w:rsidR="00CE3BC2" w:rsidRDefault="004F2C94">
      <w:pPr>
        <w:pStyle w:val="10"/>
        <w:rPr>
          <w:rFonts w:asciiTheme="minorHAnsi" w:eastAsiaTheme="minorEastAsia" w:hAnsiTheme="minorHAnsi" w:cstheme="minorBidi"/>
          <w:noProof/>
          <w:szCs w:val="22"/>
        </w:rPr>
      </w:pPr>
      <w:hyperlink w:anchor="_Toc71748056" w:history="1">
        <w:r w:rsidR="00CE3BC2" w:rsidRPr="006A4E51">
          <w:rPr>
            <w:rStyle w:val="af2"/>
            <w:rFonts w:hAnsi="宋体" w:hint="eastAsia"/>
            <w:bCs/>
            <w:noProof/>
            <w:kern w:val="44"/>
          </w:rPr>
          <w:t>二、释义</w:t>
        </w:r>
        <w:r w:rsidR="00CE3BC2">
          <w:rPr>
            <w:noProof/>
            <w:webHidden/>
          </w:rPr>
          <w:tab/>
        </w:r>
        <w:r w:rsidR="00CE3BC2">
          <w:rPr>
            <w:noProof/>
            <w:webHidden/>
          </w:rPr>
          <w:fldChar w:fldCharType="begin"/>
        </w:r>
        <w:r w:rsidR="00CE3BC2">
          <w:rPr>
            <w:noProof/>
            <w:webHidden/>
          </w:rPr>
          <w:instrText xml:space="preserve"> PAGEREF _Toc71748056 \h </w:instrText>
        </w:r>
        <w:r w:rsidR="00CE3BC2">
          <w:rPr>
            <w:noProof/>
            <w:webHidden/>
          </w:rPr>
        </w:r>
        <w:r w:rsidR="00CE3BC2">
          <w:rPr>
            <w:noProof/>
            <w:webHidden/>
          </w:rPr>
          <w:fldChar w:fldCharType="separate"/>
        </w:r>
        <w:r w:rsidR="00CE3BC2">
          <w:rPr>
            <w:noProof/>
            <w:webHidden/>
          </w:rPr>
          <w:t>5</w:t>
        </w:r>
        <w:r w:rsidR="00CE3BC2">
          <w:rPr>
            <w:noProof/>
            <w:webHidden/>
          </w:rPr>
          <w:fldChar w:fldCharType="end"/>
        </w:r>
      </w:hyperlink>
    </w:p>
    <w:p w:rsidR="00CE3BC2" w:rsidRDefault="004F2C94">
      <w:pPr>
        <w:pStyle w:val="10"/>
        <w:rPr>
          <w:rFonts w:asciiTheme="minorHAnsi" w:eastAsiaTheme="minorEastAsia" w:hAnsiTheme="minorHAnsi" w:cstheme="minorBidi"/>
          <w:noProof/>
          <w:szCs w:val="22"/>
        </w:rPr>
      </w:pPr>
      <w:hyperlink w:anchor="_Toc71748057" w:history="1">
        <w:r w:rsidR="00CE3BC2" w:rsidRPr="006A4E51">
          <w:rPr>
            <w:rStyle w:val="af2"/>
            <w:rFonts w:hint="eastAsia"/>
            <w:noProof/>
          </w:rPr>
          <w:t>三、基金管理人</w:t>
        </w:r>
        <w:r w:rsidR="00CE3BC2">
          <w:rPr>
            <w:noProof/>
            <w:webHidden/>
          </w:rPr>
          <w:tab/>
        </w:r>
        <w:r w:rsidR="00CE3BC2">
          <w:rPr>
            <w:noProof/>
            <w:webHidden/>
          </w:rPr>
          <w:fldChar w:fldCharType="begin"/>
        </w:r>
        <w:r w:rsidR="00CE3BC2">
          <w:rPr>
            <w:noProof/>
            <w:webHidden/>
          </w:rPr>
          <w:instrText xml:space="preserve"> PAGEREF _Toc71748057 \h </w:instrText>
        </w:r>
        <w:r w:rsidR="00CE3BC2">
          <w:rPr>
            <w:noProof/>
            <w:webHidden/>
          </w:rPr>
        </w:r>
        <w:r w:rsidR="00CE3BC2">
          <w:rPr>
            <w:noProof/>
            <w:webHidden/>
          </w:rPr>
          <w:fldChar w:fldCharType="separate"/>
        </w:r>
        <w:r w:rsidR="00CE3BC2">
          <w:rPr>
            <w:noProof/>
            <w:webHidden/>
          </w:rPr>
          <w:t>10</w:t>
        </w:r>
        <w:r w:rsidR="00CE3BC2">
          <w:rPr>
            <w:noProof/>
            <w:webHidden/>
          </w:rPr>
          <w:fldChar w:fldCharType="end"/>
        </w:r>
      </w:hyperlink>
    </w:p>
    <w:p w:rsidR="00CE3BC2" w:rsidRDefault="004F2C94">
      <w:pPr>
        <w:pStyle w:val="10"/>
        <w:rPr>
          <w:rFonts w:asciiTheme="minorHAnsi" w:eastAsiaTheme="minorEastAsia" w:hAnsiTheme="minorHAnsi" w:cstheme="minorBidi"/>
          <w:noProof/>
          <w:szCs w:val="22"/>
        </w:rPr>
      </w:pPr>
      <w:hyperlink w:anchor="_Toc71748058" w:history="1">
        <w:r w:rsidR="00CE3BC2" w:rsidRPr="006A4E51">
          <w:rPr>
            <w:rStyle w:val="af2"/>
            <w:rFonts w:hAnsi="宋体" w:hint="eastAsia"/>
            <w:bCs/>
            <w:noProof/>
            <w:kern w:val="44"/>
          </w:rPr>
          <w:t>四、基金托管人</w:t>
        </w:r>
        <w:r w:rsidR="00CE3BC2">
          <w:rPr>
            <w:noProof/>
            <w:webHidden/>
          </w:rPr>
          <w:tab/>
        </w:r>
        <w:r w:rsidR="00CE3BC2">
          <w:rPr>
            <w:noProof/>
            <w:webHidden/>
          </w:rPr>
          <w:fldChar w:fldCharType="begin"/>
        </w:r>
        <w:r w:rsidR="00CE3BC2">
          <w:rPr>
            <w:noProof/>
            <w:webHidden/>
          </w:rPr>
          <w:instrText xml:space="preserve"> PAGEREF _Toc71748058 \h </w:instrText>
        </w:r>
        <w:r w:rsidR="00CE3BC2">
          <w:rPr>
            <w:noProof/>
            <w:webHidden/>
          </w:rPr>
        </w:r>
        <w:r w:rsidR="00CE3BC2">
          <w:rPr>
            <w:noProof/>
            <w:webHidden/>
          </w:rPr>
          <w:fldChar w:fldCharType="separate"/>
        </w:r>
        <w:r w:rsidR="00CE3BC2">
          <w:rPr>
            <w:noProof/>
            <w:webHidden/>
          </w:rPr>
          <w:t>20</w:t>
        </w:r>
        <w:r w:rsidR="00CE3BC2">
          <w:rPr>
            <w:noProof/>
            <w:webHidden/>
          </w:rPr>
          <w:fldChar w:fldCharType="end"/>
        </w:r>
      </w:hyperlink>
    </w:p>
    <w:p w:rsidR="00CE3BC2" w:rsidRDefault="004F2C94">
      <w:pPr>
        <w:pStyle w:val="10"/>
        <w:rPr>
          <w:rFonts w:asciiTheme="minorHAnsi" w:eastAsiaTheme="minorEastAsia" w:hAnsiTheme="minorHAnsi" w:cstheme="minorBidi"/>
          <w:noProof/>
          <w:szCs w:val="22"/>
        </w:rPr>
      </w:pPr>
      <w:hyperlink w:anchor="_Toc71748063" w:history="1">
        <w:r w:rsidR="00CE3BC2" w:rsidRPr="006A4E51">
          <w:rPr>
            <w:rStyle w:val="af2"/>
            <w:rFonts w:hAnsi="宋体" w:hint="eastAsia"/>
            <w:bCs/>
            <w:noProof/>
            <w:kern w:val="44"/>
          </w:rPr>
          <w:t>五、相关服务机构</w:t>
        </w:r>
        <w:r w:rsidR="00CE3BC2">
          <w:rPr>
            <w:noProof/>
            <w:webHidden/>
          </w:rPr>
          <w:tab/>
        </w:r>
        <w:r w:rsidR="00CE3BC2">
          <w:rPr>
            <w:noProof/>
            <w:webHidden/>
          </w:rPr>
          <w:fldChar w:fldCharType="begin"/>
        </w:r>
        <w:r w:rsidR="00CE3BC2">
          <w:rPr>
            <w:noProof/>
            <w:webHidden/>
          </w:rPr>
          <w:instrText xml:space="preserve"> PAGEREF _Toc71748063 \h </w:instrText>
        </w:r>
        <w:r w:rsidR="00CE3BC2">
          <w:rPr>
            <w:noProof/>
            <w:webHidden/>
          </w:rPr>
        </w:r>
        <w:r w:rsidR="00CE3BC2">
          <w:rPr>
            <w:noProof/>
            <w:webHidden/>
          </w:rPr>
          <w:fldChar w:fldCharType="separate"/>
        </w:r>
        <w:r w:rsidR="00CE3BC2">
          <w:rPr>
            <w:noProof/>
            <w:webHidden/>
          </w:rPr>
          <w:t>22</w:t>
        </w:r>
        <w:r w:rsidR="00CE3BC2">
          <w:rPr>
            <w:noProof/>
            <w:webHidden/>
          </w:rPr>
          <w:fldChar w:fldCharType="end"/>
        </w:r>
      </w:hyperlink>
    </w:p>
    <w:p w:rsidR="00CE3BC2" w:rsidRDefault="004F2C94">
      <w:pPr>
        <w:pStyle w:val="10"/>
        <w:rPr>
          <w:rFonts w:asciiTheme="minorHAnsi" w:eastAsiaTheme="minorEastAsia" w:hAnsiTheme="minorHAnsi" w:cstheme="minorBidi"/>
          <w:noProof/>
          <w:szCs w:val="22"/>
        </w:rPr>
      </w:pPr>
      <w:hyperlink w:anchor="_Toc71748064" w:history="1">
        <w:r w:rsidR="00CE3BC2" w:rsidRPr="006A4E51">
          <w:rPr>
            <w:rStyle w:val="af2"/>
            <w:rFonts w:hAnsi="宋体" w:hint="eastAsia"/>
            <w:bCs/>
            <w:noProof/>
            <w:kern w:val="44"/>
          </w:rPr>
          <w:t>六、基金的募集</w:t>
        </w:r>
        <w:r w:rsidR="00CE3BC2">
          <w:rPr>
            <w:noProof/>
            <w:webHidden/>
          </w:rPr>
          <w:tab/>
        </w:r>
        <w:r w:rsidR="00CE3BC2">
          <w:rPr>
            <w:noProof/>
            <w:webHidden/>
          </w:rPr>
          <w:fldChar w:fldCharType="begin"/>
        </w:r>
        <w:r w:rsidR="00CE3BC2">
          <w:rPr>
            <w:noProof/>
            <w:webHidden/>
          </w:rPr>
          <w:instrText xml:space="preserve"> PAGEREF _Toc71748064 \h </w:instrText>
        </w:r>
        <w:r w:rsidR="00CE3BC2">
          <w:rPr>
            <w:noProof/>
            <w:webHidden/>
          </w:rPr>
        </w:r>
        <w:r w:rsidR="00CE3BC2">
          <w:rPr>
            <w:noProof/>
            <w:webHidden/>
          </w:rPr>
          <w:fldChar w:fldCharType="separate"/>
        </w:r>
        <w:r w:rsidR="00CE3BC2">
          <w:rPr>
            <w:noProof/>
            <w:webHidden/>
          </w:rPr>
          <w:t>25</w:t>
        </w:r>
        <w:r w:rsidR="00CE3BC2">
          <w:rPr>
            <w:noProof/>
            <w:webHidden/>
          </w:rPr>
          <w:fldChar w:fldCharType="end"/>
        </w:r>
      </w:hyperlink>
    </w:p>
    <w:p w:rsidR="00CE3BC2" w:rsidRDefault="004F2C94">
      <w:pPr>
        <w:pStyle w:val="10"/>
        <w:rPr>
          <w:rFonts w:asciiTheme="minorHAnsi" w:eastAsiaTheme="minorEastAsia" w:hAnsiTheme="minorHAnsi" w:cstheme="minorBidi"/>
          <w:noProof/>
          <w:szCs w:val="22"/>
        </w:rPr>
      </w:pPr>
      <w:hyperlink w:anchor="_Toc71748065" w:history="1">
        <w:r w:rsidR="00CE3BC2" w:rsidRPr="006A4E51">
          <w:rPr>
            <w:rStyle w:val="af2"/>
            <w:rFonts w:hAnsi="宋体" w:hint="eastAsia"/>
            <w:bCs/>
            <w:noProof/>
            <w:kern w:val="44"/>
          </w:rPr>
          <w:t>七、基金合同的生效</w:t>
        </w:r>
        <w:r w:rsidR="00CE3BC2">
          <w:rPr>
            <w:noProof/>
            <w:webHidden/>
          </w:rPr>
          <w:tab/>
        </w:r>
        <w:r w:rsidR="00CE3BC2">
          <w:rPr>
            <w:noProof/>
            <w:webHidden/>
          </w:rPr>
          <w:fldChar w:fldCharType="begin"/>
        </w:r>
        <w:r w:rsidR="00CE3BC2">
          <w:rPr>
            <w:noProof/>
            <w:webHidden/>
          </w:rPr>
          <w:instrText xml:space="preserve"> PAGEREF _Toc71748065 \h </w:instrText>
        </w:r>
        <w:r w:rsidR="00CE3BC2">
          <w:rPr>
            <w:noProof/>
            <w:webHidden/>
          </w:rPr>
        </w:r>
        <w:r w:rsidR="00CE3BC2">
          <w:rPr>
            <w:noProof/>
            <w:webHidden/>
          </w:rPr>
          <w:fldChar w:fldCharType="separate"/>
        </w:r>
        <w:r w:rsidR="00CE3BC2">
          <w:rPr>
            <w:noProof/>
            <w:webHidden/>
          </w:rPr>
          <w:t>29</w:t>
        </w:r>
        <w:r w:rsidR="00CE3BC2">
          <w:rPr>
            <w:noProof/>
            <w:webHidden/>
          </w:rPr>
          <w:fldChar w:fldCharType="end"/>
        </w:r>
      </w:hyperlink>
    </w:p>
    <w:p w:rsidR="00CE3BC2" w:rsidRDefault="004F2C94">
      <w:pPr>
        <w:pStyle w:val="10"/>
        <w:rPr>
          <w:rFonts w:asciiTheme="minorHAnsi" w:eastAsiaTheme="minorEastAsia" w:hAnsiTheme="minorHAnsi" w:cstheme="minorBidi"/>
          <w:noProof/>
          <w:szCs w:val="22"/>
        </w:rPr>
      </w:pPr>
      <w:hyperlink w:anchor="_Toc71748066" w:history="1">
        <w:r w:rsidR="00CE3BC2" w:rsidRPr="006A4E51">
          <w:rPr>
            <w:rStyle w:val="af2"/>
            <w:rFonts w:hAnsi="宋体" w:hint="eastAsia"/>
            <w:bCs/>
            <w:noProof/>
            <w:kern w:val="44"/>
          </w:rPr>
          <w:t>八、基金份额的申购与赎回</w:t>
        </w:r>
        <w:r w:rsidR="00CE3BC2">
          <w:rPr>
            <w:noProof/>
            <w:webHidden/>
          </w:rPr>
          <w:tab/>
        </w:r>
        <w:r w:rsidR="00CE3BC2">
          <w:rPr>
            <w:noProof/>
            <w:webHidden/>
          </w:rPr>
          <w:fldChar w:fldCharType="begin"/>
        </w:r>
        <w:r w:rsidR="00CE3BC2">
          <w:rPr>
            <w:noProof/>
            <w:webHidden/>
          </w:rPr>
          <w:instrText xml:space="preserve"> PAGEREF _Toc71748066 \h </w:instrText>
        </w:r>
        <w:r w:rsidR="00CE3BC2">
          <w:rPr>
            <w:noProof/>
            <w:webHidden/>
          </w:rPr>
        </w:r>
        <w:r w:rsidR="00CE3BC2">
          <w:rPr>
            <w:noProof/>
            <w:webHidden/>
          </w:rPr>
          <w:fldChar w:fldCharType="separate"/>
        </w:r>
        <w:r w:rsidR="00CE3BC2">
          <w:rPr>
            <w:noProof/>
            <w:webHidden/>
          </w:rPr>
          <w:t>30</w:t>
        </w:r>
        <w:r w:rsidR="00CE3BC2">
          <w:rPr>
            <w:noProof/>
            <w:webHidden/>
          </w:rPr>
          <w:fldChar w:fldCharType="end"/>
        </w:r>
      </w:hyperlink>
    </w:p>
    <w:p w:rsidR="00CE3BC2" w:rsidRDefault="004F2C94">
      <w:pPr>
        <w:pStyle w:val="10"/>
        <w:rPr>
          <w:rFonts w:asciiTheme="minorHAnsi" w:eastAsiaTheme="minorEastAsia" w:hAnsiTheme="minorHAnsi" w:cstheme="minorBidi"/>
          <w:noProof/>
          <w:szCs w:val="22"/>
        </w:rPr>
      </w:pPr>
      <w:hyperlink w:anchor="_Toc71748067" w:history="1">
        <w:r w:rsidR="00CE3BC2" w:rsidRPr="006A4E51">
          <w:rPr>
            <w:rStyle w:val="af2"/>
            <w:rFonts w:hAnsi="宋体" w:hint="eastAsia"/>
            <w:bCs/>
            <w:noProof/>
            <w:kern w:val="44"/>
          </w:rPr>
          <w:t>九、基金的投资</w:t>
        </w:r>
        <w:r w:rsidR="00CE3BC2">
          <w:rPr>
            <w:noProof/>
            <w:webHidden/>
          </w:rPr>
          <w:tab/>
        </w:r>
        <w:r w:rsidR="00CE3BC2">
          <w:rPr>
            <w:noProof/>
            <w:webHidden/>
          </w:rPr>
          <w:fldChar w:fldCharType="begin"/>
        </w:r>
        <w:r w:rsidR="00CE3BC2">
          <w:rPr>
            <w:noProof/>
            <w:webHidden/>
          </w:rPr>
          <w:instrText xml:space="preserve"> PAGEREF _Toc71748067 \h </w:instrText>
        </w:r>
        <w:r w:rsidR="00CE3BC2">
          <w:rPr>
            <w:noProof/>
            <w:webHidden/>
          </w:rPr>
        </w:r>
        <w:r w:rsidR="00CE3BC2">
          <w:rPr>
            <w:noProof/>
            <w:webHidden/>
          </w:rPr>
          <w:fldChar w:fldCharType="separate"/>
        </w:r>
        <w:r w:rsidR="00CE3BC2">
          <w:rPr>
            <w:noProof/>
            <w:webHidden/>
          </w:rPr>
          <w:t>41</w:t>
        </w:r>
        <w:r w:rsidR="00CE3BC2">
          <w:rPr>
            <w:noProof/>
            <w:webHidden/>
          </w:rPr>
          <w:fldChar w:fldCharType="end"/>
        </w:r>
      </w:hyperlink>
    </w:p>
    <w:p w:rsidR="00CE3BC2" w:rsidRDefault="004F2C94">
      <w:pPr>
        <w:pStyle w:val="10"/>
        <w:rPr>
          <w:rFonts w:asciiTheme="minorHAnsi" w:eastAsiaTheme="minorEastAsia" w:hAnsiTheme="minorHAnsi" w:cstheme="minorBidi"/>
          <w:noProof/>
          <w:szCs w:val="22"/>
        </w:rPr>
      </w:pPr>
      <w:hyperlink w:anchor="_Toc71748068" w:history="1">
        <w:r w:rsidR="00CE3BC2" w:rsidRPr="006A4E51">
          <w:rPr>
            <w:rStyle w:val="af2"/>
            <w:rFonts w:hAnsi="宋体" w:hint="eastAsia"/>
            <w:bCs/>
            <w:noProof/>
            <w:kern w:val="44"/>
          </w:rPr>
          <w:t>十、基金的财产</w:t>
        </w:r>
        <w:r w:rsidR="00CE3BC2">
          <w:rPr>
            <w:noProof/>
            <w:webHidden/>
          </w:rPr>
          <w:tab/>
        </w:r>
        <w:r w:rsidR="00CE3BC2">
          <w:rPr>
            <w:noProof/>
            <w:webHidden/>
          </w:rPr>
          <w:fldChar w:fldCharType="begin"/>
        </w:r>
        <w:r w:rsidR="00CE3BC2">
          <w:rPr>
            <w:noProof/>
            <w:webHidden/>
          </w:rPr>
          <w:instrText xml:space="preserve"> PAGEREF _Toc71748068 \h </w:instrText>
        </w:r>
        <w:r w:rsidR="00CE3BC2">
          <w:rPr>
            <w:noProof/>
            <w:webHidden/>
          </w:rPr>
        </w:r>
        <w:r w:rsidR="00CE3BC2">
          <w:rPr>
            <w:noProof/>
            <w:webHidden/>
          </w:rPr>
          <w:fldChar w:fldCharType="separate"/>
        </w:r>
        <w:r w:rsidR="00CE3BC2">
          <w:rPr>
            <w:noProof/>
            <w:webHidden/>
          </w:rPr>
          <w:t>51</w:t>
        </w:r>
        <w:r w:rsidR="00CE3BC2">
          <w:rPr>
            <w:noProof/>
            <w:webHidden/>
          </w:rPr>
          <w:fldChar w:fldCharType="end"/>
        </w:r>
      </w:hyperlink>
    </w:p>
    <w:p w:rsidR="00CE3BC2" w:rsidRDefault="004F2C94">
      <w:pPr>
        <w:pStyle w:val="10"/>
        <w:rPr>
          <w:rFonts w:asciiTheme="minorHAnsi" w:eastAsiaTheme="minorEastAsia" w:hAnsiTheme="minorHAnsi" w:cstheme="minorBidi"/>
          <w:noProof/>
          <w:szCs w:val="22"/>
        </w:rPr>
      </w:pPr>
      <w:hyperlink w:anchor="_Toc71748069" w:history="1">
        <w:r w:rsidR="00CE3BC2" w:rsidRPr="006A4E51">
          <w:rPr>
            <w:rStyle w:val="af2"/>
            <w:rFonts w:hAnsi="宋体" w:hint="eastAsia"/>
            <w:bCs/>
            <w:noProof/>
            <w:kern w:val="44"/>
          </w:rPr>
          <w:t>十一、基金资产的估值</w:t>
        </w:r>
        <w:r w:rsidR="00CE3BC2">
          <w:rPr>
            <w:noProof/>
            <w:webHidden/>
          </w:rPr>
          <w:tab/>
        </w:r>
        <w:r w:rsidR="00CE3BC2">
          <w:rPr>
            <w:noProof/>
            <w:webHidden/>
          </w:rPr>
          <w:fldChar w:fldCharType="begin"/>
        </w:r>
        <w:r w:rsidR="00CE3BC2">
          <w:rPr>
            <w:noProof/>
            <w:webHidden/>
          </w:rPr>
          <w:instrText xml:space="preserve"> PAGEREF _Toc71748069 \h </w:instrText>
        </w:r>
        <w:r w:rsidR="00CE3BC2">
          <w:rPr>
            <w:noProof/>
            <w:webHidden/>
          </w:rPr>
        </w:r>
        <w:r w:rsidR="00CE3BC2">
          <w:rPr>
            <w:noProof/>
            <w:webHidden/>
          </w:rPr>
          <w:fldChar w:fldCharType="separate"/>
        </w:r>
        <w:r w:rsidR="00CE3BC2">
          <w:rPr>
            <w:noProof/>
            <w:webHidden/>
          </w:rPr>
          <w:t>52</w:t>
        </w:r>
        <w:r w:rsidR="00CE3BC2">
          <w:rPr>
            <w:noProof/>
            <w:webHidden/>
          </w:rPr>
          <w:fldChar w:fldCharType="end"/>
        </w:r>
      </w:hyperlink>
    </w:p>
    <w:p w:rsidR="00CE3BC2" w:rsidRDefault="004F2C94">
      <w:pPr>
        <w:pStyle w:val="10"/>
        <w:rPr>
          <w:rFonts w:asciiTheme="minorHAnsi" w:eastAsiaTheme="minorEastAsia" w:hAnsiTheme="minorHAnsi" w:cstheme="minorBidi"/>
          <w:noProof/>
          <w:szCs w:val="22"/>
        </w:rPr>
      </w:pPr>
      <w:hyperlink w:anchor="_Toc71748070" w:history="1">
        <w:r w:rsidR="00CE3BC2" w:rsidRPr="006A4E51">
          <w:rPr>
            <w:rStyle w:val="af2"/>
            <w:rFonts w:hAnsi="宋体" w:hint="eastAsia"/>
            <w:bCs/>
            <w:noProof/>
            <w:kern w:val="44"/>
          </w:rPr>
          <w:t>十二、基金的收益与分配</w:t>
        </w:r>
        <w:r w:rsidR="00CE3BC2">
          <w:rPr>
            <w:noProof/>
            <w:webHidden/>
          </w:rPr>
          <w:tab/>
        </w:r>
        <w:r w:rsidR="00CE3BC2">
          <w:rPr>
            <w:noProof/>
            <w:webHidden/>
          </w:rPr>
          <w:fldChar w:fldCharType="begin"/>
        </w:r>
        <w:r w:rsidR="00CE3BC2">
          <w:rPr>
            <w:noProof/>
            <w:webHidden/>
          </w:rPr>
          <w:instrText xml:space="preserve"> PAGEREF _Toc71748070 \h </w:instrText>
        </w:r>
        <w:r w:rsidR="00CE3BC2">
          <w:rPr>
            <w:noProof/>
            <w:webHidden/>
          </w:rPr>
        </w:r>
        <w:r w:rsidR="00CE3BC2">
          <w:rPr>
            <w:noProof/>
            <w:webHidden/>
          </w:rPr>
          <w:fldChar w:fldCharType="separate"/>
        </w:r>
        <w:r w:rsidR="00CE3BC2">
          <w:rPr>
            <w:noProof/>
            <w:webHidden/>
          </w:rPr>
          <w:t>58</w:t>
        </w:r>
        <w:r w:rsidR="00CE3BC2">
          <w:rPr>
            <w:noProof/>
            <w:webHidden/>
          </w:rPr>
          <w:fldChar w:fldCharType="end"/>
        </w:r>
      </w:hyperlink>
    </w:p>
    <w:p w:rsidR="00CE3BC2" w:rsidRDefault="004F2C94">
      <w:pPr>
        <w:pStyle w:val="10"/>
        <w:rPr>
          <w:rFonts w:asciiTheme="minorHAnsi" w:eastAsiaTheme="minorEastAsia" w:hAnsiTheme="minorHAnsi" w:cstheme="minorBidi"/>
          <w:noProof/>
          <w:szCs w:val="22"/>
        </w:rPr>
      </w:pPr>
      <w:hyperlink w:anchor="_Toc71748071" w:history="1">
        <w:r w:rsidR="00CE3BC2" w:rsidRPr="006A4E51">
          <w:rPr>
            <w:rStyle w:val="af2"/>
            <w:rFonts w:hAnsi="宋体" w:hint="eastAsia"/>
            <w:bCs/>
            <w:noProof/>
            <w:kern w:val="44"/>
          </w:rPr>
          <w:t>十三、基金的费用与税收</w:t>
        </w:r>
        <w:r w:rsidR="00CE3BC2">
          <w:rPr>
            <w:noProof/>
            <w:webHidden/>
          </w:rPr>
          <w:tab/>
        </w:r>
        <w:r w:rsidR="00CE3BC2">
          <w:rPr>
            <w:noProof/>
            <w:webHidden/>
          </w:rPr>
          <w:fldChar w:fldCharType="begin"/>
        </w:r>
        <w:r w:rsidR="00CE3BC2">
          <w:rPr>
            <w:noProof/>
            <w:webHidden/>
          </w:rPr>
          <w:instrText xml:space="preserve"> PAGEREF _Toc71748071 \h </w:instrText>
        </w:r>
        <w:r w:rsidR="00CE3BC2">
          <w:rPr>
            <w:noProof/>
            <w:webHidden/>
          </w:rPr>
        </w:r>
        <w:r w:rsidR="00CE3BC2">
          <w:rPr>
            <w:noProof/>
            <w:webHidden/>
          </w:rPr>
          <w:fldChar w:fldCharType="separate"/>
        </w:r>
        <w:r w:rsidR="00CE3BC2">
          <w:rPr>
            <w:noProof/>
            <w:webHidden/>
          </w:rPr>
          <w:t>60</w:t>
        </w:r>
        <w:r w:rsidR="00CE3BC2">
          <w:rPr>
            <w:noProof/>
            <w:webHidden/>
          </w:rPr>
          <w:fldChar w:fldCharType="end"/>
        </w:r>
      </w:hyperlink>
    </w:p>
    <w:p w:rsidR="00CE3BC2" w:rsidRDefault="004F2C94">
      <w:pPr>
        <w:pStyle w:val="10"/>
        <w:rPr>
          <w:rFonts w:asciiTheme="minorHAnsi" w:eastAsiaTheme="minorEastAsia" w:hAnsiTheme="minorHAnsi" w:cstheme="minorBidi"/>
          <w:noProof/>
          <w:szCs w:val="22"/>
        </w:rPr>
      </w:pPr>
      <w:hyperlink w:anchor="_Toc71748072" w:history="1">
        <w:r w:rsidR="00CE3BC2" w:rsidRPr="006A4E51">
          <w:rPr>
            <w:rStyle w:val="af2"/>
            <w:rFonts w:hAnsi="宋体" w:hint="eastAsia"/>
            <w:bCs/>
            <w:noProof/>
            <w:kern w:val="44"/>
          </w:rPr>
          <w:t>十四、基金的会计与审计</w:t>
        </w:r>
        <w:r w:rsidR="00CE3BC2">
          <w:rPr>
            <w:noProof/>
            <w:webHidden/>
          </w:rPr>
          <w:tab/>
        </w:r>
        <w:r w:rsidR="00CE3BC2">
          <w:rPr>
            <w:noProof/>
            <w:webHidden/>
          </w:rPr>
          <w:fldChar w:fldCharType="begin"/>
        </w:r>
        <w:r w:rsidR="00CE3BC2">
          <w:rPr>
            <w:noProof/>
            <w:webHidden/>
          </w:rPr>
          <w:instrText xml:space="preserve"> PAGEREF _Toc71748072 \h </w:instrText>
        </w:r>
        <w:r w:rsidR="00CE3BC2">
          <w:rPr>
            <w:noProof/>
            <w:webHidden/>
          </w:rPr>
        </w:r>
        <w:r w:rsidR="00CE3BC2">
          <w:rPr>
            <w:noProof/>
            <w:webHidden/>
          </w:rPr>
          <w:fldChar w:fldCharType="separate"/>
        </w:r>
        <w:r w:rsidR="00CE3BC2">
          <w:rPr>
            <w:noProof/>
            <w:webHidden/>
          </w:rPr>
          <w:t>63</w:t>
        </w:r>
        <w:r w:rsidR="00CE3BC2">
          <w:rPr>
            <w:noProof/>
            <w:webHidden/>
          </w:rPr>
          <w:fldChar w:fldCharType="end"/>
        </w:r>
      </w:hyperlink>
    </w:p>
    <w:p w:rsidR="00CE3BC2" w:rsidRDefault="004F2C94">
      <w:pPr>
        <w:pStyle w:val="10"/>
        <w:rPr>
          <w:rFonts w:asciiTheme="minorHAnsi" w:eastAsiaTheme="minorEastAsia" w:hAnsiTheme="minorHAnsi" w:cstheme="minorBidi"/>
          <w:noProof/>
          <w:szCs w:val="22"/>
        </w:rPr>
      </w:pPr>
      <w:hyperlink w:anchor="_Toc71748073" w:history="1">
        <w:r w:rsidR="00CE3BC2" w:rsidRPr="006A4E51">
          <w:rPr>
            <w:rStyle w:val="af2"/>
            <w:rFonts w:hAnsi="宋体" w:hint="eastAsia"/>
            <w:bCs/>
            <w:noProof/>
            <w:kern w:val="44"/>
          </w:rPr>
          <w:t>十五、基金的信息披露</w:t>
        </w:r>
        <w:r w:rsidR="00CE3BC2">
          <w:rPr>
            <w:noProof/>
            <w:webHidden/>
          </w:rPr>
          <w:tab/>
        </w:r>
        <w:r w:rsidR="00CE3BC2">
          <w:rPr>
            <w:noProof/>
            <w:webHidden/>
          </w:rPr>
          <w:fldChar w:fldCharType="begin"/>
        </w:r>
        <w:r w:rsidR="00CE3BC2">
          <w:rPr>
            <w:noProof/>
            <w:webHidden/>
          </w:rPr>
          <w:instrText xml:space="preserve"> PAGEREF _Toc71748073 \h </w:instrText>
        </w:r>
        <w:r w:rsidR="00CE3BC2">
          <w:rPr>
            <w:noProof/>
            <w:webHidden/>
          </w:rPr>
        </w:r>
        <w:r w:rsidR="00CE3BC2">
          <w:rPr>
            <w:noProof/>
            <w:webHidden/>
          </w:rPr>
          <w:fldChar w:fldCharType="separate"/>
        </w:r>
        <w:r w:rsidR="00CE3BC2">
          <w:rPr>
            <w:noProof/>
            <w:webHidden/>
          </w:rPr>
          <w:t>64</w:t>
        </w:r>
        <w:r w:rsidR="00CE3BC2">
          <w:rPr>
            <w:noProof/>
            <w:webHidden/>
          </w:rPr>
          <w:fldChar w:fldCharType="end"/>
        </w:r>
      </w:hyperlink>
    </w:p>
    <w:p w:rsidR="00CE3BC2" w:rsidRDefault="004F2C94">
      <w:pPr>
        <w:pStyle w:val="10"/>
        <w:rPr>
          <w:rFonts w:asciiTheme="minorHAnsi" w:eastAsiaTheme="minorEastAsia" w:hAnsiTheme="minorHAnsi" w:cstheme="minorBidi"/>
          <w:noProof/>
          <w:szCs w:val="22"/>
        </w:rPr>
      </w:pPr>
      <w:hyperlink w:anchor="_Toc71748074" w:history="1">
        <w:r w:rsidR="00CE3BC2" w:rsidRPr="006A4E51">
          <w:rPr>
            <w:rStyle w:val="af2"/>
            <w:rFonts w:hAnsi="宋体" w:hint="eastAsia"/>
            <w:bCs/>
            <w:noProof/>
            <w:kern w:val="44"/>
          </w:rPr>
          <w:t>十六、侧袋机制</w:t>
        </w:r>
        <w:r w:rsidR="00CE3BC2">
          <w:rPr>
            <w:noProof/>
            <w:webHidden/>
          </w:rPr>
          <w:tab/>
        </w:r>
        <w:r w:rsidR="00CE3BC2">
          <w:rPr>
            <w:noProof/>
            <w:webHidden/>
          </w:rPr>
          <w:fldChar w:fldCharType="begin"/>
        </w:r>
        <w:r w:rsidR="00CE3BC2">
          <w:rPr>
            <w:noProof/>
            <w:webHidden/>
          </w:rPr>
          <w:instrText xml:space="preserve"> PAGEREF _Toc71748074 \h </w:instrText>
        </w:r>
        <w:r w:rsidR="00CE3BC2">
          <w:rPr>
            <w:noProof/>
            <w:webHidden/>
          </w:rPr>
        </w:r>
        <w:r w:rsidR="00CE3BC2">
          <w:rPr>
            <w:noProof/>
            <w:webHidden/>
          </w:rPr>
          <w:fldChar w:fldCharType="separate"/>
        </w:r>
        <w:r w:rsidR="00CE3BC2">
          <w:rPr>
            <w:noProof/>
            <w:webHidden/>
          </w:rPr>
          <w:t>71</w:t>
        </w:r>
        <w:r w:rsidR="00CE3BC2">
          <w:rPr>
            <w:noProof/>
            <w:webHidden/>
          </w:rPr>
          <w:fldChar w:fldCharType="end"/>
        </w:r>
      </w:hyperlink>
    </w:p>
    <w:p w:rsidR="00CE3BC2" w:rsidRDefault="004F2C94">
      <w:pPr>
        <w:pStyle w:val="10"/>
        <w:rPr>
          <w:rFonts w:asciiTheme="minorHAnsi" w:eastAsiaTheme="minorEastAsia" w:hAnsiTheme="minorHAnsi" w:cstheme="minorBidi"/>
          <w:noProof/>
          <w:szCs w:val="22"/>
        </w:rPr>
      </w:pPr>
      <w:hyperlink w:anchor="_Toc71748075" w:history="1">
        <w:r w:rsidR="00CE3BC2" w:rsidRPr="006A4E51">
          <w:rPr>
            <w:rStyle w:val="af2"/>
            <w:rFonts w:hAnsi="宋体" w:hint="eastAsia"/>
            <w:bCs/>
            <w:noProof/>
            <w:kern w:val="44"/>
          </w:rPr>
          <w:t>十七、风险揭示</w:t>
        </w:r>
        <w:r w:rsidR="00CE3BC2">
          <w:rPr>
            <w:noProof/>
            <w:webHidden/>
          </w:rPr>
          <w:tab/>
        </w:r>
        <w:r w:rsidR="00CE3BC2">
          <w:rPr>
            <w:noProof/>
            <w:webHidden/>
          </w:rPr>
          <w:fldChar w:fldCharType="begin"/>
        </w:r>
        <w:r w:rsidR="00CE3BC2">
          <w:rPr>
            <w:noProof/>
            <w:webHidden/>
          </w:rPr>
          <w:instrText xml:space="preserve"> PAGEREF _Toc71748075 \h </w:instrText>
        </w:r>
        <w:r w:rsidR="00CE3BC2">
          <w:rPr>
            <w:noProof/>
            <w:webHidden/>
          </w:rPr>
        </w:r>
        <w:r w:rsidR="00CE3BC2">
          <w:rPr>
            <w:noProof/>
            <w:webHidden/>
          </w:rPr>
          <w:fldChar w:fldCharType="separate"/>
        </w:r>
        <w:r w:rsidR="00CE3BC2">
          <w:rPr>
            <w:noProof/>
            <w:webHidden/>
          </w:rPr>
          <w:t>73</w:t>
        </w:r>
        <w:r w:rsidR="00CE3BC2">
          <w:rPr>
            <w:noProof/>
            <w:webHidden/>
          </w:rPr>
          <w:fldChar w:fldCharType="end"/>
        </w:r>
      </w:hyperlink>
    </w:p>
    <w:p w:rsidR="00CE3BC2" w:rsidRDefault="004F2C94">
      <w:pPr>
        <w:pStyle w:val="10"/>
        <w:rPr>
          <w:rFonts w:asciiTheme="minorHAnsi" w:eastAsiaTheme="minorEastAsia" w:hAnsiTheme="minorHAnsi" w:cstheme="minorBidi"/>
          <w:noProof/>
          <w:szCs w:val="22"/>
        </w:rPr>
      </w:pPr>
      <w:hyperlink w:anchor="_Toc71748076" w:history="1">
        <w:r w:rsidR="00CE3BC2" w:rsidRPr="006A4E51">
          <w:rPr>
            <w:rStyle w:val="af2"/>
            <w:rFonts w:hAnsi="宋体" w:hint="eastAsia"/>
            <w:bCs/>
            <w:noProof/>
            <w:kern w:val="44"/>
          </w:rPr>
          <w:t>十八、基金合同的变更、终止与基金财产的清算</w:t>
        </w:r>
        <w:r w:rsidR="00CE3BC2">
          <w:rPr>
            <w:noProof/>
            <w:webHidden/>
          </w:rPr>
          <w:tab/>
        </w:r>
        <w:r w:rsidR="00CE3BC2">
          <w:rPr>
            <w:noProof/>
            <w:webHidden/>
          </w:rPr>
          <w:fldChar w:fldCharType="begin"/>
        </w:r>
        <w:r w:rsidR="00CE3BC2">
          <w:rPr>
            <w:noProof/>
            <w:webHidden/>
          </w:rPr>
          <w:instrText xml:space="preserve"> PAGEREF _Toc71748076 \h </w:instrText>
        </w:r>
        <w:r w:rsidR="00CE3BC2">
          <w:rPr>
            <w:noProof/>
            <w:webHidden/>
          </w:rPr>
        </w:r>
        <w:r w:rsidR="00CE3BC2">
          <w:rPr>
            <w:noProof/>
            <w:webHidden/>
          </w:rPr>
          <w:fldChar w:fldCharType="separate"/>
        </w:r>
        <w:r w:rsidR="00CE3BC2">
          <w:rPr>
            <w:noProof/>
            <w:webHidden/>
          </w:rPr>
          <w:t>82</w:t>
        </w:r>
        <w:r w:rsidR="00CE3BC2">
          <w:rPr>
            <w:noProof/>
            <w:webHidden/>
          </w:rPr>
          <w:fldChar w:fldCharType="end"/>
        </w:r>
      </w:hyperlink>
    </w:p>
    <w:p w:rsidR="00CE3BC2" w:rsidRDefault="004F2C94">
      <w:pPr>
        <w:pStyle w:val="10"/>
        <w:rPr>
          <w:rFonts w:asciiTheme="minorHAnsi" w:eastAsiaTheme="minorEastAsia" w:hAnsiTheme="minorHAnsi" w:cstheme="minorBidi"/>
          <w:noProof/>
          <w:szCs w:val="22"/>
        </w:rPr>
      </w:pPr>
      <w:hyperlink w:anchor="_Toc71748077" w:history="1">
        <w:r w:rsidR="00CE3BC2" w:rsidRPr="006A4E51">
          <w:rPr>
            <w:rStyle w:val="af2"/>
            <w:rFonts w:hAnsi="宋体" w:hint="eastAsia"/>
            <w:bCs/>
            <w:noProof/>
            <w:kern w:val="44"/>
          </w:rPr>
          <w:t>十九、基金合同的内容摘要</w:t>
        </w:r>
        <w:r w:rsidR="00CE3BC2">
          <w:rPr>
            <w:noProof/>
            <w:webHidden/>
          </w:rPr>
          <w:tab/>
        </w:r>
        <w:r w:rsidR="00CE3BC2">
          <w:rPr>
            <w:noProof/>
            <w:webHidden/>
          </w:rPr>
          <w:fldChar w:fldCharType="begin"/>
        </w:r>
        <w:r w:rsidR="00CE3BC2">
          <w:rPr>
            <w:noProof/>
            <w:webHidden/>
          </w:rPr>
          <w:instrText xml:space="preserve"> PAGEREF _Toc71748077 \h </w:instrText>
        </w:r>
        <w:r w:rsidR="00CE3BC2">
          <w:rPr>
            <w:noProof/>
            <w:webHidden/>
          </w:rPr>
        </w:r>
        <w:r w:rsidR="00CE3BC2">
          <w:rPr>
            <w:noProof/>
            <w:webHidden/>
          </w:rPr>
          <w:fldChar w:fldCharType="separate"/>
        </w:r>
        <w:r w:rsidR="00CE3BC2">
          <w:rPr>
            <w:noProof/>
            <w:webHidden/>
          </w:rPr>
          <w:t>84</w:t>
        </w:r>
        <w:r w:rsidR="00CE3BC2">
          <w:rPr>
            <w:noProof/>
            <w:webHidden/>
          </w:rPr>
          <w:fldChar w:fldCharType="end"/>
        </w:r>
      </w:hyperlink>
    </w:p>
    <w:p w:rsidR="00CE3BC2" w:rsidRDefault="004F2C94">
      <w:pPr>
        <w:pStyle w:val="10"/>
        <w:rPr>
          <w:rFonts w:asciiTheme="minorHAnsi" w:eastAsiaTheme="minorEastAsia" w:hAnsiTheme="minorHAnsi" w:cstheme="minorBidi"/>
          <w:noProof/>
          <w:szCs w:val="22"/>
        </w:rPr>
      </w:pPr>
      <w:hyperlink w:anchor="_Toc71748078" w:history="1">
        <w:r w:rsidR="00CE3BC2" w:rsidRPr="006A4E51">
          <w:rPr>
            <w:rStyle w:val="af2"/>
            <w:rFonts w:hAnsi="宋体" w:hint="eastAsia"/>
            <w:bCs/>
            <w:noProof/>
            <w:kern w:val="44"/>
          </w:rPr>
          <w:t>二十、基金托管协议的内容摘要</w:t>
        </w:r>
        <w:r w:rsidR="00CE3BC2">
          <w:rPr>
            <w:noProof/>
            <w:webHidden/>
          </w:rPr>
          <w:tab/>
        </w:r>
        <w:r w:rsidR="00CE3BC2">
          <w:rPr>
            <w:noProof/>
            <w:webHidden/>
          </w:rPr>
          <w:fldChar w:fldCharType="begin"/>
        </w:r>
        <w:r w:rsidR="00CE3BC2">
          <w:rPr>
            <w:noProof/>
            <w:webHidden/>
          </w:rPr>
          <w:instrText xml:space="preserve"> PAGEREF _Toc71748078 \h </w:instrText>
        </w:r>
        <w:r w:rsidR="00CE3BC2">
          <w:rPr>
            <w:noProof/>
            <w:webHidden/>
          </w:rPr>
        </w:r>
        <w:r w:rsidR="00CE3BC2">
          <w:rPr>
            <w:noProof/>
            <w:webHidden/>
          </w:rPr>
          <w:fldChar w:fldCharType="separate"/>
        </w:r>
        <w:r w:rsidR="00CE3BC2">
          <w:rPr>
            <w:noProof/>
            <w:webHidden/>
          </w:rPr>
          <w:t>99</w:t>
        </w:r>
        <w:r w:rsidR="00CE3BC2">
          <w:rPr>
            <w:noProof/>
            <w:webHidden/>
          </w:rPr>
          <w:fldChar w:fldCharType="end"/>
        </w:r>
      </w:hyperlink>
    </w:p>
    <w:p w:rsidR="00CE3BC2" w:rsidRDefault="004F2C94">
      <w:pPr>
        <w:pStyle w:val="10"/>
        <w:rPr>
          <w:rFonts w:asciiTheme="minorHAnsi" w:eastAsiaTheme="minorEastAsia" w:hAnsiTheme="minorHAnsi" w:cstheme="minorBidi"/>
          <w:noProof/>
          <w:szCs w:val="22"/>
        </w:rPr>
      </w:pPr>
      <w:hyperlink w:anchor="_Toc71748079" w:history="1">
        <w:r w:rsidR="00CE3BC2" w:rsidRPr="006A4E51">
          <w:rPr>
            <w:rStyle w:val="af2"/>
            <w:rFonts w:hAnsi="宋体" w:hint="eastAsia"/>
            <w:bCs/>
            <w:noProof/>
            <w:kern w:val="44"/>
          </w:rPr>
          <w:t>二十一、对基金份额持有人的服务</w:t>
        </w:r>
        <w:r w:rsidR="00CE3BC2">
          <w:rPr>
            <w:noProof/>
            <w:webHidden/>
          </w:rPr>
          <w:tab/>
        </w:r>
        <w:r w:rsidR="00CE3BC2">
          <w:rPr>
            <w:noProof/>
            <w:webHidden/>
          </w:rPr>
          <w:fldChar w:fldCharType="begin"/>
        </w:r>
        <w:r w:rsidR="00CE3BC2">
          <w:rPr>
            <w:noProof/>
            <w:webHidden/>
          </w:rPr>
          <w:instrText xml:space="preserve"> PAGEREF _Toc71748079 \h </w:instrText>
        </w:r>
        <w:r w:rsidR="00CE3BC2">
          <w:rPr>
            <w:noProof/>
            <w:webHidden/>
          </w:rPr>
        </w:r>
        <w:r w:rsidR="00CE3BC2">
          <w:rPr>
            <w:noProof/>
            <w:webHidden/>
          </w:rPr>
          <w:fldChar w:fldCharType="separate"/>
        </w:r>
        <w:r w:rsidR="00CE3BC2">
          <w:rPr>
            <w:noProof/>
            <w:webHidden/>
          </w:rPr>
          <w:t>110</w:t>
        </w:r>
        <w:r w:rsidR="00CE3BC2">
          <w:rPr>
            <w:noProof/>
            <w:webHidden/>
          </w:rPr>
          <w:fldChar w:fldCharType="end"/>
        </w:r>
      </w:hyperlink>
    </w:p>
    <w:p w:rsidR="00CE3BC2" w:rsidRDefault="004F2C94">
      <w:pPr>
        <w:pStyle w:val="10"/>
        <w:rPr>
          <w:rFonts w:asciiTheme="minorHAnsi" w:eastAsiaTheme="minorEastAsia" w:hAnsiTheme="minorHAnsi" w:cstheme="minorBidi"/>
          <w:noProof/>
          <w:szCs w:val="22"/>
        </w:rPr>
      </w:pPr>
      <w:hyperlink w:anchor="_Toc71748080" w:history="1">
        <w:r w:rsidR="00CE3BC2" w:rsidRPr="006A4E51">
          <w:rPr>
            <w:rStyle w:val="af2"/>
            <w:rFonts w:hAnsi="宋体" w:hint="eastAsia"/>
            <w:bCs/>
            <w:noProof/>
            <w:kern w:val="44"/>
          </w:rPr>
          <w:t>二十二、其他应披露事项</w:t>
        </w:r>
        <w:r w:rsidR="00CE3BC2">
          <w:rPr>
            <w:noProof/>
            <w:webHidden/>
          </w:rPr>
          <w:tab/>
        </w:r>
        <w:r w:rsidR="00CE3BC2">
          <w:rPr>
            <w:noProof/>
            <w:webHidden/>
          </w:rPr>
          <w:fldChar w:fldCharType="begin"/>
        </w:r>
        <w:r w:rsidR="00CE3BC2">
          <w:rPr>
            <w:noProof/>
            <w:webHidden/>
          </w:rPr>
          <w:instrText xml:space="preserve"> PAGEREF _Toc71748080 \h </w:instrText>
        </w:r>
        <w:r w:rsidR="00CE3BC2">
          <w:rPr>
            <w:noProof/>
            <w:webHidden/>
          </w:rPr>
        </w:r>
        <w:r w:rsidR="00CE3BC2">
          <w:rPr>
            <w:noProof/>
            <w:webHidden/>
          </w:rPr>
          <w:fldChar w:fldCharType="separate"/>
        </w:r>
        <w:r w:rsidR="00CE3BC2">
          <w:rPr>
            <w:noProof/>
            <w:webHidden/>
          </w:rPr>
          <w:t>112</w:t>
        </w:r>
        <w:r w:rsidR="00CE3BC2">
          <w:rPr>
            <w:noProof/>
            <w:webHidden/>
          </w:rPr>
          <w:fldChar w:fldCharType="end"/>
        </w:r>
      </w:hyperlink>
    </w:p>
    <w:p w:rsidR="00CE3BC2" w:rsidRDefault="004F2C94">
      <w:pPr>
        <w:pStyle w:val="10"/>
        <w:rPr>
          <w:rFonts w:asciiTheme="minorHAnsi" w:eastAsiaTheme="minorEastAsia" w:hAnsiTheme="minorHAnsi" w:cstheme="minorBidi"/>
          <w:noProof/>
          <w:szCs w:val="22"/>
        </w:rPr>
      </w:pPr>
      <w:hyperlink w:anchor="_Toc71748081" w:history="1">
        <w:r w:rsidR="00CE3BC2" w:rsidRPr="006A4E51">
          <w:rPr>
            <w:rStyle w:val="af2"/>
            <w:rFonts w:hAnsi="宋体" w:hint="eastAsia"/>
            <w:bCs/>
            <w:noProof/>
            <w:kern w:val="44"/>
          </w:rPr>
          <w:t>二十三、招募说明书存放及查阅方式</w:t>
        </w:r>
        <w:r w:rsidR="00CE3BC2">
          <w:rPr>
            <w:noProof/>
            <w:webHidden/>
          </w:rPr>
          <w:tab/>
        </w:r>
        <w:r w:rsidR="00CE3BC2">
          <w:rPr>
            <w:noProof/>
            <w:webHidden/>
          </w:rPr>
          <w:fldChar w:fldCharType="begin"/>
        </w:r>
        <w:r w:rsidR="00CE3BC2">
          <w:rPr>
            <w:noProof/>
            <w:webHidden/>
          </w:rPr>
          <w:instrText xml:space="preserve"> PAGEREF _Toc71748081 \h </w:instrText>
        </w:r>
        <w:r w:rsidR="00CE3BC2">
          <w:rPr>
            <w:noProof/>
            <w:webHidden/>
          </w:rPr>
        </w:r>
        <w:r w:rsidR="00CE3BC2">
          <w:rPr>
            <w:noProof/>
            <w:webHidden/>
          </w:rPr>
          <w:fldChar w:fldCharType="separate"/>
        </w:r>
        <w:r w:rsidR="00CE3BC2">
          <w:rPr>
            <w:noProof/>
            <w:webHidden/>
          </w:rPr>
          <w:t>113</w:t>
        </w:r>
        <w:r w:rsidR="00CE3BC2">
          <w:rPr>
            <w:noProof/>
            <w:webHidden/>
          </w:rPr>
          <w:fldChar w:fldCharType="end"/>
        </w:r>
      </w:hyperlink>
    </w:p>
    <w:p w:rsidR="00CE3BC2" w:rsidRDefault="004F2C94">
      <w:pPr>
        <w:pStyle w:val="10"/>
        <w:rPr>
          <w:rFonts w:asciiTheme="minorHAnsi" w:eastAsiaTheme="minorEastAsia" w:hAnsiTheme="minorHAnsi" w:cstheme="minorBidi"/>
          <w:noProof/>
          <w:szCs w:val="22"/>
        </w:rPr>
      </w:pPr>
      <w:hyperlink w:anchor="_Toc71748082" w:history="1">
        <w:r w:rsidR="00CE3BC2" w:rsidRPr="006A4E51">
          <w:rPr>
            <w:rStyle w:val="af2"/>
            <w:rFonts w:hAnsi="宋体" w:hint="eastAsia"/>
            <w:bCs/>
            <w:noProof/>
            <w:kern w:val="44"/>
          </w:rPr>
          <w:t>二十四、备查文件</w:t>
        </w:r>
        <w:r w:rsidR="00CE3BC2">
          <w:rPr>
            <w:noProof/>
            <w:webHidden/>
          </w:rPr>
          <w:tab/>
        </w:r>
        <w:r w:rsidR="00CE3BC2">
          <w:rPr>
            <w:noProof/>
            <w:webHidden/>
          </w:rPr>
          <w:fldChar w:fldCharType="begin"/>
        </w:r>
        <w:r w:rsidR="00CE3BC2">
          <w:rPr>
            <w:noProof/>
            <w:webHidden/>
          </w:rPr>
          <w:instrText xml:space="preserve"> PAGEREF _Toc71748082 \h </w:instrText>
        </w:r>
        <w:r w:rsidR="00CE3BC2">
          <w:rPr>
            <w:noProof/>
            <w:webHidden/>
          </w:rPr>
        </w:r>
        <w:r w:rsidR="00CE3BC2">
          <w:rPr>
            <w:noProof/>
            <w:webHidden/>
          </w:rPr>
          <w:fldChar w:fldCharType="separate"/>
        </w:r>
        <w:r w:rsidR="00CE3BC2">
          <w:rPr>
            <w:noProof/>
            <w:webHidden/>
          </w:rPr>
          <w:t>114</w:t>
        </w:r>
        <w:r w:rsidR="00CE3BC2">
          <w:rPr>
            <w:noProof/>
            <w:webHidden/>
          </w:rPr>
          <w:fldChar w:fldCharType="end"/>
        </w:r>
      </w:hyperlink>
    </w:p>
    <w:p w:rsidR="008711D3" w:rsidRDefault="004479D9">
      <w:pPr>
        <w:tabs>
          <w:tab w:val="left" w:pos="6660"/>
        </w:tabs>
        <w:spacing w:line="360" w:lineRule="auto"/>
        <w:jc w:val="center"/>
        <w:rPr>
          <w:b/>
          <w:bCs/>
          <w:sz w:val="44"/>
          <w:szCs w:val="44"/>
        </w:rPr>
      </w:pPr>
      <w:r>
        <w:rPr>
          <w:rFonts w:ascii="宋体" w:hAnsi="宋体"/>
          <w:b/>
          <w:bCs/>
          <w:sz w:val="44"/>
          <w:szCs w:val="44"/>
        </w:rPr>
        <w:fldChar w:fldCharType="end"/>
      </w:r>
    </w:p>
    <w:p w:rsidR="008711D3" w:rsidRDefault="008711D3">
      <w:pPr>
        <w:tabs>
          <w:tab w:val="left" w:pos="6660"/>
        </w:tabs>
        <w:spacing w:line="360" w:lineRule="auto"/>
        <w:jc w:val="center"/>
        <w:rPr>
          <w:b/>
          <w:bCs/>
          <w:sz w:val="44"/>
          <w:szCs w:val="44"/>
        </w:rPr>
        <w:sectPr w:rsidR="008711D3">
          <w:headerReference w:type="default" r:id="rId14"/>
          <w:footerReference w:type="default" r:id="rId15"/>
          <w:pgSz w:w="11906" w:h="16838"/>
          <w:pgMar w:top="1440" w:right="1800" w:bottom="1440" w:left="1800" w:header="851" w:footer="992" w:gutter="0"/>
          <w:pgNumType w:start="1"/>
          <w:cols w:space="425"/>
          <w:docGrid w:type="lines" w:linePitch="312"/>
        </w:sectPr>
      </w:pPr>
    </w:p>
    <w:p w:rsidR="008711D3" w:rsidRDefault="004479D9">
      <w:pPr>
        <w:pStyle w:val="1"/>
        <w:spacing w:before="340" w:after="330"/>
        <w:jc w:val="center"/>
        <w:rPr>
          <w:rFonts w:hAnsi="宋体"/>
          <w:bCs/>
          <w:color w:val="auto"/>
          <w:kern w:val="44"/>
          <w:sz w:val="21"/>
          <w:szCs w:val="21"/>
        </w:rPr>
      </w:pPr>
      <w:bookmarkStart w:id="14" w:name="_Toc334542950"/>
      <w:bookmarkStart w:id="15" w:name="_Toc16920818"/>
      <w:bookmarkStart w:id="16" w:name="_Toc329187110"/>
      <w:bookmarkStart w:id="17" w:name="_Toc334542633"/>
      <w:bookmarkStart w:id="18" w:name="_Toc71748055"/>
      <w:r>
        <w:rPr>
          <w:rFonts w:hAnsi="宋体" w:hint="eastAsia"/>
          <w:bCs/>
          <w:color w:val="auto"/>
          <w:kern w:val="44"/>
          <w:sz w:val="21"/>
          <w:szCs w:val="21"/>
        </w:rPr>
        <w:lastRenderedPageBreak/>
        <w:t>一、绪言</w:t>
      </w:r>
      <w:bookmarkEnd w:id="14"/>
      <w:bookmarkEnd w:id="15"/>
      <w:bookmarkEnd w:id="16"/>
      <w:bookmarkEnd w:id="17"/>
      <w:bookmarkEnd w:id="18"/>
    </w:p>
    <w:p w:rsidR="008711D3" w:rsidRDefault="004479D9">
      <w:pPr>
        <w:spacing w:line="360" w:lineRule="auto"/>
        <w:ind w:firstLineChars="200" w:firstLine="420"/>
        <w:rPr>
          <w:rFonts w:ascii="宋体" w:hAnsi="宋体"/>
          <w:szCs w:val="21"/>
        </w:rPr>
      </w:pPr>
      <w:r>
        <w:rPr>
          <w:rFonts w:ascii="宋体" w:hAnsi="宋体" w:hint="eastAsia"/>
          <w:szCs w:val="21"/>
        </w:rPr>
        <w:t>《</w:t>
      </w:r>
      <w:r>
        <w:rPr>
          <w:rFonts w:ascii="宋体" w:hAnsi="宋体" w:hint="eastAsia"/>
          <w:b/>
          <w:szCs w:val="21"/>
        </w:rPr>
        <w:t>嘉实领先优势混合型</w:t>
      </w:r>
      <w:r>
        <w:rPr>
          <w:rFonts w:ascii="宋体" w:hAnsi="宋体" w:hint="eastAsia"/>
          <w:szCs w:val="21"/>
        </w:rPr>
        <w:t>证券投资基金招募说明书》（以下简称</w:t>
      </w:r>
      <w:r>
        <w:rPr>
          <w:rFonts w:ascii="宋体" w:hAnsi="宋体"/>
          <w:szCs w:val="21"/>
        </w:rPr>
        <w:t>“</w:t>
      </w:r>
      <w:r>
        <w:rPr>
          <w:rFonts w:ascii="宋体" w:hAnsi="宋体" w:hint="eastAsia"/>
          <w:szCs w:val="21"/>
        </w:rPr>
        <w:t>本招募说明书</w:t>
      </w:r>
      <w:r>
        <w:rPr>
          <w:rFonts w:ascii="宋体" w:hAnsi="宋体"/>
          <w:szCs w:val="21"/>
        </w:rPr>
        <w:t>”</w:t>
      </w:r>
      <w:r>
        <w:rPr>
          <w:rFonts w:ascii="宋体" w:hAnsi="宋体" w:hint="eastAsia"/>
          <w:szCs w:val="21"/>
        </w:rPr>
        <w:t>）依据《中华人民共和国证券投资基金法》（以下简称</w:t>
      </w:r>
      <w:r>
        <w:rPr>
          <w:rFonts w:ascii="宋体" w:hAnsi="宋体"/>
          <w:szCs w:val="21"/>
        </w:rPr>
        <w:t>“</w:t>
      </w:r>
      <w:r>
        <w:rPr>
          <w:rFonts w:ascii="宋体" w:hAnsi="宋体" w:hint="eastAsia"/>
          <w:szCs w:val="21"/>
        </w:rPr>
        <w:t>《基金法》</w:t>
      </w:r>
      <w:r>
        <w:rPr>
          <w:rFonts w:ascii="宋体" w:hAnsi="宋体"/>
          <w:szCs w:val="21"/>
        </w:rPr>
        <w:t>”</w:t>
      </w:r>
      <w:r>
        <w:rPr>
          <w:rFonts w:ascii="宋体" w:hAnsi="宋体" w:hint="eastAsia"/>
          <w:szCs w:val="21"/>
        </w:rPr>
        <w:t>）、《公开</w:t>
      </w:r>
      <w:r>
        <w:rPr>
          <w:rFonts w:ascii="宋体" w:hAnsi="宋体"/>
          <w:szCs w:val="21"/>
        </w:rPr>
        <w:t>募集</w:t>
      </w:r>
      <w:r>
        <w:rPr>
          <w:rFonts w:ascii="宋体" w:hAnsi="宋体" w:hint="eastAsia"/>
          <w:szCs w:val="21"/>
        </w:rPr>
        <w:t>证券投资基金销售机构</w:t>
      </w:r>
      <w:r>
        <w:rPr>
          <w:rFonts w:ascii="宋体" w:hAnsi="宋体"/>
          <w:szCs w:val="21"/>
        </w:rPr>
        <w:t>监督</w:t>
      </w:r>
      <w:r>
        <w:rPr>
          <w:rFonts w:ascii="宋体" w:hAnsi="宋体" w:hint="eastAsia"/>
          <w:szCs w:val="21"/>
        </w:rPr>
        <w:t>管理办法》（以下简称</w:t>
      </w:r>
      <w:r>
        <w:rPr>
          <w:rFonts w:ascii="宋体" w:hAnsi="宋体"/>
          <w:szCs w:val="21"/>
        </w:rPr>
        <w:t>“</w:t>
      </w:r>
      <w:r>
        <w:rPr>
          <w:rFonts w:ascii="宋体" w:hAnsi="宋体" w:hint="eastAsia"/>
          <w:szCs w:val="21"/>
        </w:rPr>
        <w:t>《销售办法》</w:t>
      </w:r>
      <w:r>
        <w:rPr>
          <w:rFonts w:ascii="宋体" w:hAnsi="宋体"/>
          <w:szCs w:val="21"/>
        </w:rPr>
        <w:t>”</w:t>
      </w:r>
      <w:r>
        <w:rPr>
          <w:rFonts w:ascii="宋体" w:hAnsi="宋体" w:hint="eastAsia"/>
          <w:szCs w:val="21"/>
        </w:rPr>
        <w:t>）、《公开募集证券投资基金运作管理办法》（以下简称</w:t>
      </w:r>
      <w:r>
        <w:rPr>
          <w:rFonts w:ascii="宋体" w:hAnsi="宋体"/>
          <w:szCs w:val="21"/>
        </w:rPr>
        <w:t>“</w:t>
      </w:r>
      <w:r>
        <w:rPr>
          <w:rFonts w:ascii="宋体" w:hAnsi="宋体" w:hint="eastAsia"/>
          <w:szCs w:val="21"/>
        </w:rPr>
        <w:t>《运作办法》</w:t>
      </w:r>
      <w:r>
        <w:rPr>
          <w:rFonts w:ascii="宋体" w:hAnsi="宋体"/>
          <w:szCs w:val="21"/>
        </w:rPr>
        <w:t>”</w:t>
      </w:r>
      <w:r>
        <w:rPr>
          <w:rFonts w:ascii="宋体" w:hAnsi="宋体" w:hint="eastAsia"/>
          <w:szCs w:val="21"/>
        </w:rPr>
        <w:t>）、《公开募集证券投资基金信息披露管理办法》（以下简称</w:t>
      </w:r>
      <w:r>
        <w:rPr>
          <w:rFonts w:ascii="宋体" w:hAnsi="宋体"/>
          <w:szCs w:val="21"/>
        </w:rPr>
        <w:t>“</w:t>
      </w:r>
      <w:r>
        <w:rPr>
          <w:rFonts w:ascii="宋体" w:hAnsi="宋体" w:hint="eastAsia"/>
          <w:szCs w:val="21"/>
        </w:rPr>
        <w:t>《信息披露办法》</w:t>
      </w:r>
      <w:r>
        <w:rPr>
          <w:rFonts w:ascii="宋体" w:hAnsi="宋体"/>
          <w:szCs w:val="21"/>
        </w:rPr>
        <w:t>”</w:t>
      </w:r>
      <w:r>
        <w:rPr>
          <w:rFonts w:ascii="宋体" w:hAnsi="宋体" w:hint="eastAsia"/>
          <w:szCs w:val="21"/>
        </w:rPr>
        <w:t>）、《公开募集开放式证券投资基金流动性风险管理规定》（以下简称“《流动性风险管理规定》”）、《</w:t>
      </w:r>
      <w:bookmarkStart w:id="19" w:name="_DV_C81"/>
      <w:r>
        <w:rPr>
          <w:rFonts w:ascii="宋体" w:hAnsi="宋体" w:hint="eastAsia"/>
          <w:szCs w:val="21"/>
        </w:rPr>
        <w:t>证券投资基金信息披露编报规则第</w:t>
      </w:r>
      <w:r>
        <w:rPr>
          <w:rFonts w:ascii="宋体" w:hAnsi="宋体"/>
          <w:szCs w:val="21"/>
        </w:rPr>
        <w:t>5</w:t>
      </w:r>
      <w:r>
        <w:rPr>
          <w:rFonts w:ascii="宋体" w:hAnsi="宋体" w:hint="eastAsia"/>
          <w:szCs w:val="21"/>
        </w:rPr>
        <w:t>号</w:t>
      </w:r>
      <w:r>
        <w:rPr>
          <w:rFonts w:ascii="宋体" w:hAnsi="宋体"/>
          <w:szCs w:val="21"/>
        </w:rPr>
        <w:t>&lt;</w:t>
      </w:r>
      <w:bookmarkStart w:id="20" w:name="_DV_M45"/>
      <w:bookmarkStart w:id="21" w:name="_DV_C82"/>
      <w:bookmarkEnd w:id="19"/>
      <w:bookmarkEnd w:id="20"/>
      <w:r>
        <w:rPr>
          <w:rFonts w:ascii="宋体" w:hAnsi="宋体" w:hint="eastAsia"/>
          <w:szCs w:val="21"/>
        </w:rPr>
        <w:t>招募说明书的内容与格式</w:t>
      </w:r>
      <w:r>
        <w:rPr>
          <w:rFonts w:ascii="宋体" w:hAnsi="宋体"/>
          <w:szCs w:val="21"/>
        </w:rPr>
        <w:t>&gt;</w:t>
      </w:r>
      <w:bookmarkStart w:id="22" w:name="_DV_M46"/>
      <w:bookmarkEnd w:id="21"/>
      <w:bookmarkEnd w:id="22"/>
      <w:r>
        <w:rPr>
          <w:rFonts w:ascii="宋体" w:hAnsi="宋体" w:hint="eastAsia"/>
          <w:szCs w:val="21"/>
        </w:rPr>
        <w:t>》等有关法律法规以及</w:t>
      </w:r>
      <w:r>
        <w:rPr>
          <w:rFonts w:ascii="宋体" w:hAnsi="宋体" w:hint="eastAsia"/>
          <w:kern w:val="0"/>
          <w:szCs w:val="21"/>
        </w:rPr>
        <w:t>《</w:t>
      </w:r>
      <w:r>
        <w:rPr>
          <w:rFonts w:ascii="宋体" w:hAnsi="宋体" w:hint="eastAsia"/>
          <w:b/>
          <w:szCs w:val="21"/>
        </w:rPr>
        <w:t>嘉实领先优势混合型</w:t>
      </w:r>
      <w:r>
        <w:rPr>
          <w:rFonts w:ascii="宋体" w:hAnsi="宋体" w:hint="eastAsia"/>
          <w:szCs w:val="21"/>
        </w:rPr>
        <w:t>证券投资基金</w:t>
      </w:r>
      <w:r>
        <w:rPr>
          <w:rFonts w:ascii="宋体" w:hAnsi="宋体" w:hint="eastAsia"/>
          <w:kern w:val="0"/>
          <w:szCs w:val="21"/>
        </w:rPr>
        <w:t>基金合同》（以下简称</w:t>
      </w:r>
      <w:r>
        <w:rPr>
          <w:rFonts w:ascii="宋体" w:hAnsi="宋体"/>
          <w:kern w:val="0"/>
          <w:szCs w:val="21"/>
        </w:rPr>
        <w:t>“</w:t>
      </w:r>
      <w:r>
        <w:rPr>
          <w:rFonts w:ascii="宋体" w:hAnsi="宋体" w:hint="eastAsia"/>
          <w:kern w:val="0"/>
          <w:szCs w:val="21"/>
        </w:rPr>
        <w:t>基金合同</w:t>
      </w:r>
      <w:r>
        <w:rPr>
          <w:rFonts w:ascii="宋体" w:hAnsi="宋体"/>
          <w:kern w:val="0"/>
          <w:szCs w:val="21"/>
        </w:rPr>
        <w:t>”</w:t>
      </w:r>
      <w:r>
        <w:rPr>
          <w:rFonts w:ascii="宋体" w:hAnsi="宋体" w:hint="eastAsia"/>
          <w:kern w:val="0"/>
          <w:szCs w:val="21"/>
        </w:rPr>
        <w:t>）</w:t>
      </w:r>
      <w:r>
        <w:rPr>
          <w:rFonts w:ascii="宋体" w:hAnsi="宋体" w:hint="eastAsia"/>
          <w:szCs w:val="21"/>
        </w:rPr>
        <w:t>编写。</w:t>
      </w:r>
    </w:p>
    <w:p w:rsidR="008711D3" w:rsidRDefault="004479D9">
      <w:pPr>
        <w:spacing w:line="360" w:lineRule="auto"/>
        <w:ind w:firstLineChars="200" w:firstLine="420"/>
        <w:rPr>
          <w:rFonts w:ascii="宋体" w:hAnsi="宋体"/>
          <w:szCs w:val="21"/>
        </w:rPr>
      </w:pPr>
      <w:r>
        <w:rPr>
          <w:rFonts w:ascii="宋体" w:hAnsi="宋体" w:hint="eastAsia"/>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8711D3" w:rsidRDefault="004479D9">
      <w:pPr>
        <w:spacing w:line="360" w:lineRule="auto"/>
        <w:ind w:firstLineChars="200" w:firstLine="420"/>
        <w:rPr>
          <w:rFonts w:ascii="宋体" w:hAnsi="宋体"/>
          <w:szCs w:val="21"/>
        </w:rPr>
      </w:pPr>
      <w:r>
        <w:rPr>
          <w:rFonts w:ascii="宋体" w:hAnsi="宋体" w:hint="eastAsia"/>
          <w:szCs w:val="21"/>
        </w:rPr>
        <w:t>本招募说明书根据本基金的基金合同编写，并经中国证监会</w:t>
      </w:r>
      <w:r>
        <w:rPr>
          <w:rFonts w:hAnsi="宋体" w:hint="eastAsia"/>
          <w:szCs w:val="24"/>
        </w:rPr>
        <w:t>注册</w:t>
      </w:r>
      <w:r>
        <w:rPr>
          <w:rFonts w:ascii="宋体" w:hAnsi="宋体" w:hint="eastAsia"/>
          <w:szCs w:val="21"/>
        </w:rPr>
        <w:t>。基金合同是约定基金合同当事人之间基本权利义务的法律文件，其他与本基金相关的涉及基金合同当事人之间权利义务关系的任何文件或表述，均以基金合同为准。基金合同的当事人包括基金管理人、基金托管人和基金份额持有人。基金投资者自依基金合同取得本基金基金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基金投资者欲了解基金份额持有人的权利和义务，应详细查阅基金合同。</w:t>
      </w:r>
    </w:p>
    <w:p w:rsidR="008711D3" w:rsidRDefault="004479D9">
      <w:pPr>
        <w:pStyle w:val="1"/>
        <w:spacing w:before="340" w:after="330"/>
        <w:jc w:val="center"/>
        <w:rPr>
          <w:rFonts w:hAnsi="宋体"/>
          <w:bCs/>
          <w:color w:val="auto"/>
          <w:kern w:val="44"/>
          <w:sz w:val="21"/>
          <w:szCs w:val="21"/>
        </w:rPr>
      </w:pPr>
      <w:bookmarkStart w:id="23" w:name="_Toc334542951"/>
      <w:bookmarkStart w:id="24" w:name="_Toc334542634"/>
      <w:bookmarkStart w:id="25" w:name="_Toc329187111"/>
      <w:r>
        <w:rPr>
          <w:rFonts w:hAnsi="宋体"/>
          <w:bCs/>
          <w:color w:val="auto"/>
          <w:kern w:val="44"/>
          <w:sz w:val="21"/>
          <w:szCs w:val="21"/>
        </w:rPr>
        <w:br w:type="page"/>
      </w:r>
      <w:bookmarkStart w:id="26" w:name="_Toc71748056"/>
      <w:r>
        <w:rPr>
          <w:rFonts w:hAnsi="宋体" w:hint="eastAsia"/>
          <w:bCs/>
          <w:color w:val="auto"/>
          <w:kern w:val="44"/>
          <w:sz w:val="21"/>
          <w:szCs w:val="21"/>
        </w:rPr>
        <w:lastRenderedPageBreak/>
        <w:t>二、释义</w:t>
      </w:r>
      <w:bookmarkEnd w:id="23"/>
      <w:bookmarkEnd w:id="24"/>
      <w:bookmarkEnd w:id="25"/>
      <w:bookmarkEnd w:id="26"/>
    </w:p>
    <w:p w:rsidR="008711D3" w:rsidRDefault="004479D9">
      <w:pPr>
        <w:spacing w:line="360" w:lineRule="auto"/>
        <w:ind w:firstLineChars="200" w:firstLine="420"/>
        <w:rPr>
          <w:rFonts w:ascii="宋体" w:hAnsi="宋体"/>
          <w:szCs w:val="21"/>
        </w:rPr>
      </w:pPr>
      <w:r>
        <w:rPr>
          <w:rFonts w:ascii="宋体" w:hAnsi="宋体" w:hint="eastAsia"/>
          <w:szCs w:val="21"/>
        </w:rPr>
        <w:t>本招募说明书中，除非文意另有所指，下列词语或简称具有如下含义：</w:t>
      </w:r>
    </w:p>
    <w:p w:rsidR="008711D3" w:rsidRDefault="004479D9">
      <w:pPr>
        <w:spacing w:line="360" w:lineRule="auto"/>
        <w:ind w:firstLineChars="200" w:firstLine="420"/>
        <w:rPr>
          <w:szCs w:val="21"/>
        </w:rPr>
      </w:pPr>
      <w:r>
        <w:rPr>
          <w:szCs w:val="21"/>
        </w:rPr>
        <w:t>1</w:t>
      </w:r>
      <w:r>
        <w:rPr>
          <w:rFonts w:hint="eastAsia"/>
          <w:szCs w:val="21"/>
        </w:rPr>
        <w:t>、基金</w:t>
      </w:r>
      <w:r>
        <w:rPr>
          <w:szCs w:val="21"/>
        </w:rPr>
        <w:t>/</w:t>
      </w:r>
      <w:r>
        <w:rPr>
          <w:rFonts w:hint="eastAsia"/>
          <w:szCs w:val="21"/>
        </w:rPr>
        <w:t>本基金：指</w:t>
      </w:r>
      <w:r>
        <w:rPr>
          <w:rFonts w:hint="eastAsia"/>
          <w:bCs/>
          <w:szCs w:val="21"/>
        </w:rPr>
        <w:t>嘉实领先优势混合型证券投资基金</w:t>
      </w:r>
    </w:p>
    <w:p w:rsidR="008711D3" w:rsidRDefault="004479D9">
      <w:pPr>
        <w:spacing w:line="360" w:lineRule="auto"/>
        <w:ind w:firstLineChars="200" w:firstLine="420"/>
        <w:rPr>
          <w:szCs w:val="21"/>
        </w:rPr>
      </w:pPr>
      <w:r>
        <w:rPr>
          <w:szCs w:val="21"/>
        </w:rPr>
        <w:t>2</w:t>
      </w:r>
      <w:r>
        <w:rPr>
          <w:rFonts w:hint="eastAsia"/>
          <w:szCs w:val="21"/>
        </w:rPr>
        <w:t>、基金管理人：指嘉实基金管理有限公司</w:t>
      </w:r>
    </w:p>
    <w:p w:rsidR="008711D3" w:rsidRDefault="004479D9">
      <w:pPr>
        <w:spacing w:line="360" w:lineRule="auto"/>
        <w:ind w:firstLineChars="200" w:firstLine="420"/>
        <w:rPr>
          <w:szCs w:val="21"/>
        </w:rPr>
      </w:pPr>
      <w:r>
        <w:rPr>
          <w:szCs w:val="21"/>
        </w:rPr>
        <w:t>3</w:t>
      </w:r>
      <w:r>
        <w:rPr>
          <w:rFonts w:hint="eastAsia"/>
          <w:szCs w:val="21"/>
        </w:rPr>
        <w:t>、基金托管人：指</w:t>
      </w:r>
      <w:r>
        <w:rPr>
          <w:rFonts w:hint="eastAsia"/>
          <w:bCs/>
          <w:szCs w:val="21"/>
        </w:rPr>
        <w:t>中国银行股份有限公司</w:t>
      </w:r>
      <w:r>
        <w:rPr>
          <w:szCs w:val="21"/>
        </w:rPr>
        <w:t xml:space="preserve"> </w:t>
      </w:r>
    </w:p>
    <w:p w:rsidR="008711D3" w:rsidRDefault="004479D9">
      <w:pPr>
        <w:spacing w:line="360" w:lineRule="auto"/>
        <w:ind w:firstLineChars="200" w:firstLine="420"/>
        <w:rPr>
          <w:szCs w:val="21"/>
        </w:rPr>
      </w:pPr>
      <w:r>
        <w:rPr>
          <w:szCs w:val="21"/>
        </w:rPr>
        <w:t>4</w:t>
      </w:r>
      <w:r>
        <w:rPr>
          <w:rFonts w:hint="eastAsia"/>
          <w:szCs w:val="21"/>
        </w:rPr>
        <w:t>、基金合同：指</w:t>
      </w:r>
      <w:r>
        <w:rPr>
          <w:bCs/>
          <w:szCs w:val="21"/>
        </w:rPr>
        <w:t>《</w:t>
      </w:r>
      <w:r>
        <w:rPr>
          <w:rFonts w:hint="eastAsia"/>
          <w:bCs/>
          <w:szCs w:val="21"/>
        </w:rPr>
        <w:t>嘉实领先优势混合型证券投资基金</w:t>
      </w:r>
      <w:r>
        <w:rPr>
          <w:bCs/>
          <w:szCs w:val="21"/>
        </w:rPr>
        <w:t>基金合同》</w:t>
      </w:r>
      <w:r>
        <w:rPr>
          <w:rFonts w:hint="eastAsia"/>
          <w:szCs w:val="21"/>
        </w:rPr>
        <w:t>及对基金合同的任何有效修订和补充</w:t>
      </w:r>
    </w:p>
    <w:p w:rsidR="008711D3" w:rsidRDefault="004479D9">
      <w:pPr>
        <w:spacing w:line="360" w:lineRule="auto"/>
        <w:ind w:firstLineChars="200" w:firstLine="420"/>
        <w:rPr>
          <w:szCs w:val="21"/>
        </w:rPr>
      </w:pPr>
      <w:r>
        <w:rPr>
          <w:szCs w:val="21"/>
        </w:rPr>
        <w:t>5</w:t>
      </w:r>
      <w:r>
        <w:rPr>
          <w:rFonts w:hint="eastAsia"/>
          <w:szCs w:val="21"/>
        </w:rPr>
        <w:t>、托管协议：指基金管理人与基金托管人就本基金签订之</w:t>
      </w:r>
      <w:r>
        <w:rPr>
          <w:bCs/>
          <w:szCs w:val="21"/>
        </w:rPr>
        <w:t>《</w:t>
      </w:r>
      <w:r>
        <w:rPr>
          <w:rFonts w:hint="eastAsia"/>
          <w:bCs/>
          <w:szCs w:val="21"/>
        </w:rPr>
        <w:t>嘉实领先优势混合型证券投资基金</w:t>
      </w:r>
      <w:r>
        <w:rPr>
          <w:bCs/>
          <w:szCs w:val="21"/>
        </w:rPr>
        <w:t>托管协议》</w:t>
      </w:r>
      <w:r>
        <w:rPr>
          <w:rFonts w:hint="eastAsia"/>
          <w:szCs w:val="21"/>
        </w:rPr>
        <w:t>及对该托管协议的任何有效修订和补充</w:t>
      </w:r>
    </w:p>
    <w:p w:rsidR="008711D3" w:rsidRDefault="004479D9">
      <w:pPr>
        <w:spacing w:line="360" w:lineRule="auto"/>
        <w:ind w:firstLineChars="200" w:firstLine="420"/>
        <w:rPr>
          <w:szCs w:val="21"/>
        </w:rPr>
      </w:pPr>
      <w:r>
        <w:rPr>
          <w:szCs w:val="21"/>
        </w:rPr>
        <w:t>6</w:t>
      </w:r>
      <w:r>
        <w:rPr>
          <w:rFonts w:hint="eastAsia"/>
          <w:szCs w:val="21"/>
        </w:rPr>
        <w:t>、招募说明书或本招募说明书：指</w:t>
      </w:r>
      <w:r>
        <w:rPr>
          <w:bCs/>
          <w:szCs w:val="21"/>
        </w:rPr>
        <w:t>《</w:t>
      </w:r>
      <w:r>
        <w:rPr>
          <w:rFonts w:hint="eastAsia"/>
          <w:bCs/>
          <w:szCs w:val="21"/>
        </w:rPr>
        <w:t>嘉实领先优势混合型证券投资基金</w:t>
      </w:r>
      <w:r>
        <w:rPr>
          <w:bCs/>
          <w:szCs w:val="21"/>
        </w:rPr>
        <w:t>招募说明书》</w:t>
      </w:r>
      <w:r>
        <w:rPr>
          <w:rFonts w:hint="eastAsia"/>
          <w:szCs w:val="21"/>
        </w:rPr>
        <w:t>及其更新后的版本</w:t>
      </w:r>
    </w:p>
    <w:p w:rsidR="008711D3" w:rsidRDefault="004479D9">
      <w:pPr>
        <w:spacing w:line="360" w:lineRule="auto"/>
        <w:ind w:firstLineChars="200" w:firstLine="420"/>
        <w:rPr>
          <w:szCs w:val="21"/>
        </w:rPr>
      </w:pPr>
      <w:r>
        <w:rPr>
          <w:szCs w:val="21"/>
        </w:rPr>
        <w:t>7</w:t>
      </w:r>
      <w:r>
        <w:rPr>
          <w:rFonts w:hint="eastAsia"/>
          <w:szCs w:val="21"/>
        </w:rPr>
        <w:t>、基金份额发售公告：指</w:t>
      </w:r>
      <w:r>
        <w:rPr>
          <w:bCs/>
          <w:szCs w:val="21"/>
        </w:rPr>
        <w:t>《</w:t>
      </w:r>
      <w:r>
        <w:rPr>
          <w:rFonts w:hint="eastAsia"/>
          <w:bCs/>
          <w:szCs w:val="21"/>
        </w:rPr>
        <w:t>嘉实领先优势混合型证券投资基金</w:t>
      </w:r>
      <w:r>
        <w:rPr>
          <w:bCs/>
          <w:szCs w:val="21"/>
        </w:rPr>
        <w:t>基金份额发售公告》</w:t>
      </w:r>
    </w:p>
    <w:p w:rsidR="008711D3" w:rsidRDefault="004479D9">
      <w:pPr>
        <w:spacing w:line="360" w:lineRule="auto"/>
        <w:ind w:firstLineChars="200" w:firstLine="420"/>
        <w:rPr>
          <w:szCs w:val="21"/>
        </w:rPr>
      </w:pPr>
      <w:r>
        <w:rPr>
          <w:bCs/>
          <w:szCs w:val="21"/>
        </w:rPr>
        <w:t>8</w:t>
      </w:r>
      <w:r>
        <w:rPr>
          <w:rFonts w:hint="eastAsia"/>
          <w:szCs w:val="21"/>
        </w:rPr>
        <w:t>、法律法规：指中国现行有效并公布实施的法律、行政法规、司法解释、行政规章、规范性文件以及其他对基金合同当事人有约束力的决定、决议、通知等，包括颁布机关对前述文件不时做出的修订</w:t>
      </w:r>
    </w:p>
    <w:p w:rsidR="008711D3" w:rsidRDefault="004479D9">
      <w:pPr>
        <w:spacing w:line="360" w:lineRule="auto"/>
        <w:ind w:firstLineChars="200" w:firstLine="420"/>
        <w:rPr>
          <w:szCs w:val="21"/>
        </w:rPr>
      </w:pPr>
      <w:r>
        <w:rPr>
          <w:bCs/>
          <w:szCs w:val="21"/>
        </w:rPr>
        <w:t>9</w:t>
      </w:r>
      <w:r>
        <w:rPr>
          <w:rFonts w:hint="eastAsia"/>
          <w:szCs w:val="21"/>
        </w:rPr>
        <w:t>、《基金法》：指</w:t>
      </w:r>
      <w:r>
        <w:rPr>
          <w:szCs w:val="21"/>
        </w:rPr>
        <w:t>2003</w:t>
      </w:r>
      <w:r>
        <w:rPr>
          <w:rFonts w:hint="eastAsia"/>
          <w:szCs w:val="21"/>
        </w:rPr>
        <w:t>年</w:t>
      </w:r>
      <w:r>
        <w:rPr>
          <w:szCs w:val="21"/>
        </w:rPr>
        <w:t>10</w:t>
      </w:r>
      <w:r>
        <w:rPr>
          <w:rFonts w:hint="eastAsia"/>
          <w:szCs w:val="21"/>
        </w:rPr>
        <w:t>月</w:t>
      </w:r>
      <w:r>
        <w:rPr>
          <w:szCs w:val="21"/>
        </w:rPr>
        <w:t>28</w:t>
      </w:r>
      <w:r>
        <w:rPr>
          <w:rFonts w:hint="eastAsia"/>
          <w:szCs w:val="21"/>
        </w:rPr>
        <w:t>日经第十届全国人民代表大会常务委员会第五次会议通过，经</w:t>
      </w:r>
      <w:r>
        <w:rPr>
          <w:szCs w:val="21"/>
        </w:rPr>
        <w:t>2012</w:t>
      </w:r>
      <w:r>
        <w:rPr>
          <w:rFonts w:hint="eastAsia"/>
          <w:szCs w:val="21"/>
        </w:rPr>
        <w:t>年</w:t>
      </w:r>
      <w:r>
        <w:rPr>
          <w:szCs w:val="21"/>
        </w:rPr>
        <w:t>12</w:t>
      </w:r>
      <w:r>
        <w:rPr>
          <w:rFonts w:hint="eastAsia"/>
          <w:szCs w:val="21"/>
        </w:rPr>
        <w:t>月</w:t>
      </w:r>
      <w:r>
        <w:rPr>
          <w:szCs w:val="21"/>
        </w:rPr>
        <w:t>28</w:t>
      </w:r>
      <w:r>
        <w:rPr>
          <w:rFonts w:hint="eastAsia"/>
          <w:szCs w:val="21"/>
        </w:rPr>
        <w:t>日第十一届全国人民代表大会常务委员会第三十次会议修订，自</w:t>
      </w:r>
      <w:r>
        <w:rPr>
          <w:szCs w:val="21"/>
        </w:rPr>
        <w:t>2013</w:t>
      </w:r>
      <w:r>
        <w:rPr>
          <w:rFonts w:hint="eastAsia"/>
          <w:szCs w:val="21"/>
        </w:rPr>
        <w:t>年</w:t>
      </w:r>
      <w:r>
        <w:rPr>
          <w:szCs w:val="21"/>
        </w:rPr>
        <w:t>6</w:t>
      </w:r>
      <w:r>
        <w:rPr>
          <w:rFonts w:hint="eastAsia"/>
          <w:szCs w:val="21"/>
        </w:rPr>
        <w:t>月</w:t>
      </w:r>
      <w:r>
        <w:rPr>
          <w:szCs w:val="21"/>
        </w:rPr>
        <w:t>1</w:t>
      </w:r>
      <w:r>
        <w:rPr>
          <w:rFonts w:hint="eastAsia"/>
          <w:szCs w:val="21"/>
        </w:rPr>
        <w:t>日起实施，并经</w:t>
      </w:r>
      <w:r>
        <w:rPr>
          <w:szCs w:val="21"/>
        </w:rPr>
        <w:t>2015</w:t>
      </w:r>
      <w:r>
        <w:rPr>
          <w:rFonts w:hint="eastAsia"/>
          <w:szCs w:val="21"/>
        </w:rPr>
        <w:t>年</w:t>
      </w:r>
      <w:r>
        <w:rPr>
          <w:szCs w:val="21"/>
        </w:rPr>
        <w:t>4</w:t>
      </w:r>
      <w:r>
        <w:rPr>
          <w:rFonts w:hint="eastAsia"/>
          <w:szCs w:val="21"/>
        </w:rPr>
        <w:t>月</w:t>
      </w:r>
      <w:r>
        <w:rPr>
          <w:szCs w:val="21"/>
        </w:rPr>
        <w:t>24</w:t>
      </w:r>
      <w:r>
        <w:rPr>
          <w:rFonts w:hint="eastAsia"/>
          <w:szCs w:val="21"/>
        </w:rPr>
        <w:t>日第十二届全国人民代表大会常务委员会第十四次会议《全国人民代表大会常务委员会关于修改</w:t>
      </w:r>
      <w:r>
        <w:rPr>
          <w:szCs w:val="21"/>
        </w:rPr>
        <w:t>&lt;</w:t>
      </w:r>
      <w:r>
        <w:rPr>
          <w:rFonts w:hint="eastAsia"/>
          <w:szCs w:val="21"/>
        </w:rPr>
        <w:t>中华人民共和国港口法</w:t>
      </w:r>
      <w:r>
        <w:rPr>
          <w:szCs w:val="21"/>
        </w:rPr>
        <w:t>&gt;</w:t>
      </w:r>
      <w:r>
        <w:rPr>
          <w:rFonts w:hint="eastAsia"/>
          <w:szCs w:val="21"/>
        </w:rPr>
        <w:t>等七部法律的决定》修正的《中华人民共和国证券投资基金法》及颁布机关对其不时做出的修订</w:t>
      </w:r>
    </w:p>
    <w:p w:rsidR="008711D3" w:rsidRDefault="004479D9">
      <w:pPr>
        <w:spacing w:line="360" w:lineRule="auto"/>
        <w:ind w:firstLineChars="200" w:firstLine="420"/>
        <w:rPr>
          <w:szCs w:val="21"/>
        </w:rPr>
      </w:pPr>
      <w:r>
        <w:rPr>
          <w:bCs/>
          <w:szCs w:val="21"/>
        </w:rPr>
        <w:t>10</w:t>
      </w:r>
      <w:r>
        <w:rPr>
          <w:rFonts w:hint="eastAsia"/>
          <w:szCs w:val="21"/>
        </w:rPr>
        <w:t>、《销售办法》：指中国证监会</w:t>
      </w:r>
      <w:r>
        <w:rPr>
          <w:szCs w:val="21"/>
        </w:rPr>
        <w:t>2020</w:t>
      </w:r>
      <w:r>
        <w:rPr>
          <w:rFonts w:hint="eastAsia"/>
          <w:szCs w:val="21"/>
        </w:rPr>
        <w:t>年</w:t>
      </w:r>
      <w:r>
        <w:rPr>
          <w:szCs w:val="21"/>
        </w:rPr>
        <w:t>8</w:t>
      </w:r>
      <w:r>
        <w:rPr>
          <w:rFonts w:hint="eastAsia"/>
          <w:szCs w:val="21"/>
        </w:rPr>
        <w:t>月</w:t>
      </w:r>
      <w:r>
        <w:rPr>
          <w:szCs w:val="21"/>
        </w:rPr>
        <w:t>28</w:t>
      </w:r>
      <w:r>
        <w:rPr>
          <w:rFonts w:hint="eastAsia"/>
          <w:szCs w:val="21"/>
        </w:rPr>
        <w:t>日颁布、同年</w:t>
      </w:r>
      <w:r>
        <w:rPr>
          <w:szCs w:val="21"/>
        </w:rPr>
        <w:t>10</w:t>
      </w:r>
      <w:r>
        <w:rPr>
          <w:rFonts w:hint="eastAsia"/>
          <w:szCs w:val="21"/>
        </w:rPr>
        <w:t>月</w:t>
      </w:r>
      <w:r>
        <w:rPr>
          <w:szCs w:val="21"/>
        </w:rPr>
        <w:t>1</w:t>
      </w:r>
      <w:r>
        <w:rPr>
          <w:rFonts w:hint="eastAsia"/>
          <w:szCs w:val="21"/>
        </w:rPr>
        <w:t>日实施的《公开</w:t>
      </w:r>
      <w:r>
        <w:rPr>
          <w:szCs w:val="21"/>
        </w:rPr>
        <w:t>募集</w:t>
      </w:r>
      <w:r>
        <w:rPr>
          <w:rFonts w:hint="eastAsia"/>
          <w:szCs w:val="21"/>
        </w:rPr>
        <w:t>证券投资基金销售机构</w:t>
      </w:r>
      <w:r>
        <w:rPr>
          <w:szCs w:val="21"/>
        </w:rPr>
        <w:t>监督</w:t>
      </w:r>
      <w:r>
        <w:rPr>
          <w:rFonts w:hint="eastAsia"/>
          <w:szCs w:val="21"/>
        </w:rPr>
        <w:t>管理办法》及颁布机关对其不时做出的修订</w:t>
      </w:r>
    </w:p>
    <w:p w:rsidR="008711D3" w:rsidRDefault="004479D9">
      <w:pPr>
        <w:spacing w:line="360" w:lineRule="auto"/>
        <w:ind w:firstLineChars="200" w:firstLine="420"/>
        <w:rPr>
          <w:szCs w:val="21"/>
        </w:rPr>
      </w:pPr>
      <w:r>
        <w:rPr>
          <w:bCs/>
          <w:szCs w:val="21"/>
        </w:rPr>
        <w:t>11</w:t>
      </w:r>
      <w:r>
        <w:rPr>
          <w:rFonts w:hint="eastAsia"/>
          <w:szCs w:val="21"/>
        </w:rPr>
        <w:t>、《信息披露办法》：指中国证监会</w:t>
      </w:r>
      <w:r>
        <w:rPr>
          <w:szCs w:val="21"/>
        </w:rPr>
        <w:t>2019</w:t>
      </w:r>
      <w:r>
        <w:rPr>
          <w:rFonts w:hint="eastAsia"/>
          <w:szCs w:val="21"/>
        </w:rPr>
        <w:t>年</w:t>
      </w:r>
      <w:r>
        <w:rPr>
          <w:szCs w:val="21"/>
        </w:rPr>
        <w:t>7</w:t>
      </w:r>
      <w:r>
        <w:rPr>
          <w:rFonts w:hint="eastAsia"/>
          <w:szCs w:val="21"/>
        </w:rPr>
        <w:t>月</w:t>
      </w:r>
      <w:r>
        <w:rPr>
          <w:szCs w:val="21"/>
        </w:rPr>
        <w:t>26</w:t>
      </w:r>
      <w:r>
        <w:rPr>
          <w:rFonts w:hint="eastAsia"/>
          <w:szCs w:val="21"/>
        </w:rPr>
        <w:t>日颁布、同年</w:t>
      </w:r>
      <w:r>
        <w:rPr>
          <w:szCs w:val="21"/>
        </w:rPr>
        <w:t>9</w:t>
      </w:r>
      <w:r>
        <w:rPr>
          <w:rFonts w:hint="eastAsia"/>
          <w:szCs w:val="21"/>
        </w:rPr>
        <w:t>月</w:t>
      </w:r>
      <w:r>
        <w:rPr>
          <w:szCs w:val="21"/>
        </w:rPr>
        <w:t>1</w:t>
      </w:r>
      <w:r>
        <w:rPr>
          <w:rFonts w:hint="eastAsia"/>
          <w:szCs w:val="21"/>
        </w:rPr>
        <w:t>日实施的，并经</w:t>
      </w:r>
      <w:r>
        <w:rPr>
          <w:rFonts w:hint="eastAsia"/>
          <w:szCs w:val="21"/>
        </w:rPr>
        <w:t>2020</w:t>
      </w:r>
      <w:r>
        <w:rPr>
          <w:rFonts w:hint="eastAsia"/>
          <w:szCs w:val="21"/>
        </w:rPr>
        <w:t>年</w:t>
      </w:r>
      <w:r>
        <w:rPr>
          <w:rFonts w:hint="eastAsia"/>
          <w:szCs w:val="21"/>
        </w:rPr>
        <w:t>3</w:t>
      </w:r>
      <w:r>
        <w:rPr>
          <w:rFonts w:hint="eastAsia"/>
          <w:szCs w:val="21"/>
        </w:rPr>
        <w:t>月</w:t>
      </w:r>
      <w:r>
        <w:rPr>
          <w:rFonts w:hint="eastAsia"/>
          <w:szCs w:val="21"/>
        </w:rPr>
        <w:t>20</w:t>
      </w:r>
      <w:r>
        <w:rPr>
          <w:rFonts w:hint="eastAsia"/>
          <w:szCs w:val="21"/>
        </w:rPr>
        <w:t>日中国证监会《关于修改部分证券期货规章的决定》修订的《公开募集证券投资基金信息披露管理办法》及颁布机关对其不时做出的修订</w:t>
      </w:r>
    </w:p>
    <w:p w:rsidR="008711D3" w:rsidRDefault="004479D9">
      <w:pPr>
        <w:spacing w:line="360" w:lineRule="auto"/>
        <w:ind w:firstLineChars="200" w:firstLine="420"/>
        <w:rPr>
          <w:szCs w:val="21"/>
        </w:rPr>
      </w:pPr>
      <w:r>
        <w:rPr>
          <w:bCs/>
          <w:szCs w:val="21"/>
        </w:rPr>
        <w:t>12</w:t>
      </w:r>
      <w:r>
        <w:rPr>
          <w:rFonts w:hint="eastAsia"/>
          <w:szCs w:val="21"/>
        </w:rPr>
        <w:t>、《运作办法》：指中国证监会</w:t>
      </w:r>
      <w:r>
        <w:rPr>
          <w:szCs w:val="21"/>
        </w:rPr>
        <w:t>2014</w:t>
      </w:r>
      <w:r>
        <w:rPr>
          <w:rFonts w:hint="eastAsia"/>
          <w:szCs w:val="21"/>
        </w:rPr>
        <w:t>年</w:t>
      </w:r>
      <w:r>
        <w:rPr>
          <w:szCs w:val="21"/>
        </w:rPr>
        <w:t>7</w:t>
      </w:r>
      <w:r>
        <w:rPr>
          <w:rFonts w:hint="eastAsia"/>
          <w:szCs w:val="21"/>
        </w:rPr>
        <w:t>月</w:t>
      </w:r>
      <w:r>
        <w:rPr>
          <w:szCs w:val="21"/>
        </w:rPr>
        <w:t>7</w:t>
      </w:r>
      <w:r>
        <w:rPr>
          <w:rFonts w:hint="eastAsia"/>
          <w:szCs w:val="21"/>
        </w:rPr>
        <w:t>日颁布、同年</w:t>
      </w:r>
      <w:r>
        <w:rPr>
          <w:szCs w:val="21"/>
        </w:rPr>
        <w:t>8</w:t>
      </w:r>
      <w:r>
        <w:rPr>
          <w:rFonts w:hint="eastAsia"/>
          <w:szCs w:val="21"/>
        </w:rPr>
        <w:t>月</w:t>
      </w:r>
      <w:r>
        <w:rPr>
          <w:szCs w:val="21"/>
        </w:rPr>
        <w:t>8</w:t>
      </w:r>
      <w:r>
        <w:rPr>
          <w:rFonts w:hint="eastAsia"/>
          <w:szCs w:val="21"/>
        </w:rPr>
        <w:t>日实施的《公开募集证券投资基金运作管理办法》及颁布机关对其不时做出的修订</w:t>
      </w:r>
    </w:p>
    <w:p w:rsidR="008711D3" w:rsidRDefault="004479D9">
      <w:pPr>
        <w:spacing w:line="360" w:lineRule="auto"/>
        <w:ind w:firstLineChars="200" w:firstLine="420"/>
        <w:rPr>
          <w:szCs w:val="21"/>
        </w:rPr>
      </w:pPr>
      <w:r>
        <w:rPr>
          <w:bCs/>
          <w:szCs w:val="21"/>
        </w:rPr>
        <w:t>13</w:t>
      </w:r>
      <w:r>
        <w:rPr>
          <w:rFonts w:hint="eastAsia"/>
          <w:szCs w:val="21"/>
        </w:rPr>
        <w:t>、《流动性风险管理规定》：指中国证监会</w:t>
      </w:r>
      <w:r>
        <w:rPr>
          <w:szCs w:val="21"/>
        </w:rPr>
        <w:t>2017</w:t>
      </w:r>
      <w:r>
        <w:rPr>
          <w:rFonts w:hint="eastAsia"/>
          <w:szCs w:val="21"/>
        </w:rPr>
        <w:t>年</w:t>
      </w:r>
      <w:r>
        <w:rPr>
          <w:szCs w:val="21"/>
        </w:rPr>
        <w:t>8</w:t>
      </w:r>
      <w:r>
        <w:rPr>
          <w:rFonts w:hint="eastAsia"/>
          <w:szCs w:val="21"/>
        </w:rPr>
        <w:t>月</w:t>
      </w:r>
      <w:r>
        <w:rPr>
          <w:szCs w:val="21"/>
        </w:rPr>
        <w:t>31</w:t>
      </w:r>
      <w:r>
        <w:rPr>
          <w:rFonts w:hint="eastAsia"/>
          <w:szCs w:val="21"/>
        </w:rPr>
        <w:t>日颁布、同年</w:t>
      </w:r>
      <w:r>
        <w:rPr>
          <w:szCs w:val="21"/>
        </w:rPr>
        <w:t>10</w:t>
      </w:r>
      <w:r>
        <w:rPr>
          <w:rFonts w:hint="eastAsia"/>
          <w:szCs w:val="21"/>
        </w:rPr>
        <w:t>月</w:t>
      </w:r>
      <w:r>
        <w:rPr>
          <w:szCs w:val="21"/>
        </w:rPr>
        <w:t>1</w:t>
      </w:r>
      <w:r>
        <w:rPr>
          <w:rFonts w:hint="eastAsia"/>
          <w:szCs w:val="21"/>
        </w:rPr>
        <w:t>日实施的《公开募集开放式证券投资基金流动性风险管理规定》及颁布机关对其不时做出的修订</w:t>
      </w:r>
    </w:p>
    <w:p w:rsidR="008711D3" w:rsidRDefault="004479D9">
      <w:pPr>
        <w:spacing w:line="360" w:lineRule="auto"/>
        <w:ind w:firstLineChars="200" w:firstLine="420"/>
        <w:rPr>
          <w:bCs/>
          <w:szCs w:val="21"/>
        </w:rPr>
      </w:pPr>
      <w:r>
        <w:rPr>
          <w:bCs/>
          <w:szCs w:val="21"/>
        </w:rPr>
        <w:lastRenderedPageBreak/>
        <w:t>1</w:t>
      </w:r>
      <w:r>
        <w:rPr>
          <w:rFonts w:hint="eastAsia"/>
          <w:bCs/>
          <w:szCs w:val="21"/>
        </w:rPr>
        <w:t>4</w:t>
      </w:r>
      <w:r>
        <w:rPr>
          <w:rFonts w:hint="eastAsia"/>
          <w:bCs/>
          <w:szCs w:val="21"/>
        </w:rPr>
        <w:t>、港股通：指内地投资者经由内地证券交易所设立的证券交易服务公司，向香港联合交易所进行申报，买卖规定范围内的香港联合交易所上市的股票的交易机制，或有权机构对该交易机制的修改或调整</w:t>
      </w:r>
    </w:p>
    <w:p w:rsidR="008711D3" w:rsidRDefault="004479D9">
      <w:pPr>
        <w:spacing w:line="360" w:lineRule="auto"/>
        <w:ind w:firstLineChars="200" w:firstLine="420"/>
        <w:rPr>
          <w:szCs w:val="21"/>
        </w:rPr>
      </w:pPr>
      <w:r>
        <w:rPr>
          <w:bCs/>
          <w:szCs w:val="21"/>
        </w:rPr>
        <w:t>15</w:t>
      </w:r>
      <w:r>
        <w:rPr>
          <w:rFonts w:hint="eastAsia"/>
          <w:szCs w:val="21"/>
        </w:rPr>
        <w:t>、中国证监会：指中国证券监督管理委员会</w:t>
      </w:r>
    </w:p>
    <w:p w:rsidR="008711D3" w:rsidRDefault="004479D9">
      <w:pPr>
        <w:spacing w:line="360" w:lineRule="auto"/>
        <w:ind w:firstLineChars="200" w:firstLine="420"/>
        <w:rPr>
          <w:szCs w:val="21"/>
        </w:rPr>
      </w:pPr>
      <w:r>
        <w:rPr>
          <w:bCs/>
          <w:szCs w:val="21"/>
        </w:rPr>
        <w:t>16</w:t>
      </w:r>
      <w:r>
        <w:rPr>
          <w:rFonts w:hint="eastAsia"/>
          <w:szCs w:val="21"/>
        </w:rPr>
        <w:t>、银行业监督管理机构：指中国人民银行和</w:t>
      </w:r>
      <w:r>
        <w:rPr>
          <w:szCs w:val="21"/>
        </w:rPr>
        <w:t>/</w:t>
      </w:r>
      <w:r>
        <w:rPr>
          <w:rFonts w:hint="eastAsia"/>
          <w:szCs w:val="21"/>
        </w:rPr>
        <w:t>或中国银行保险监督管理委员会</w:t>
      </w:r>
    </w:p>
    <w:p w:rsidR="008711D3" w:rsidRDefault="004479D9">
      <w:pPr>
        <w:spacing w:line="360" w:lineRule="auto"/>
        <w:ind w:firstLineChars="200" w:firstLine="420"/>
        <w:rPr>
          <w:szCs w:val="21"/>
        </w:rPr>
      </w:pPr>
      <w:r>
        <w:rPr>
          <w:bCs/>
          <w:szCs w:val="21"/>
        </w:rPr>
        <w:t>17</w:t>
      </w:r>
      <w:r>
        <w:rPr>
          <w:rFonts w:hint="eastAsia"/>
          <w:szCs w:val="21"/>
        </w:rPr>
        <w:t>、基金合同当事人：指受基金合同约束，根据基金合同享有权利并承担义务的法律主体，包括基金管理人、基金托管人和基金份额持有人</w:t>
      </w:r>
    </w:p>
    <w:p w:rsidR="008711D3" w:rsidRDefault="004479D9">
      <w:pPr>
        <w:spacing w:line="360" w:lineRule="auto"/>
        <w:ind w:firstLineChars="200" w:firstLine="420"/>
        <w:rPr>
          <w:szCs w:val="21"/>
        </w:rPr>
      </w:pPr>
      <w:r>
        <w:rPr>
          <w:bCs/>
          <w:szCs w:val="21"/>
        </w:rPr>
        <w:t>18</w:t>
      </w:r>
      <w:r>
        <w:rPr>
          <w:rFonts w:hint="eastAsia"/>
          <w:szCs w:val="21"/>
        </w:rPr>
        <w:t>、个人投资者：指依据有关法律法规规定可投资于证券投资基金的自然人</w:t>
      </w:r>
    </w:p>
    <w:p w:rsidR="008711D3" w:rsidRDefault="004479D9">
      <w:pPr>
        <w:spacing w:line="360" w:lineRule="auto"/>
        <w:ind w:firstLineChars="200" w:firstLine="420"/>
        <w:rPr>
          <w:szCs w:val="21"/>
        </w:rPr>
      </w:pPr>
      <w:r>
        <w:rPr>
          <w:bCs/>
          <w:szCs w:val="21"/>
        </w:rPr>
        <w:t>19</w:t>
      </w:r>
      <w:r>
        <w:rPr>
          <w:rFonts w:hint="eastAsia"/>
          <w:szCs w:val="21"/>
        </w:rPr>
        <w:t>、机构投资者：指依法可以投资证券投资基金的、在中华人民共和国境内合法登记并存续或经有关政府部门批准设立并存续的企业法人、事业法人、社会团体或其他组织</w:t>
      </w:r>
    </w:p>
    <w:p w:rsidR="008711D3" w:rsidRDefault="004479D9">
      <w:pPr>
        <w:spacing w:line="360" w:lineRule="auto"/>
        <w:ind w:firstLineChars="200" w:firstLine="420"/>
        <w:rPr>
          <w:szCs w:val="21"/>
        </w:rPr>
      </w:pPr>
      <w:r>
        <w:rPr>
          <w:bCs/>
          <w:szCs w:val="21"/>
        </w:rPr>
        <w:t>20</w:t>
      </w:r>
      <w:r>
        <w:rPr>
          <w:rFonts w:hint="eastAsia"/>
          <w:szCs w:val="21"/>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rsidR="008711D3" w:rsidRDefault="004479D9">
      <w:pPr>
        <w:spacing w:line="360" w:lineRule="auto"/>
        <w:ind w:firstLineChars="200" w:firstLine="420"/>
        <w:rPr>
          <w:szCs w:val="21"/>
        </w:rPr>
      </w:pPr>
      <w:r>
        <w:rPr>
          <w:bCs/>
          <w:szCs w:val="21"/>
        </w:rPr>
        <w:t>21</w:t>
      </w:r>
      <w:r>
        <w:rPr>
          <w:rFonts w:hint="eastAsia"/>
          <w:szCs w:val="21"/>
        </w:rPr>
        <w:t>、投资人、投资者：指个人投资者、机构投资者、合格境外投资者以及法律法规或中国证监会允许购买证券投资基金的其他投资人的合称</w:t>
      </w:r>
    </w:p>
    <w:p w:rsidR="008711D3" w:rsidRDefault="004479D9">
      <w:pPr>
        <w:spacing w:line="360" w:lineRule="auto"/>
        <w:ind w:firstLineChars="200" w:firstLine="420"/>
        <w:rPr>
          <w:szCs w:val="21"/>
        </w:rPr>
      </w:pPr>
      <w:r>
        <w:rPr>
          <w:bCs/>
          <w:szCs w:val="21"/>
        </w:rPr>
        <w:t>22</w:t>
      </w:r>
      <w:r>
        <w:rPr>
          <w:rFonts w:hint="eastAsia"/>
          <w:szCs w:val="21"/>
        </w:rPr>
        <w:t>、基金份额持有人：指依基金合同和招募说明书合法取得基金份额的投资人</w:t>
      </w:r>
    </w:p>
    <w:p w:rsidR="008711D3" w:rsidRDefault="004479D9">
      <w:pPr>
        <w:spacing w:line="360" w:lineRule="auto"/>
        <w:ind w:firstLineChars="200" w:firstLine="420"/>
        <w:rPr>
          <w:szCs w:val="21"/>
        </w:rPr>
      </w:pPr>
      <w:r>
        <w:rPr>
          <w:bCs/>
          <w:szCs w:val="21"/>
        </w:rPr>
        <w:t>23</w:t>
      </w:r>
      <w:r>
        <w:rPr>
          <w:rFonts w:hint="eastAsia"/>
          <w:szCs w:val="21"/>
        </w:rPr>
        <w:t>、销售机构：指基金管理人以及符合《销售办法》和中国证监会规定的其他条件，取得公开募集证券投资基金销售业务资格并与基金管理人签订了基金销售服务协议，办理基金销售业务的机构</w:t>
      </w:r>
    </w:p>
    <w:p w:rsidR="008711D3" w:rsidRDefault="004479D9">
      <w:pPr>
        <w:spacing w:line="360" w:lineRule="auto"/>
        <w:ind w:firstLineChars="200" w:firstLine="420"/>
        <w:rPr>
          <w:szCs w:val="21"/>
        </w:rPr>
      </w:pPr>
      <w:r>
        <w:rPr>
          <w:bCs/>
          <w:szCs w:val="21"/>
        </w:rPr>
        <w:t>24</w:t>
      </w:r>
      <w:r>
        <w:rPr>
          <w:rFonts w:hint="eastAsia"/>
          <w:szCs w:val="21"/>
        </w:rPr>
        <w:t>、登记机构：指办理登记业务的机构。本基金的登记机构为</w:t>
      </w:r>
      <w:r>
        <w:rPr>
          <w:rFonts w:hint="eastAsia"/>
          <w:bCs/>
          <w:szCs w:val="21"/>
        </w:rPr>
        <w:t>基金</w:t>
      </w:r>
      <w:r>
        <w:rPr>
          <w:bCs/>
          <w:szCs w:val="21"/>
        </w:rPr>
        <w:t>管理人或接受基金管理人委托代为办理登记业务的机构</w:t>
      </w:r>
    </w:p>
    <w:p w:rsidR="008711D3" w:rsidRDefault="004479D9">
      <w:pPr>
        <w:spacing w:line="360" w:lineRule="auto"/>
        <w:ind w:firstLineChars="200" w:firstLine="420"/>
        <w:rPr>
          <w:szCs w:val="21"/>
        </w:rPr>
      </w:pPr>
      <w:r>
        <w:rPr>
          <w:bCs/>
          <w:szCs w:val="21"/>
        </w:rPr>
        <w:t>25</w:t>
      </w:r>
      <w:r>
        <w:rPr>
          <w:rFonts w:hint="eastAsia"/>
          <w:szCs w:val="21"/>
        </w:rPr>
        <w:t>、基金销售业务：指基金管理人或销售机构宣传推介基金，发售基金份额，办理基金份额的申购、赎回、转换、转托管、定期定额投资、基金交易账户查询等业务</w:t>
      </w:r>
    </w:p>
    <w:p w:rsidR="008711D3" w:rsidRDefault="004479D9">
      <w:pPr>
        <w:spacing w:line="360" w:lineRule="auto"/>
        <w:ind w:firstLineChars="200" w:firstLine="420"/>
        <w:rPr>
          <w:szCs w:val="21"/>
        </w:rPr>
      </w:pPr>
      <w:r>
        <w:rPr>
          <w:bCs/>
          <w:szCs w:val="21"/>
        </w:rPr>
        <w:t>26</w:t>
      </w:r>
      <w:r>
        <w:rPr>
          <w:rFonts w:hint="eastAsia"/>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8711D3" w:rsidRDefault="004479D9">
      <w:pPr>
        <w:spacing w:line="360" w:lineRule="auto"/>
        <w:ind w:firstLineChars="200" w:firstLine="420"/>
        <w:rPr>
          <w:szCs w:val="21"/>
        </w:rPr>
      </w:pPr>
      <w:r>
        <w:rPr>
          <w:bCs/>
          <w:szCs w:val="21"/>
        </w:rPr>
        <w:t>27</w:t>
      </w:r>
      <w:r>
        <w:rPr>
          <w:rFonts w:hint="eastAsia"/>
          <w:bCs/>
          <w:szCs w:val="21"/>
        </w:rPr>
        <w:t>、</w:t>
      </w:r>
      <w:r>
        <w:rPr>
          <w:rFonts w:hint="eastAsia"/>
          <w:szCs w:val="21"/>
        </w:rPr>
        <w:t>基金账户：指</w:t>
      </w:r>
      <w:r>
        <w:rPr>
          <w:bCs/>
          <w:szCs w:val="21"/>
        </w:rPr>
        <w:t>登记机构为</w:t>
      </w:r>
      <w:r>
        <w:rPr>
          <w:rFonts w:hint="eastAsia"/>
          <w:szCs w:val="21"/>
        </w:rPr>
        <w:t>投资人</w:t>
      </w:r>
      <w:r>
        <w:rPr>
          <w:bCs/>
          <w:szCs w:val="21"/>
        </w:rPr>
        <w:t>开立</w:t>
      </w:r>
      <w:r>
        <w:rPr>
          <w:rFonts w:hint="eastAsia"/>
          <w:szCs w:val="21"/>
        </w:rPr>
        <w:t>的</w:t>
      </w:r>
      <w:r>
        <w:rPr>
          <w:bCs/>
          <w:szCs w:val="21"/>
        </w:rPr>
        <w:t>、</w:t>
      </w:r>
      <w:r>
        <w:rPr>
          <w:rFonts w:hint="eastAsia"/>
          <w:szCs w:val="21"/>
        </w:rPr>
        <w:t>记录其持有的、基金管理人所管理的基金份额余额及其变动情况的账户</w:t>
      </w:r>
    </w:p>
    <w:p w:rsidR="008711D3" w:rsidRDefault="004479D9">
      <w:pPr>
        <w:spacing w:line="360" w:lineRule="auto"/>
        <w:ind w:firstLineChars="200" w:firstLine="420"/>
        <w:rPr>
          <w:szCs w:val="21"/>
        </w:rPr>
      </w:pPr>
      <w:r>
        <w:rPr>
          <w:bCs/>
          <w:szCs w:val="21"/>
        </w:rPr>
        <w:t>28</w:t>
      </w:r>
      <w:r>
        <w:rPr>
          <w:rFonts w:hint="eastAsia"/>
          <w:szCs w:val="21"/>
        </w:rPr>
        <w:t>、基金交易账户：指销售机构为投资人开立的、记录投资人通过该销售机构办理认购、</w:t>
      </w:r>
      <w:r>
        <w:rPr>
          <w:rFonts w:hint="eastAsia"/>
          <w:szCs w:val="21"/>
        </w:rPr>
        <w:lastRenderedPageBreak/>
        <w:t>申购、赎回、转换、转托管及定期定额投资等业务而引起的基金份额变动及结余情况的账户</w:t>
      </w:r>
    </w:p>
    <w:p w:rsidR="008711D3" w:rsidRDefault="004479D9">
      <w:pPr>
        <w:spacing w:line="360" w:lineRule="auto"/>
        <w:ind w:firstLineChars="200" w:firstLine="420"/>
        <w:rPr>
          <w:szCs w:val="21"/>
        </w:rPr>
      </w:pPr>
      <w:r>
        <w:rPr>
          <w:bCs/>
          <w:szCs w:val="21"/>
        </w:rPr>
        <w:t>29</w:t>
      </w:r>
      <w:r>
        <w:rPr>
          <w:rFonts w:hint="eastAsia"/>
          <w:szCs w:val="21"/>
        </w:rPr>
        <w:t>、基金合同生效日：指基金募集达到法律法规及基金合同规定的条件，基金管理人向中国证监会办理完毕基金备案手续，并获得中国证监会书面确认的日期</w:t>
      </w:r>
    </w:p>
    <w:p w:rsidR="008711D3" w:rsidRDefault="004479D9">
      <w:pPr>
        <w:spacing w:line="360" w:lineRule="auto"/>
        <w:ind w:firstLineChars="200" w:firstLine="420"/>
        <w:rPr>
          <w:szCs w:val="21"/>
        </w:rPr>
      </w:pPr>
      <w:r>
        <w:rPr>
          <w:bCs/>
          <w:szCs w:val="21"/>
        </w:rPr>
        <w:t>30</w:t>
      </w:r>
      <w:r>
        <w:rPr>
          <w:rFonts w:hint="eastAsia"/>
          <w:szCs w:val="21"/>
        </w:rPr>
        <w:t>、基金合同终止日：指基金合同规定的基金合同终止事由出现后，基金财产清算完毕，清算结果报中国证监会备案并予以公告的日期</w:t>
      </w:r>
    </w:p>
    <w:p w:rsidR="008711D3" w:rsidRDefault="004479D9">
      <w:pPr>
        <w:spacing w:line="360" w:lineRule="auto"/>
        <w:ind w:firstLineChars="200" w:firstLine="420"/>
        <w:rPr>
          <w:szCs w:val="21"/>
        </w:rPr>
      </w:pPr>
      <w:r>
        <w:rPr>
          <w:bCs/>
          <w:szCs w:val="21"/>
        </w:rPr>
        <w:t>31</w:t>
      </w:r>
      <w:r>
        <w:rPr>
          <w:rFonts w:hint="eastAsia"/>
          <w:szCs w:val="21"/>
        </w:rPr>
        <w:t>、基金募集期：指自基金份额发售之日起至发售结束之日止的期间，最长不得超过</w:t>
      </w:r>
      <w:r>
        <w:rPr>
          <w:szCs w:val="21"/>
        </w:rPr>
        <w:t>3</w:t>
      </w:r>
      <w:r>
        <w:rPr>
          <w:rFonts w:hint="eastAsia"/>
          <w:szCs w:val="21"/>
        </w:rPr>
        <w:t>个月</w:t>
      </w:r>
    </w:p>
    <w:p w:rsidR="008711D3" w:rsidRDefault="004479D9">
      <w:pPr>
        <w:spacing w:line="360" w:lineRule="auto"/>
        <w:ind w:firstLineChars="200" w:firstLine="420"/>
        <w:rPr>
          <w:szCs w:val="21"/>
        </w:rPr>
      </w:pPr>
      <w:r>
        <w:rPr>
          <w:bCs/>
          <w:szCs w:val="21"/>
        </w:rPr>
        <w:t>32</w:t>
      </w:r>
      <w:r>
        <w:rPr>
          <w:rFonts w:hint="eastAsia"/>
          <w:szCs w:val="21"/>
        </w:rPr>
        <w:t>、存续期：指基金合同生效至终止之间的不定期期限</w:t>
      </w:r>
    </w:p>
    <w:p w:rsidR="008711D3" w:rsidRDefault="004479D9">
      <w:pPr>
        <w:spacing w:line="360" w:lineRule="auto"/>
        <w:ind w:firstLineChars="200" w:firstLine="420"/>
        <w:rPr>
          <w:szCs w:val="21"/>
        </w:rPr>
      </w:pPr>
      <w:r>
        <w:rPr>
          <w:bCs/>
          <w:szCs w:val="21"/>
        </w:rPr>
        <w:t>33</w:t>
      </w:r>
      <w:r>
        <w:rPr>
          <w:rFonts w:hint="eastAsia"/>
          <w:bCs/>
          <w:szCs w:val="21"/>
        </w:rPr>
        <w:t>、工作日</w:t>
      </w:r>
      <w:r>
        <w:rPr>
          <w:rFonts w:hint="eastAsia"/>
          <w:szCs w:val="21"/>
        </w:rPr>
        <w:t>：指上海证券交易所、深圳证券交易所的正常交易日</w:t>
      </w:r>
    </w:p>
    <w:p w:rsidR="008711D3" w:rsidRDefault="004479D9">
      <w:pPr>
        <w:spacing w:line="360" w:lineRule="auto"/>
        <w:ind w:firstLineChars="200" w:firstLine="420"/>
        <w:rPr>
          <w:bCs/>
          <w:szCs w:val="21"/>
        </w:rPr>
      </w:pPr>
      <w:r>
        <w:rPr>
          <w:bCs/>
          <w:szCs w:val="21"/>
        </w:rPr>
        <w:t>34</w:t>
      </w:r>
      <w:r>
        <w:rPr>
          <w:rFonts w:hint="eastAsia"/>
          <w:bCs/>
          <w:szCs w:val="21"/>
        </w:rPr>
        <w:t>、交易日：在内地、香港两地均为交易日且能够满足结算安排、开通港股通交易的交易日。具体交易日安排，由两地证券交易所、证券交易服务公司对市场公布</w:t>
      </w:r>
    </w:p>
    <w:p w:rsidR="008711D3" w:rsidRDefault="004479D9">
      <w:pPr>
        <w:spacing w:line="360" w:lineRule="auto"/>
        <w:ind w:firstLineChars="200" w:firstLine="420"/>
        <w:rPr>
          <w:szCs w:val="21"/>
        </w:rPr>
      </w:pPr>
      <w:r>
        <w:rPr>
          <w:bCs/>
          <w:szCs w:val="21"/>
        </w:rPr>
        <w:t>35</w:t>
      </w:r>
      <w:r>
        <w:rPr>
          <w:rFonts w:hint="eastAsia"/>
          <w:szCs w:val="21"/>
        </w:rPr>
        <w:t>、</w:t>
      </w:r>
      <w:r>
        <w:rPr>
          <w:szCs w:val="21"/>
        </w:rPr>
        <w:t>T</w:t>
      </w:r>
      <w:r>
        <w:rPr>
          <w:rFonts w:hint="eastAsia"/>
          <w:szCs w:val="21"/>
        </w:rPr>
        <w:t>日：指销售机构在规定时间受理投资人申购、赎回或其他业务申请的开放日</w:t>
      </w:r>
    </w:p>
    <w:p w:rsidR="008711D3" w:rsidRDefault="004479D9">
      <w:pPr>
        <w:spacing w:line="360" w:lineRule="auto"/>
        <w:ind w:firstLineChars="200" w:firstLine="420"/>
        <w:rPr>
          <w:szCs w:val="21"/>
        </w:rPr>
      </w:pPr>
      <w:r>
        <w:rPr>
          <w:bCs/>
          <w:szCs w:val="21"/>
        </w:rPr>
        <w:t>36</w:t>
      </w:r>
      <w:r>
        <w:rPr>
          <w:rFonts w:hint="eastAsia"/>
          <w:szCs w:val="21"/>
        </w:rPr>
        <w:t>、</w:t>
      </w:r>
      <w:r>
        <w:rPr>
          <w:szCs w:val="21"/>
        </w:rPr>
        <w:t>T+n</w:t>
      </w:r>
      <w:r>
        <w:rPr>
          <w:rFonts w:hint="eastAsia"/>
          <w:szCs w:val="21"/>
        </w:rPr>
        <w:t>日：指自</w:t>
      </w:r>
      <w:r>
        <w:rPr>
          <w:szCs w:val="21"/>
        </w:rPr>
        <w:t>T</w:t>
      </w:r>
      <w:r>
        <w:rPr>
          <w:rFonts w:hint="eastAsia"/>
          <w:szCs w:val="21"/>
        </w:rPr>
        <w:t>日起第</w:t>
      </w:r>
      <w:r>
        <w:rPr>
          <w:szCs w:val="21"/>
        </w:rPr>
        <w:t>n</w:t>
      </w:r>
      <w:r>
        <w:rPr>
          <w:rFonts w:hint="eastAsia"/>
          <w:szCs w:val="21"/>
        </w:rPr>
        <w:t>个工作日</w:t>
      </w:r>
      <w:r>
        <w:rPr>
          <w:szCs w:val="21"/>
        </w:rPr>
        <w:t>(</w:t>
      </w:r>
      <w:r>
        <w:rPr>
          <w:rFonts w:hint="eastAsia"/>
          <w:szCs w:val="21"/>
        </w:rPr>
        <w:t>不包含</w:t>
      </w:r>
      <w:r>
        <w:rPr>
          <w:szCs w:val="21"/>
        </w:rPr>
        <w:t>T</w:t>
      </w:r>
      <w:r>
        <w:rPr>
          <w:rFonts w:hint="eastAsia"/>
          <w:szCs w:val="21"/>
        </w:rPr>
        <w:t>日</w:t>
      </w:r>
      <w:r>
        <w:rPr>
          <w:szCs w:val="21"/>
        </w:rPr>
        <w:t>)</w:t>
      </w:r>
    </w:p>
    <w:p w:rsidR="008711D3" w:rsidRDefault="004479D9">
      <w:pPr>
        <w:spacing w:line="360" w:lineRule="auto"/>
        <w:ind w:firstLineChars="200" w:firstLine="420"/>
        <w:rPr>
          <w:szCs w:val="21"/>
        </w:rPr>
      </w:pPr>
      <w:r>
        <w:rPr>
          <w:bCs/>
          <w:szCs w:val="21"/>
        </w:rPr>
        <w:t>37</w:t>
      </w:r>
      <w:r>
        <w:rPr>
          <w:rFonts w:hint="eastAsia"/>
          <w:szCs w:val="21"/>
        </w:rPr>
        <w:t>、开放日：指为投资人办理基金份额申购、赎回或其他业务的工作日</w:t>
      </w:r>
      <w:r>
        <w:rPr>
          <w:rFonts w:hint="eastAsia"/>
          <w:bCs/>
          <w:szCs w:val="21"/>
        </w:rPr>
        <w:t>（若该工作日为非港股通交易日，则本基金不开放基金份额申购、赎回或其他业务）</w:t>
      </w:r>
    </w:p>
    <w:p w:rsidR="008711D3" w:rsidRDefault="004479D9">
      <w:pPr>
        <w:spacing w:line="360" w:lineRule="auto"/>
        <w:ind w:firstLineChars="200" w:firstLine="420"/>
        <w:rPr>
          <w:szCs w:val="21"/>
        </w:rPr>
      </w:pPr>
      <w:r>
        <w:rPr>
          <w:bCs/>
          <w:szCs w:val="21"/>
        </w:rPr>
        <w:t>38</w:t>
      </w:r>
      <w:r>
        <w:rPr>
          <w:rFonts w:hint="eastAsia"/>
          <w:szCs w:val="21"/>
        </w:rPr>
        <w:t>、开放时间：指开放日基金接受申购、赎回或其他交易的时间段</w:t>
      </w:r>
    </w:p>
    <w:p w:rsidR="008711D3" w:rsidRDefault="004479D9">
      <w:pPr>
        <w:spacing w:line="360" w:lineRule="auto"/>
        <w:ind w:firstLineChars="200" w:firstLine="420"/>
        <w:rPr>
          <w:szCs w:val="21"/>
        </w:rPr>
      </w:pPr>
      <w:r>
        <w:rPr>
          <w:bCs/>
          <w:szCs w:val="21"/>
        </w:rPr>
        <w:t>39</w:t>
      </w:r>
      <w:r>
        <w:rPr>
          <w:rFonts w:hint="eastAsia"/>
          <w:szCs w:val="21"/>
        </w:rPr>
        <w:t>、业务规则：指</w:t>
      </w:r>
      <w:r>
        <w:rPr>
          <w:bCs/>
          <w:szCs w:val="21"/>
        </w:rPr>
        <w:t>基金管理人制定并不时修订的</w:t>
      </w:r>
      <w:r>
        <w:rPr>
          <w:rFonts w:hint="eastAsia"/>
          <w:bCs/>
          <w:szCs w:val="21"/>
        </w:rPr>
        <w:t>，</w:t>
      </w:r>
      <w:r>
        <w:rPr>
          <w:bCs/>
          <w:szCs w:val="21"/>
        </w:rPr>
        <w:t>规范</w:t>
      </w:r>
      <w:r>
        <w:rPr>
          <w:rFonts w:hint="eastAsia"/>
          <w:szCs w:val="21"/>
        </w:rPr>
        <w:t>基金管理人</w:t>
      </w:r>
      <w:r>
        <w:rPr>
          <w:bCs/>
          <w:szCs w:val="21"/>
        </w:rPr>
        <w:t>所管理的开放式证券投资基金</w:t>
      </w:r>
      <w:r>
        <w:rPr>
          <w:rFonts w:hint="eastAsia"/>
          <w:szCs w:val="21"/>
        </w:rPr>
        <w:t>登记</w:t>
      </w:r>
      <w:r>
        <w:rPr>
          <w:bCs/>
          <w:szCs w:val="21"/>
        </w:rPr>
        <w:t>方面的</w:t>
      </w:r>
      <w:r>
        <w:rPr>
          <w:rFonts w:hint="eastAsia"/>
          <w:szCs w:val="21"/>
        </w:rPr>
        <w:t>业务规则，由基金管理</w:t>
      </w:r>
      <w:r>
        <w:rPr>
          <w:bCs/>
          <w:szCs w:val="21"/>
        </w:rPr>
        <w:t>人和</w:t>
      </w:r>
      <w:r>
        <w:rPr>
          <w:rFonts w:hint="eastAsia"/>
          <w:szCs w:val="21"/>
        </w:rPr>
        <w:t>投资人共同遵守</w:t>
      </w:r>
    </w:p>
    <w:p w:rsidR="008711D3" w:rsidRDefault="004479D9">
      <w:pPr>
        <w:spacing w:line="360" w:lineRule="auto"/>
        <w:ind w:firstLineChars="200" w:firstLine="420"/>
        <w:rPr>
          <w:szCs w:val="21"/>
        </w:rPr>
      </w:pPr>
      <w:r>
        <w:rPr>
          <w:bCs/>
          <w:szCs w:val="21"/>
        </w:rPr>
        <w:t>40</w:t>
      </w:r>
      <w:r>
        <w:rPr>
          <w:rFonts w:hint="eastAsia"/>
          <w:szCs w:val="21"/>
        </w:rPr>
        <w:t>、认购：指在基金募集期内，投资人根据基金合同、招募说明书及相关公告的规定申请购买基金份额的行为</w:t>
      </w:r>
    </w:p>
    <w:p w:rsidR="008711D3" w:rsidRDefault="004479D9">
      <w:pPr>
        <w:spacing w:line="360" w:lineRule="auto"/>
        <w:ind w:firstLineChars="200" w:firstLine="420"/>
        <w:rPr>
          <w:szCs w:val="21"/>
        </w:rPr>
      </w:pPr>
      <w:r>
        <w:rPr>
          <w:bCs/>
          <w:szCs w:val="21"/>
        </w:rPr>
        <w:t>41</w:t>
      </w:r>
      <w:r>
        <w:rPr>
          <w:rFonts w:hint="eastAsia"/>
          <w:szCs w:val="21"/>
        </w:rPr>
        <w:t>、申购：指基金</w:t>
      </w:r>
      <w:r>
        <w:rPr>
          <w:bCs/>
          <w:szCs w:val="21"/>
        </w:rPr>
        <w:t>合同生效后</w:t>
      </w:r>
      <w:r>
        <w:rPr>
          <w:rFonts w:hint="eastAsia"/>
          <w:szCs w:val="21"/>
        </w:rPr>
        <w:t>，投资人根据基金合同和招募说明书及相关公告的规定申请购买基金份额的行为</w:t>
      </w:r>
    </w:p>
    <w:p w:rsidR="008711D3" w:rsidRDefault="004479D9">
      <w:pPr>
        <w:spacing w:line="360" w:lineRule="auto"/>
        <w:ind w:firstLineChars="200" w:firstLine="420"/>
        <w:rPr>
          <w:szCs w:val="21"/>
        </w:rPr>
      </w:pPr>
      <w:r>
        <w:rPr>
          <w:bCs/>
          <w:szCs w:val="21"/>
        </w:rPr>
        <w:t>42</w:t>
      </w:r>
      <w:r>
        <w:rPr>
          <w:rFonts w:hint="eastAsia"/>
          <w:szCs w:val="21"/>
        </w:rPr>
        <w:t>、赎回：指基金</w:t>
      </w:r>
      <w:r>
        <w:rPr>
          <w:bCs/>
          <w:szCs w:val="21"/>
        </w:rPr>
        <w:t>合同生效后</w:t>
      </w:r>
      <w:r>
        <w:rPr>
          <w:rFonts w:hint="eastAsia"/>
          <w:szCs w:val="21"/>
        </w:rPr>
        <w:t>，基金份额持有人按基金合同、招募说明书及相关公告规定的条件要求将基金份额兑换为现金的行为</w:t>
      </w:r>
    </w:p>
    <w:p w:rsidR="008711D3" w:rsidRDefault="004479D9">
      <w:pPr>
        <w:spacing w:line="360" w:lineRule="auto"/>
        <w:ind w:firstLineChars="200" w:firstLine="420"/>
        <w:rPr>
          <w:szCs w:val="21"/>
        </w:rPr>
      </w:pPr>
      <w:r>
        <w:rPr>
          <w:bCs/>
          <w:szCs w:val="21"/>
        </w:rPr>
        <w:t>43</w:t>
      </w:r>
      <w:r>
        <w:rPr>
          <w:rFonts w:hint="eastAsia"/>
          <w:szCs w:val="21"/>
        </w:rPr>
        <w:t>、基金转换：指基金份额持有人按照基金合同和基金管理人届时有效公告规定的条件，申请将其持有基金管理人管理的某一基金的基金份额转换为基金管理人管理的其他基金基金份额的行为</w:t>
      </w:r>
    </w:p>
    <w:p w:rsidR="008711D3" w:rsidRDefault="004479D9">
      <w:pPr>
        <w:spacing w:line="360" w:lineRule="auto"/>
        <w:ind w:firstLineChars="200" w:firstLine="420"/>
        <w:rPr>
          <w:szCs w:val="21"/>
        </w:rPr>
      </w:pPr>
      <w:r>
        <w:rPr>
          <w:bCs/>
          <w:szCs w:val="21"/>
        </w:rPr>
        <w:t>44</w:t>
      </w:r>
      <w:r>
        <w:rPr>
          <w:rFonts w:hint="eastAsia"/>
          <w:szCs w:val="21"/>
        </w:rPr>
        <w:t>、转托管：指基金份额持有人在本基金的不同销售机构之间实施的变更所持基金份额销售机构的操作</w:t>
      </w:r>
    </w:p>
    <w:p w:rsidR="008711D3" w:rsidRDefault="004479D9">
      <w:pPr>
        <w:spacing w:line="360" w:lineRule="auto"/>
        <w:ind w:firstLineChars="200" w:firstLine="420"/>
        <w:rPr>
          <w:szCs w:val="21"/>
        </w:rPr>
      </w:pPr>
      <w:r>
        <w:rPr>
          <w:bCs/>
          <w:szCs w:val="21"/>
        </w:rPr>
        <w:t>45</w:t>
      </w:r>
      <w:r>
        <w:rPr>
          <w:rFonts w:hint="eastAsia"/>
          <w:szCs w:val="21"/>
        </w:rPr>
        <w:t>、定期定额投资计划：指投资人通过有关销售机构提出申请，约定每期申购日、扣款</w:t>
      </w:r>
      <w:r>
        <w:rPr>
          <w:rFonts w:hint="eastAsia"/>
          <w:szCs w:val="21"/>
        </w:rPr>
        <w:lastRenderedPageBreak/>
        <w:t>金额及扣款方式，由销售机构于每期约定扣款日在投资人指定银行账户内自动完成扣款及受理基金申购申请的一种投资方式</w:t>
      </w:r>
    </w:p>
    <w:p w:rsidR="008711D3" w:rsidRDefault="004479D9">
      <w:pPr>
        <w:spacing w:line="360" w:lineRule="auto"/>
        <w:ind w:firstLineChars="200" w:firstLine="420"/>
        <w:rPr>
          <w:szCs w:val="21"/>
        </w:rPr>
      </w:pPr>
      <w:r>
        <w:rPr>
          <w:bCs/>
          <w:szCs w:val="21"/>
        </w:rPr>
        <w:t>46</w:t>
      </w:r>
      <w:r>
        <w:rPr>
          <w:rFonts w:hint="eastAsia"/>
          <w:szCs w:val="21"/>
        </w:rPr>
        <w:t>、巨额赎回：指</w:t>
      </w:r>
      <w:r>
        <w:rPr>
          <w:bCs/>
          <w:szCs w:val="21"/>
        </w:rPr>
        <w:t>本</w:t>
      </w:r>
      <w:r>
        <w:rPr>
          <w:rFonts w:hint="eastAsia"/>
          <w:szCs w:val="21"/>
        </w:rPr>
        <w:t>基金单个开放日，基金净赎回申请</w:t>
      </w:r>
      <w:r>
        <w:rPr>
          <w:szCs w:val="21"/>
        </w:rPr>
        <w:t>(</w:t>
      </w:r>
      <w:r>
        <w:rPr>
          <w:rFonts w:hint="eastAsia"/>
          <w:szCs w:val="21"/>
        </w:rPr>
        <w:t>赎回申请份额总数加上基金转换中转出申请份额总数后扣除申购申请份额总数及基金转换中转入申请份额总数后的余额</w:t>
      </w:r>
      <w:r>
        <w:rPr>
          <w:szCs w:val="21"/>
        </w:rPr>
        <w:t>)</w:t>
      </w:r>
      <w:r>
        <w:rPr>
          <w:rFonts w:hint="eastAsia"/>
          <w:szCs w:val="21"/>
        </w:rPr>
        <w:t>超过上一工作日基金总份额的</w:t>
      </w:r>
      <w:r>
        <w:rPr>
          <w:rFonts w:hint="eastAsia"/>
          <w:bCs/>
          <w:szCs w:val="21"/>
        </w:rPr>
        <w:t>1</w:t>
      </w:r>
      <w:r>
        <w:rPr>
          <w:bCs/>
          <w:szCs w:val="21"/>
        </w:rPr>
        <w:t>0</w:t>
      </w:r>
      <w:r>
        <w:rPr>
          <w:szCs w:val="21"/>
        </w:rPr>
        <w:t>%</w:t>
      </w:r>
    </w:p>
    <w:p w:rsidR="008711D3" w:rsidRDefault="004479D9">
      <w:pPr>
        <w:spacing w:line="360" w:lineRule="auto"/>
        <w:ind w:firstLineChars="200" w:firstLine="420"/>
        <w:rPr>
          <w:szCs w:val="21"/>
        </w:rPr>
      </w:pPr>
      <w:r>
        <w:rPr>
          <w:bCs/>
          <w:szCs w:val="21"/>
        </w:rPr>
        <w:t>47</w:t>
      </w:r>
      <w:r>
        <w:rPr>
          <w:rFonts w:hint="eastAsia"/>
          <w:szCs w:val="21"/>
        </w:rPr>
        <w:t>、元：指人民币元</w:t>
      </w:r>
    </w:p>
    <w:p w:rsidR="008711D3" w:rsidRDefault="004479D9">
      <w:pPr>
        <w:spacing w:line="360" w:lineRule="auto"/>
        <w:ind w:firstLineChars="200" w:firstLine="420"/>
        <w:rPr>
          <w:szCs w:val="21"/>
        </w:rPr>
      </w:pPr>
      <w:r>
        <w:rPr>
          <w:bCs/>
          <w:szCs w:val="21"/>
        </w:rPr>
        <w:t>48</w:t>
      </w:r>
      <w:r>
        <w:rPr>
          <w:rFonts w:hint="eastAsia"/>
          <w:szCs w:val="21"/>
        </w:rPr>
        <w:t>、基金收益：指基金投资所得红利、股息、债券利息、买卖证券价差、银行存款利息、已实现的其他合法收入及因运用基金财产带来的成本和费用的节约</w:t>
      </w:r>
    </w:p>
    <w:p w:rsidR="008711D3" w:rsidRDefault="004479D9">
      <w:pPr>
        <w:spacing w:line="360" w:lineRule="auto"/>
        <w:ind w:firstLineChars="200" w:firstLine="420"/>
        <w:rPr>
          <w:szCs w:val="21"/>
        </w:rPr>
      </w:pPr>
      <w:r>
        <w:rPr>
          <w:bCs/>
          <w:szCs w:val="21"/>
        </w:rPr>
        <w:t>49</w:t>
      </w:r>
      <w:r>
        <w:rPr>
          <w:rFonts w:hint="eastAsia"/>
          <w:szCs w:val="21"/>
        </w:rPr>
        <w:t>、基金资产总值：指基金拥有的各类有价证券、银行存款本息、基金应收申购款及其他资产的价值总和</w:t>
      </w:r>
    </w:p>
    <w:p w:rsidR="008711D3" w:rsidRDefault="004479D9">
      <w:pPr>
        <w:spacing w:line="360" w:lineRule="auto"/>
        <w:ind w:firstLineChars="200" w:firstLine="420"/>
        <w:rPr>
          <w:szCs w:val="21"/>
        </w:rPr>
      </w:pPr>
      <w:r>
        <w:rPr>
          <w:rFonts w:hint="eastAsia"/>
          <w:bCs/>
          <w:szCs w:val="21"/>
        </w:rPr>
        <w:t>5</w:t>
      </w:r>
      <w:r>
        <w:rPr>
          <w:bCs/>
          <w:szCs w:val="21"/>
        </w:rPr>
        <w:t>0</w:t>
      </w:r>
      <w:r>
        <w:rPr>
          <w:rFonts w:hint="eastAsia"/>
          <w:szCs w:val="21"/>
        </w:rPr>
        <w:t>、基金资产净值：指基金资产总值减去基金负债后的价值</w:t>
      </w:r>
    </w:p>
    <w:p w:rsidR="008711D3" w:rsidRDefault="004479D9">
      <w:pPr>
        <w:spacing w:line="360" w:lineRule="auto"/>
        <w:ind w:firstLineChars="200" w:firstLine="420"/>
        <w:rPr>
          <w:szCs w:val="21"/>
        </w:rPr>
      </w:pPr>
      <w:r>
        <w:rPr>
          <w:bCs/>
          <w:szCs w:val="21"/>
        </w:rPr>
        <w:t>51</w:t>
      </w:r>
      <w:r>
        <w:rPr>
          <w:rFonts w:hint="eastAsia"/>
          <w:szCs w:val="21"/>
        </w:rPr>
        <w:t>、基金份额净值：针对本基金各类份额，指计算日某一类基金份额的基金资产净值除以计算日该类基金份额的基金份额总数</w:t>
      </w:r>
    </w:p>
    <w:p w:rsidR="008711D3" w:rsidRDefault="004479D9">
      <w:pPr>
        <w:spacing w:line="360" w:lineRule="auto"/>
        <w:ind w:firstLineChars="200" w:firstLine="420"/>
        <w:rPr>
          <w:szCs w:val="21"/>
        </w:rPr>
      </w:pPr>
      <w:r>
        <w:rPr>
          <w:bCs/>
          <w:szCs w:val="21"/>
        </w:rPr>
        <w:t>52</w:t>
      </w:r>
      <w:r>
        <w:rPr>
          <w:rFonts w:hint="eastAsia"/>
          <w:szCs w:val="21"/>
        </w:rPr>
        <w:t>、基金资产估值：指计算评估基金资产和负债的价值，以确定基金资产净值和基金份额净值的过程</w:t>
      </w:r>
    </w:p>
    <w:p w:rsidR="008711D3" w:rsidRDefault="004479D9">
      <w:pPr>
        <w:spacing w:line="360" w:lineRule="auto"/>
        <w:ind w:firstLineChars="200" w:firstLine="420"/>
        <w:rPr>
          <w:szCs w:val="21"/>
        </w:rPr>
      </w:pPr>
      <w:r>
        <w:rPr>
          <w:bCs/>
          <w:szCs w:val="21"/>
        </w:rPr>
        <w:t>53</w:t>
      </w:r>
      <w:r>
        <w:rPr>
          <w:rFonts w:hint="eastAsia"/>
          <w:bCs/>
          <w:szCs w:val="21"/>
        </w:rPr>
        <w:t>、</w:t>
      </w:r>
      <w:r>
        <w:rPr>
          <w:rFonts w:hint="eastAsia"/>
          <w:szCs w:val="21"/>
        </w:rPr>
        <w:t>规定媒介：指符合中国证监会规定条件的</w:t>
      </w:r>
      <w:r>
        <w:rPr>
          <w:bCs/>
          <w:szCs w:val="21"/>
        </w:rPr>
        <w:t>用以进行信息披露的</w:t>
      </w:r>
      <w:r>
        <w:rPr>
          <w:rFonts w:hint="eastAsia"/>
          <w:szCs w:val="21"/>
        </w:rPr>
        <w:t>全国性报刊</w:t>
      </w:r>
      <w:r>
        <w:rPr>
          <w:rFonts w:hint="eastAsia"/>
          <w:bCs/>
          <w:szCs w:val="21"/>
        </w:rPr>
        <w:t>及《信息披露办法》</w:t>
      </w:r>
      <w:r>
        <w:rPr>
          <w:rFonts w:hint="eastAsia"/>
          <w:szCs w:val="21"/>
        </w:rPr>
        <w:t>规定</w:t>
      </w:r>
      <w:r>
        <w:rPr>
          <w:rFonts w:hint="eastAsia"/>
          <w:bCs/>
          <w:szCs w:val="21"/>
        </w:rPr>
        <w:t>的</w:t>
      </w:r>
      <w:r>
        <w:rPr>
          <w:rFonts w:hint="eastAsia"/>
          <w:szCs w:val="21"/>
        </w:rPr>
        <w:t>互联网网站（包括基金管理人网站、基金托管人网站、中国证监会基金电子披露网站）等媒介</w:t>
      </w:r>
    </w:p>
    <w:p w:rsidR="008711D3" w:rsidRDefault="004479D9">
      <w:pPr>
        <w:spacing w:line="360" w:lineRule="auto"/>
        <w:ind w:firstLineChars="200" w:firstLine="420"/>
        <w:rPr>
          <w:bCs/>
          <w:szCs w:val="21"/>
        </w:rPr>
      </w:pPr>
      <w:r>
        <w:rPr>
          <w:rFonts w:hint="eastAsia"/>
          <w:bCs/>
          <w:szCs w:val="21"/>
        </w:rPr>
        <w:t>5</w:t>
      </w:r>
      <w:r>
        <w:rPr>
          <w:bCs/>
          <w:szCs w:val="21"/>
        </w:rPr>
        <w:t>4</w:t>
      </w:r>
      <w:r>
        <w:rPr>
          <w:rFonts w:hint="eastAsia"/>
          <w:bCs/>
          <w:szCs w:val="21"/>
        </w:rPr>
        <w:t>、基金份额类别：指本基金根据认购</w:t>
      </w:r>
      <w:r>
        <w:rPr>
          <w:rFonts w:hint="eastAsia"/>
          <w:bCs/>
          <w:szCs w:val="21"/>
        </w:rPr>
        <w:t>/</w:t>
      </w:r>
      <w:r>
        <w:rPr>
          <w:rFonts w:hint="eastAsia"/>
          <w:bCs/>
          <w:szCs w:val="21"/>
        </w:rPr>
        <w:t>申购费用、销售服务费收取方式的不同，将基金份额分为不同的类别。各基金份额类别分别设置代码，合并投资运作，分别计算和公告各类基金份额的基金份额净值和基金份额累计净值</w:t>
      </w:r>
    </w:p>
    <w:p w:rsidR="008711D3" w:rsidRDefault="004479D9">
      <w:pPr>
        <w:spacing w:line="360" w:lineRule="auto"/>
        <w:ind w:firstLineChars="200" w:firstLine="420"/>
        <w:rPr>
          <w:bCs/>
          <w:szCs w:val="21"/>
        </w:rPr>
      </w:pPr>
      <w:r>
        <w:rPr>
          <w:rFonts w:hint="eastAsia"/>
          <w:bCs/>
          <w:szCs w:val="21"/>
        </w:rPr>
        <w:t>A</w:t>
      </w:r>
      <w:r>
        <w:rPr>
          <w:rFonts w:hint="eastAsia"/>
          <w:bCs/>
          <w:szCs w:val="21"/>
        </w:rPr>
        <w:t>类基金份额：指在投资人认购</w:t>
      </w:r>
      <w:r>
        <w:rPr>
          <w:rFonts w:hint="eastAsia"/>
          <w:bCs/>
          <w:szCs w:val="21"/>
        </w:rPr>
        <w:t>/</w:t>
      </w:r>
      <w:r>
        <w:rPr>
          <w:rFonts w:hint="eastAsia"/>
          <w:bCs/>
          <w:szCs w:val="21"/>
        </w:rPr>
        <w:t>申购基金份额时收取认购</w:t>
      </w:r>
      <w:r>
        <w:rPr>
          <w:rFonts w:hint="eastAsia"/>
          <w:bCs/>
          <w:szCs w:val="21"/>
        </w:rPr>
        <w:t>/</w:t>
      </w:r>
      <w:r>
        <w:rPr>
          <w:rFonts w:hint="eastAsia"/>
          <w:bCs/>
          <w:szCs w:val="21"/>
        </w:rPr>
        <w:t>申购费用，并不再从本类别基金资产中计提销售服务费的基金份额，称为</w:t>
      </w:r>
      <w:r>
        <w:rPr>
          <w:rFonts w:hint="eastAsia"/>
          <w:bCs/>
          <w:szCs w:val="21"/>
        </w:rPr>
        <w:t>A</w:t>
      </w:r>
      <w:r>
        <w:rPr>
          <w:rFonts w:hint="eastAsia"/>
          <w:bCs/>
          <w:szCs w:val="21"/>
        </w:rPr>
        <w:t>类基金份额</w:t>
      </w:r>
    </w:p>
    <w:p w:rsidR="008711D3" w:rsidRDefault="004479D9">
      <w:pPr>
        <w:spacing w:line="360" w:lineRule="auto"/>
        <w:ind w:firstLineChars="200" w:firstLine="420"/>
        <w:rPr>
          <w:bCs/>
          <w:szCs w:val="21"/>
        </w:rPr>
      </w:pPr>
      <w:r>
        <w:rPr>
          <w:rFonts w:hint="eastAsia"/>
          <w:bCs/>
          <w:szCs w:val="21"/>
        </w:rPr>
        <w:t>C</w:t>
      </w:r>
      <w:r>
        <w:rPr>
          <w:rFonts w:hint="eastAsia"/>
          <w:bCs/>
          <w:szCs w:val="21"/>
        </w:rPr>
        <w:t>类基金份额：指从本类别基金资产中计提销售服务费，并不收取认购</w:t>
      </w:r>
      <w:r>
        <w:rPr>
          <w:rFonts w:hint="eastAsia"/>
          <w:bCs/>
          <w:szCs w:val="21"/>
        </w:rPr>
        <w:t>/</w:t>
      </w:r>
      <w:r>
        <w:rPr>
          <w:rFonts w:hint="eastAsia"/>
          <w:bCs/>
          <w:szCs w:val="21"/>
        </w:rPr>
        <w:t>申购费用的基金份额，称为</w:t>
      </w:r>
      <w:r>
        <w:rPr>
          <w:rFonts w:hint="eastAsia"/>
          <w:bCs/>
          <w:szCs w:val="21"/>
        </w:rPr>
        <w:t>C</w:t>
      </w:r>
      <w:r>
        <w:rPr>
          <w:rFonts w:hint="eastAsia"/>
          <w:bCs/>
          <w:szCs w:val="21"/>
        </w:rPr>
        <w:t>类基金份额</w:t>
      </w:r>
    </w:p>
    <w:p w:rsidR="008711D3" w:rsidRDefault="004479D9">
      <w:pPr>
        <w:spacing w:line="360" w:lineRule="auto"/>
        <w:ind w:firstLineChars="200" w:firstLine="420"/>
        <w:rPr>
          <w:szCs w:val="21"/>
        </w:rPr>
      </w:pPr>
      <w:r>
        <w:rPr>
          <w:bCs/>
          <w:szCs w:val="21"/>
        </w:rPr>
        <w:t>55</w:t>
      </w:r>
      <w:r>
        <w:rPr>
          <w:bCs/>
          <w:szCs w:val="21"/>
        </w:rPr>
        <w:t>、</w:t>
      </w:r>
      <w:r>
        <w:rPr>
          <w:rFonts w:hint="eastAsia"/>
          <w:szCs w:val="21"/>
        </w:rPr>
        <w:t>流动性受限资产：指由于法律法规、监管、合同或操作障碍等原因无法以合理价格予以变现的资产，包括但不限于到期日在</w:t>
      </w:r>
      <w:r>
        <w:rPr>
          <w:szCs w:val="21"/>
        </w:rPr>
        <w:t>10</w:t>
      </w:r>
      <w:r>
        <w:rPr>
          <w:rFonts w:hint="eastAsia"/>
          <w:szCs w:val="21"/>
        </w:rPr>
        <w:t>个交易日以上的逆回购与银行定期存款（含协议约定有条件提前支取的银行存款）、停牌股票、流通受限的新股及非公开发行股票、资产支持证券、因发行人债务违约无法进行转让或交易的债券等</w:t>
      </w:r>
    </w:p>
    <w:p w:rsidR="008711D3" w:rsidRDefault="004479D9">
      <w:pPr>
        <w:spacing w:line="360" w:lineRule="auto"/>
        <w:ind w:firstLineChars="200" w:firstLine="420"/>
        <w:rPr>
          <w:szCs w:val="21"/>
        </w:rPr>
      </w:pPr>
      <w:r>
        <w:rPr>
          <w:rFonts w:hint="eastAsia"/>
          <w:bCs/>
          <w:szCs w:val="21"/>
        </w:rPr>
        <w:t>5</w:t>
      </w:r>
      <w:r>
        <w:rPr>
          <w:bCs/>
          <w:szCs w:val="21"/>
        </w:rPr>
        <w:t>6</w:t>
      </w:r>
      <w:r>
        <w:rPr>
          <w:rFonts w:hint="eastAsia"/>
          <w:szCs w:val="21"/>
        </w:rPr>
        <w:t>、基金产品资料概要：指</w:t>
      </w:r>
      <w:r>
        <w:rPr>
          <w:rFonts w:hint="eastAsia"/>
          <w:bCs/>
          <w:szCs w:val="21"/>
        </w:rPr>
        <w:t>《嘉实领先优势混合型证券投资基金基金产品资料概要》</w:t>
      </w:r>
      <w:r>
        <w:rPr>
          <w:rFonts w:hint="eastAsia"/>
          <w:szCs w:val="21"/>
        </w:rPr>
        <w:t>及</w:t>
      </w:r>
      <w:r>
        <w:rPr>
          <w:rFonts w:hint="eastAsia"/>
          <w:szCs w:val="21"/>
        </w:rPr>
        <w:lastRenderedPageBreak/>
        <w:t>其更新</w:t>
      </w:r>
    </w:p>
    <w:p w:rsidR="008711D3" w:rsidRDefault="004479D9">
      <w:pPr>
        <w:spacing w:line="360" w:lineRule="auto"/>
        <w:ind w:firstLineChars="200" w:firstLine="420"/>
        <w:rPr>
          <w:szCs w:val="21"/>
        </w:rPr>
      </w:pPr>
      <w:r>
        <w:rPr>
          <w:rFonts w:hint="eastAsia"/>
          <w:bCs/>
          <w:szCs w:val="21"/>
        </w:rPr>
        <w:t>5</w:t>
      </w:r>
      <w:r>
        <w:rPr>
          <w:bCs/>
          <w:szCs w:val="21"/>
        </w:rPr>
        <w:t>7</w:t>
      </w:r>
      <w:r>
        <w:rPr>
          <w:rFonts w:hint="eastAsia"/>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8711D3" w:rsidRDefault="004479D9">
      <w:pPr>
        <w:spacing w:line="360" w:lineRule="auto"/>
        <w:ind w:firstLineChars="200" w:firstLine="420"/>
        <w:rPr>
          <w:szCs w:val="21"/>
        </w:rPr>
      </w:pPr>
      <w:r>
        <w:rPr>
          <w:szCs w:val="21"/>
        </w:rPr>
        <w:t>58</w:t>
      </w:r>
      <w:r>
        <w:rPr>
          <w:rFonts w:hint="eastAsia"/>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8711D3" w:rsidRDefault="004479D9">
      <w:pPr>
        <w:spacing w:line="360" w:lineRule="auto"/>
        <w:ind w:firstLineChars="200" w:firstLine="420"/>
        <w:rPr>
          <w:szCs w:val="21"/>
        </w:rPr>
      </w:pPr>
      <w:r>
        <w:rPr>
          <w:szCs w:val="21"/>
        </w:rPr>
        <w:t>59</w:t>
      </w:r>
      <w:r>
        <w:rPr>
          <w:rFonts w:hint="eastAsia"/>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8711D3" w:rsidRDefault="004479D9">
      <w:pPr>
        <w:spacing w:line="360" w:lineRule="auto"/>
        <w:ind w:firstLineChars="200" w:firstLine="420"/>
        <w:rPr>
          <w:szCs w:val="21"/>
        </w:rPr>
      </w:pPr>
      <w:r>
        <w:rPr>
          <w:szCs w:val="21"/>
        </w:rPr>
        <w:t>60</w:t>
      </w:r>
      <w:r>
        <w:rPr>
          <w:rFonts w:hint="eastAsia"/>
          <w:szCs w:val="21"/>
        </w:rPr>
        <w:t>、不可抗力：指基金合同当事人不能预见、不能避免且不能克服的客观事件。</w:t>
      </w:r>
    </w:p>
    <w:p w:rsidR="008711D3" w:rsidRDefault="008711D3">
      <w:pPr>
        <w:spacing w:line="360" w:lineRule="auto"/>
        <w:ind w:firstLineChars="200" w:firstLine="420"/>
        <w:rPr>
          <w:rFonts w:ascii="宋体" w:hAnsi="宋体" w:cs="Arial"/>
          <w:color w:val="000000"/>
          <w:szCs w:val="21"/>
        </w:rPr>
      </w:pPr>
    </w:p>
    <w:p w:rsidR="008711D3" w:rsidRDefault="004479D9">
      <w:pPr>
        <w:spacing w:line="360" w:lineRule="auto"/>
        <w:ind w:firstLineChars="200" w:firstLine="420"/>
        <w:rPr>
          <w:rFonts w:ascii="宋体" w:hAnsi="宋体"/>
          <w:szCs w:val="21"/>
        </w:rPr>
      </w:pPr>
      <w:r>
        <w:rPr>
          <w:bCs/>
        </w:rPr>
        <w:br w:type="page"/>
      </w:r>
    </w:p>
    <w:p w:rsidR="008711D3" w:rsidRDefault="004479D9">
      <w:pPr>
        <w:pStyle w:val="1"/>
        <w:jc w:val="center"/>
      </w:pPr>
      <w:bookmarkStart w:id="27" w:name="_Toc329187112"/>
      <w:bookmarkStart w:id="28" w:name="_Toc334542952"/>
      <w:bookmarkStart w:id="29" w:name="_Toc334542635"/>
      <w:bookmarkStart w:id="30" w:name="_Toc71748057"/>
      <w:r>
        <w:rPr>
          <w:rFonts w:hint="eastAsia"/>
        </w:rPr>
        <w:lastRenderedPageBreak/>
        <w:t>三、基金管理人</w:t>
      </w:r>
      <w:bookmarkEnd w:id="27"/>
      <w:bookmarkEnd w:id="28"/>
      <w:bookmarkEnd w:id="29"/>
      <w:bookmarkEnd w:id="30"/>
    </w:p>
    <w:p w:rsidR="008711D3" w:rsidRDefault="004479D9">
      <w:pPr>
        <w:spacing w:line="360" w:lineRule="auto"/>
        <w:rPr>
          <w:rFonts w:ascii="宋体" w:hAnsi="宋体"/>
          <w:b/>
          <w:bCs/>
          <w:szCs w:val="21"/>
        </w:rPr>
      </w:pPr>
      <w:bookmarkStart w:id="31" w:name="_Toc334542953"/>
      <w:bookmarkStart w:id="32" w:name="_Toc329187113"/>
      <w:bookmarkStart w:id="33" w:name="_Toc334542636"/>
      <w:bookmarkStart w:id="34" w:name="_Toc530223179"/>
      <w:bookmarkStart w:id="35" w:name="_Toc63171745"/>
      <w:bookmarkStart w:id="36" w:name="_Toc525454754"/>
      <w:r>
        <w:rPr>
          <w:rFonts w:ascii="宋体" w:hAnsi="宋体" w:hint="eastAsia"/>
          <w:b/>
          <w:bCs/>
          <w:szCs w:val="21"/>
        </w:rPr>
        <w:t>（一）基金管理人基本情况</w:t>
      </w:r>
    </w:p>
    <w:p w:rsidR="008711D3" w:rsidRDefault="004479D9">
      <w:pPr>
        <w:spacing w:line="360" w:lineRule="auto"/>
        <w:ind w:firstLine="420"/>
        <w:rPr>
          <w:rFonts w:ascii="宋体" w:hAnsi="宋体" w:cs="Arial"/>
          <w:color w:val="000000"/>
          <w:szCs w:val="21"/>
        </w:rPr>
      </w:pPr>
      <w:r>
        <w:rPr>
          <w:rFonts w:ascii="宋体" w:hAnsi="宋体" w:cs="Arial"/>
          <w:color w:val="000000"/>
          <w:szCs w:val="21"/>
        </w:rPr>
        <w:t>1、基本信息</w:t>
      </w:r>
    </w:p>
    <w:tbl>
      <w:tblPr>
        <w:tblW w:w="8646" w:type="dxa"/>
        <w:tblInd w:w="-1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9"/>
        <w:gridCol w:w="7147"/>
      </w:tblGrid>
      <w:tr w:rsidR="008711D3">
        <w:tc>
          <w:tcPr>
            <w:tcW w:w="1499" w:type="dxa"/>
            <w:tcBorders>
              <w:top w:val="single" w:sz="6" w:space="0" w:color="auto"/>
              <w:left w:val="single" w:sz="6" w:space="0" w:color="auto"/>
              <w:bottom w:val="single" w:sz="6" w:space="0" w:color="auto"/>
              <w:right w:val="single" w:sz="6" w:space="0" w:color="auto"/>
            </w:tcBorders>
          </w:tcPr>
          <w:p w:rsidR="008711D3" w:rsidRDefault="004479D9">
            <w:pPr>
              <w:autoSpaceDE w:val="0"/>
              <w:autoSpaceDN w:val="0"/>
              <w:adjustRightInd w:val="0"/>
              <w:spacing w:line="360" w:lineRule="auto"/>
              <w:ind w:firstLine="91"/>
              <w:rPr>
                <w:rFonts w:ascii="Arial" w:hAnsi="宋体" w:cs="Arial"/>
                <w:bCs/>
              </w:rPr>
            </w:pPr>
            <w:r>
              <w:rPr>
                <w:rFonts w:ascii="Arial" w:hAnsi="宋体" w:cs="Arial"/>
                <w:bCs/>
              </w:rPr>
              <w:t>名称</w:t>
            </w:r>
          </w:p>
        </w:tc>
        <w:tc>
          <w:tcPr>
            <w:tcW w:w="7147" w:type="dxa"/>
            <w:tcBorders>
              <w:top w:val="single" w:sz="6" w:space="0" w:color="auto"/>
              <w:left w:val="single" w:sz="6" w:space="0" w:color="auto"/>
              <w:bottom w:val="single" w:sz="6" w:space="0" w:color="auto"/>
              <w:right w:val="single" w:sz="6" w:space="0" w:color="auto"/>
            </w:tcBorders>
          </w:tcPr>
          <w:p w:rsidR="008711D3" w:rsidRDefault="004479D9">
            <w:pPr>
              <w:autoSpaceDE w:val="0"/>
              <w:autoSpaceDN w:val="0"/>
              <w:adjustRightInd w:val="0"/>
              <w:spacing w:line="360" w:lineRule="auto"/>
              <w:ind w:firstLine="91"/>
              <w:rPr>
                <w:rFonts w:ascii="Arial" w:hAnsi="宋体" w:cs="Arial"/>
                <w:bCs/>
              </w:rPr>
            </w:pPr>
            <w:r>
              <w:rPr>
                <w:rFonts w:ascii="Arial" w:hAnsi="宋体" w:cs="Arial"/>
                <w:bCs/>
              </w:rPr>
              <w:t>嘉实基金管理有限公司</w:t>
            </w:r>
          </w:p>
        </w:tc>
      </w:tr>
      <w:tr w:rsidR="008711D3">
        <w:tc>
          <w:tcPr>
            <w:tcW w:w="1499" w:type="dxa"/>
            <w:tcBorders>
              <w:top w:val="single" w:sz="6" w:space="0" w:color="auto"/>
              <w:left w:val="single" w:sz="6" w:space="0" w:color="auto"/>
              <w:bottom w:val="single" w:sz="6" w:space="0" w:color="auto"/>
              <w:right w:val="single" w:sz="6" w:space="0" w:color="auto"/>
            </w:tcBorders>
          </w:tcPr>
          <w:p w:rsidR="008711D3" w:rsidRDefault="004479D9">
            <w:pPr>
              <w:autoSpaceDE w:val="0"/>
              <w:autoSpaceDN w:val="0"/>
              <w:adjustRightInd w:val="0"/>
              <w:spacing w:line="360" w:lineRule="auto"/>
              <w:ind w:firstLine="91"/>
              <w:rPr>
                <w:rFonts w:ascii="Arial" w:hAnsi="宋体" w:cs="Arial"/>
                <w:bCs/>
              </w:rPr>
            </w:pPr>
            <w:r>
              <w:rPr>
                <w:rFonts w:ascii="Arial" w:hAnsi="宋体" w:cs="Arial"/>
                <w:bCs/>
              </w:rPr>
              <w:t>注册地址</w:t>
            </w:r>
          </w:p>
        </w:tc>
        <w:tc>
          <w:tcPr>
            <w:tcW w:w="7147" w:type="dxa"/>
            <w:tcBorders>
              <w:top w:val="single" w:sz="6" w:space="0" w:color="auto"/>
              <w:left w:val="single" w:sz="6" w:space="0" w:color="auto"/>
              <w:bottom w:val="single" w:sz="6" w:space="0" w:color="auto"/>
              <w:right w:val="single" w:sz="6" w:space="0" w:color="auto"/>
            </w:tcBorders>
          </w:tcPr>
          <w:p w:rsidR="008711D3" w:rsidRDefault="004479D9">
            <w:pPr>
              <w:autoSpaceDE w:val="0"/>
              <w:autoSpaceDN w:val="0"/>
              <w:adjustRightInd w:val="0"/>
              <w:spacing w:line="360" w:lineRule="auto"/>
              <w:ind w:firstLine="91"/>
              <w:rPr>
                <w:rFonts w:ascii="Arial" w:hAnsi="宋体" w:cs="Arial"/>
                <w:bCs/>
              </w:rPr>
            </w:pPr>
            <w:r>
              <w:rPr>
                <w:rFonts w:hint="eastAsia"/>
              </w:rPr>
              <w:t>中国（上海）自由贸易试验区世纪大道</w:t>
            </w:r>
            <w:r>
              <w:rPr>
                <w:rFonts w:hint="eastAsia"/>
              </w:rPr>
              <w:t>8</w:t>
            </w:r>
            <w:r>
              <w:rPr>
                <w:rFonts w:hint="eastAsia"/>
              </w:rPr>
              <w:t>号上海国金中心二期</w:t>
            </w:r>
            <w:r>
              <w:rPr>
                <w:rFonts w:hint="eastAsia"/>
              </w:rPr>
              <w:t>27</w:t>
            </w:r>
            <w:r>
              <w:rPr>
                <w:rFonts w:hint="eastAsia"/>
              </w:rPr>
              <w:t>楼</w:t>
            </w:r>
            <w:r>
              <w:rPr>
                <w:rFonts w:hint="eastAsia"/>
              </w:rPr>
              <w:t>09-14</w:t>
            </w:r>
            <w:r>
              <w:rPr>
                <w:rFonts w:hint="eastAsia"/>
              </w:rPr>
              <w:t>单元</w:t>
            </w:r>
          </w:p>
        </w:tc>
      </w:tr>
      <w:tr w:rsidR="008711D3">
        <w:tc>
          <w:tcPr>
            <w:tcW w:w="1499" w:type="dxa"/>
            <w:tcBorders>
              <w:top w:val="single" w:sz="6" w:space="0" w:color="auto"/>
              <w:left w:val="single" w:sz="6" w:space="0" w:color="auto"/>
              <w:bottom w:val="single" w:sz="6" w:space="0" w:color="auto"/>
              <w:right w:val="single" w:sz="6" w:space="0" w:color="auto"/>
            </w:tcBorders>
          </w:tcPr>
          <w:p w:rsidR="008711D3" w:rsidRDefault="004479D9">
            <w:pPr>
              <w:autoSpaceDE w:val="0"/>
              <w:autoSpaceDN w:val="0"/>
              <w:adjustRightInd w:val="0"/>
              <w:spacing w:line="360" w:lineRule="auto"/>
              <w:ind w:firstLine="91"/>
              <w:rPr>
                <w:rFonts w:ascii="Arial" w:hAnsi="宋体" w:cs="Arial"/>
                <w:bCs/>
              </w:rPr>
            </w:pPr>
            <w:r>
              <w:rPr>
                <w:rFonts w:ascii="Arial" w:hAnsi="宋体" w:cs="Arial"/>
                <w:bCs/>
              </w:rPr>
              <w:t>办公地址</w:t>
            </w:r>
          </w:p>
        </w:tc>
        <w:tc>
          <w:tcPr>
            <w:tcW w:w="7147" w:type="dxa"/>
            <w:tcBorders>
              <w:top w:val="single" w:sz="6" w:space="0" w:color="auto"/>
              <w:left w:val="single" w:sz="6" w:space="0" w:color="auto"/>
              <w:bottom w:val="single" w:sz="6" w:space="0" w:color="auto"/>
              <w:right w:val="single" w:sz="6" w:space="0" w:color="auto"/>
            </w:tcBorders>
          </w:tcPr>
          <w:p w:rsidR="008711D3" w:rsidRDefault="004479D9">
            <w:pPr>
              <w:autoSpaceDE w:val="0"/>
              <w:autoSpaceDN w:val="0"/>
              <w:adjustRightInd w:val="0"/>
              <w:spacing w:line="360" w:lineRule="auto"/>
              <w:ind w:firstLine="91"/>
              <w:rPr>
                <w:rFonts w:ascii="Arial" w:hAnsi="宋体" w:cs="Arial"/>
                <w:bCs/>
              </w:rPr>
            </w:pPr>
            <w:r>
              <w:rPr>
                <w:rFonts w:ascii="Arial" w:hAnsi="宋体" w:cs="Arial" w:hint="eastAsia"/>
                <w:bCs/>
              </w:rPr>
              <w:t>北京市朝阳区建国门外大街</w:t>
            </w:r>
            <w:r>
              <w:rPr>
                <w:rFonts w:ascii="Arial" w:hAnsi="宋体" w:cs="Arial" w:hint="eastAsia"/>
                <w:bCs/>
              </w:rPr>
              <w:t>21</w:t>
            </w:r>
            <w:r>
              <w:rPr>
                <w:rFonts w:ascii="Arial" w:hAnsi="宋体" w:cs="Arial" w:hint="eastAsia"/>
                <w:bCs/>
              </w:rPr>
              <w:t>号北京国际俱乐部</w:t>
            </w:r>
            <w:r>
              <w:rPr>
                <w:rFonts w:ascii="Arial" w:hAnsi="宋体" w:cs="Arial" w:hint="eastAsia"/>
                <w:bCs/>
              </w:rPr>
              <w:t>C</w:t>
            </w:r>
            <w:r>
              <w:rPr>
                <w:rFonts w:ascii="Arial" w:hAnsi="宋体" w:cs="Arial" w:hint="eastAsia"/>
                <w:bCs/>
              </w:rPr>
              <w:t>座写字楼</w:t>
            </w:r>
            <w:r>
              <w:rPr>
                <w:rFonts w:ascii="Arial" w:hAnsi="宋体" w:cs="Arial" w:hint="eastAsia"/>
                <w:bCs/>
              </w:rPr>
              <w:t>12A</w:t>
            </w:r>
            <w:r>
              <w:rPr>
                <w:rFonts w:ascii="Arial" w:hAnsi="宋体" w:cs="Arial" w:hint="eastAsia"/>
                <w:bCs/>
              </w:rPr>
              <w:t>层</w:t>
            </w:r>
          </w:p>
        </w:tc>
      </w:tr>
      <w:tr w:rsidR="008711D3">
        <w:tc>
          <w:tcPr>
            <w:tcW w:w="1499" w:type="dxa"/>
            <w:tcBorders>
              <w:top w:val="single" w:sz="6" w:space="0" w:color="auto"/>
              <w:left w:val="single" w:sz="6" w:space="0" w:color="auto"/>
              <w:bottom w:val="single" w:sz="6" w:space="0" w:color="auto"/>
              <w:right w:val="single" w:sz="6" w:space="0" w:color="auto"/>
            </w:tcBorders>
          </w:tcPr>
          <w:p w:rsidR="008711D3" w:rsidRDefault="004479D9">
            <w:pPr>
              <w:autoSpaceDE w:val="0"/>
              <w:autoSpaceDN w:val="0"/>
              <w:adjustRightInd w:val="0"/>
              <w:spacing w:line="360" w:lineRule="auto"/>
              <w:ind w:firstLine="91"/>
              <w:rPr>
                <w:rFonts w:ascii="Arial" w:hAnsi="宋体" w:cs="Arial"/>
                <w:bCs/>
              </w:rPr>
            </w:pPr>
            <w:r>
              <w:rPr>
                <w:rFonts w:ascii="Arial" w:hAnsi="宋体" w:cs="Arial"/>
                <w:bCs/>
              </w:rPr>
              <w:t>法定代表人</w:t>
            </w:r>
          </w:p>
        </w:tc>
        <w:tc>
          <w:tcPr>
            <w:tcW w:w="7147" w:type="dxa"/>
            <w:tcBorders>
              <w:top w:val="single" w:sz="6" w:space="0" w:color="auto"/>
              <w:left w:val="single" w:sz="6" w:space="0" w:color="auto"/>
              <w:bottom w:val="single" w:sz="6" w:space="0" w:color="auto"/>
              <w:right w:val="single" w:sz="6" w:space="0" w:color="auto"/>
            </w:tcBorders>
          </w:tcPr>
          <w:p w:rsidR="008711D3" w:rsidRDefault="004479D9">
            <w:pPr>
              <w:autoSpaceDE w:val="0"/>
              <w:autoSpaceDN w:val="0"/>
              <w:adjustRightInd w:val="0"/>
              <w:spacing w:line="360" w:lineRule="auto"/>
              <w:ind w:firstLine="91"/>
              <w:rPr>
                <w:rFonts w:ascii="Arial" w:hAnsi="宋体" w:cs="Arial"/>
                <w:bCs/>
              </w:rPr>
            </w:pPr>
            <w:r>
              <w:rPr>
                <w:rFonts w:ascii="Arial" w:hAnsi="宋体" w:cs="Arial" w:hint="eastAsia"/>
                <w:bCs/>
              </w:rPr>
              <w:t>经雷</w:t>
            </w:r>
          </w:p>
        </w:tc>
      </w:tr>
      <w:tr w:rsidR="008711D3">
        <w:tc>
          <w:tcPr>
            <w:tcW w:w="1499" w:type="dxa"/>
            <w:tcBorders>
              <w:top w:val="single" w:sz="6" w:space="0" w:color="auto"/>
              <w:left w:val="single" w:sz="6" w:space="0" w:color="auto"/>
              <w:bottom w:val="single" w:sz="6" w:space="0" w:color="auto"/>
              <w:right w:val="single" w:sz="6" w:space="0" w:color="auto"/>
            </w:tcBorders>
          </w:tcPr>
          <w:p w:rsidR="008711D3" w:rsidRDefault="004479D9">
            <w:pPr>
              <w:autoSpaceDE w:val="0"/>
              <w:autoSpaceDN w:val="0"/>
              <w:adjustRightInd w:val="0"/>
              <w:spacing w:line="360" w:lineRule="auto"/>
              <w:ind w:firstLine="91"/>
              <w:rPr>
                <w:rFonts w:ascii="Arial" w:hAnsi="宋体" w:cs="Arial"/>
                <w:bCs/>
              </w:rPr>
            </w:pPr>
            <w:r>
              <w:rPr>
                <w:rFonts w:ascii="Arial" w:hAnsi="宋体" w:cs="Arial"/>
                <w:bCs/>
              </w:rPr>
              <w:t>成立日期</w:t>
            </w:r>
          </w:p>
        </w:tc>
        <w:tc>
          <w:tcPr>
            <w:tcW w:w="7147" w:type="dxa"/>
            <w:tcBorders>
              <w:top w:val="single" w:sz="6" w:space="0" w:color="auto"/>
              <w:left w:val="single" w:sz="6" w:space="0" w:color="auto"/>
              <w:bottom w:val="single" w:sz="6" w:space="0" w:color="auto"/>
              <w:right w:val="single" w:sz="6" w:space="0" w:color="auto"/>
            </w:tcBorders>
          </w:tcPr>
          <w:p w:rsidR="008711D3" w:rsidRDefault="004479D9">
            <w:pPr>
              <w:autoSpaceDE w:val="0"/>
              <w:autoSpaceDN w:val="0"/>
              <w:adjustRightInd w:val="0"/>
              <w:spacing w:line="360" w:lineRule="auto"/>
              <w:ind w:firstLine="91"/>
              <w:rPr>
                <w:rFonts w:ascii="Arial" w:hAnsi="宋体" w:cs="Arial"/>
                <w:bCs/>
              </w:rPr>
            </w:pPr>
            <w:r>
              <w:rPr>
                <w:rFonts w:ascii="Arial" w:hAnsi="宋体" w:cs="Arial"/>
                <w:bCs/>
              </w:rPr>
              <w:t>1999</w:t>
            </w:r>
            <w:r>
              <w:rPr>
                <w:rFonts w:ascii="Arial" w:hAnsi="宋体" w:cs="Arial"/>
                <w:bCs/>
              </w:rPr>
              <w:t>年</w:t>
            </w:r>
            <w:r>
              <w:rPr>
                <w:rFonts w:ascii="Arial" w:hAnsi="宋体" w:cs="Arial"/>
                <w:bCs/>
              </w:rPr>
              <w:t>3</w:t>
            </w:r>
            <w:r>
              <w:rPr>
                <w:rFonts w:ascii="Arial" w:hAnsi="宋体" w:cs="Arial"/>
                <w:bCs/>
              </w:rPr>
              <w:t>月</w:t>
            </w:r>
            <w:r>
              <w:rPr>
                <w:rFonts w:ascii="Arial" w:hAnsi="宋体" w:cs="Arial"/>
                <w:bCs/>
              </w:rPr>
              <w:t>25</w:t>
            </w:r>
            <w:r>
              <w:rPr>
                <w:rFonts w:ascii="Arial" w:hAnsi="宋体" w:cs="Arial"/>
                <w:bCs/>
              </w:rPr>
              <w:t>日</w:t>
            </w:r>
          </w:p>
        </w:tc>
      </w:tr>
      <w:tr w:rsidR="008711D3">
        <w:tc>
          <w:tcPr>
            <w:tcW w:w="1499" w:type="dxa"/>
            <w:tcBorders>
              <w:top w:val="single" w:sz="6" w:space="0" w:color="auto"/>
              <w:left w:val="single" w:sz="6" w:space="0" w:color="auto"/>
              <w:bottom w:val="single" w:sz="6" w:space="0" w:color="auto"/>
              <w:right w:val="single" w:sz="6" w:space="0" w:color="auto"/>
            </w:tcBorders>
          </w:tcPr>
          <w:p w:rsidR="008711D3" w:rsidRDefault="004479D9">
            <w:pPr>
              <w:autoSpaceDE w:val="0"/>
              <w:autoSpaceDN w:val="0"/>
              <w:adjustRightInd w:val="0"/>
              <w:spacing w:line="360" w:lineRule="auto"/>
              <w:ind w:firstLine="91"/>
              <w:rPr>
                <w:rFonts w:ascii="Arial" w:hAnsi="宋体" w:cs="Arial"/>
                <w:bCs/>
              </w:rPr>
            </w:pPr>
            <w:r>
              <w:rPr>
                <w:rFonts w:ascii="Arial" w:hAnsi="宋体" w:cs="Arial"/>
                <w:bCs/>
              </w:rPr>
              <w:t>注册资本</w:t>
            </w:r>
          </w:p>
        </w:tc>
        <w:tc>
          <w:tcPr>
            <w:tcW w:w="7147" w:type="dxa"/>
            <w:tcBorders>
              <w:top w:val="single" w:sz="6" w:space="0" w:color="auto"/>
              <w:left w:val="single" w:sz="6" w:space="0" w:color="auto"/>
              <w:bottom w:val="single" w:sz="6" w:space="0" w:color="auto"/>
              <w:right w:val="single" w:sz="6" w:space="0" w:color="auto"/>
            </w:tcBorders>
          </w:tcPr>
          <w:p w:rsidR="008711D3" w:rsidRDefault="004479D9">
            <w:pPr>
              <w:autoSpaceDE w:val="0"/>
              <w:autoSpaceDN w:val="0"/>
              <w:adjustRightInd w:val="0"/>
              <w:spacing w:line="360" w:lineRule="auto"/>
              <w:ind w:firstLine="91"/>
              <w:rPr>
                <w:rFonts w:ascii="Arial" w:hAnsi="宋体" w:cs="Arial"/>
                <w:bCs/>
              </w:rPr>
            </w:pPr>
            <w:r>
              <w:rPr>
                <w:rFonts w:ascii="Arial" w:hAnsi="宋体" w:cs="Arial"/>
                <w:bCs/>
              </w:rPr>
              <w:t>1</w:t>
            </w:r>
            <w:r>
              <w:rPr>
                <w:rFonts w:ascii="Arial" w:hAnsi="宋体" w:cs="Arial" w:hint="eastAsia"/>
                <w:bCs/>
              </w:rPr>
              <w:t xml:space="preserve">.5 </w:t>
            </w:r>
            <w:r>
              <w:rPr>
                <w:rFonts w:ascii="Arial" w:hAnsi="宋体" w:cs="Arial"/>
                <w:bCs/>
              </w:rPr>
              <w:t>亿元</w:t>
            </w:r>
          </w:p>
        </w:tc>
      </w:tr>
      <w:tr w:rsidR="008711D3">
        <w:tc>
          <w:tcPr>
            <w:tcW w:w="1499" w:type="dxa"/>
            <w:tcBorders>
              <w:top w:val="single" w:sz="6" w:space="0" w:color="auto"/>
              <w:left w:val="single" w:sz="6" w:space="0" w:color="auto"/>
              <w:bottom w:val="single" w:sz="6" w:space="0" w:color="auto"/>
              <w:right w:val="single" w:sz="6" w:space="0" w:color="auto"/>
            </w:tcBorders>
          </w:tcPr>
          <w:p w:rsidR="008711D3" w:rsidRDefault="004479D9">
            <w:pPr>
              <w:autoSpaceDE w:val="0"/>
              <w:autoSpaceDN w:val="0"/>
              <w:adjustRightInd w:val="0"/>
              <w:spacing w:line="360" w:lineRule="auto"/>
              <w:ind w:firstLine="91"/>
              <w:rPr>
                <w:rFonts w:ascii="Arial" w:hAnsi="宋体" w:cs="Arial"/>
                <w:bCs/>
              </w:rPr>
            </w:pPr>
            <w:r>
              <w:rPr>
                <w:rFonts w:ascii="Arial" w:hAnsi="宋体" w:cs="Arial"/>
                <w:bCs/>
              </w:rPr>
              <w:t>股权结构</w:t>
            </w:r>
          </w:p>
        </w:tc>
        <w:tc>
          <w:tcPr>
            <w:tcW w:w="7147" w:type="dxa"/>
            <w:tcBorders>
              <w:top w:val="single" w:sz="6" w:space="0" w:color="auto"/>
              <w:left w:val="single" w:sz="6" w:space="0" w:color="auto"/>
              <w:bottom w:val="single" w:sz="6" w:space="0" w:color="auto"/>
              <w:right w:val="single" w:sz="6" w:space="0" w:color="auto"/>
            </w:tcBorders>
          </w:tcPr>
          <w:p w:rsidR="008711D3" w:rsidRDefault="004479D9">
            <w:pPr>
              <w:autoSpaceDE w:val="0"/>
              <w:autoSpaceDN w:val="0"/>
              <w:adjustRightInd w:val="0"/>
              <w:spacing w:line="360" w:lineRule="auto"/>
              <w:ind w:leftChars="50" w:left="105"/>
              <w:rPr>
                <w:rFonts w:ascii="Arial" w:hAnsi="宋体" w:cs="Arial"/>
                <w:bCs/>
              </w:rPr>
            </w:pPr>
            <w:r>
              <w:rPr>
                <w:rFonts w:ascii="Arial" w:hAnsi="宋体" w:cs="Arial"/>
                <w:bCs/>
              </w:rPr>
              <w:t>中诚信托有限责任公司</w:t>
            </w:r>
            <w:r>
              <w:rPr>
                <w:rFonts w:ascii="Arial" w:hAnsi="宋体" w:cs="Arial"/>
                <w:bCs/>
              </w:rPr>
              <w:t>4</w:t>
            </w:r>
            <w:r>
              <w:rPr>
                <w:rFonts w:ascii="Arial" w:hAnsi="宋体" w:cs="Arial" w:hint="eastAsia"/>
                <w:bCs/>
              </w:rPr>
              <w:t>0</w:t>
            </w:r>
            <w:r>
              <w:rPr>
                <w:rFonts w:ascii="Arial" w:hAnsi="宋体" w:cs="Arial"/>
                <w:bCs/>
              </w:rPr>
              <w:t>%</w:t>
            </w:r>
            <w:r>
              <w:rPr>
                <w:rFonts w:ascii="Arial" w:hAnsi="宋体" w:cs="Arial"/>
                <w:bCs/>
              </w:rPr>
              <w:t>，</w:t>
            </w:r>
            <w:r>
              <w:rPr>
                <w:rFonts w:ascii="Arial" w:hAnsi="宋体" w:cs="Arial"/>
                <w:bCs/>
              </w:rPr>
              <w:t xml:space="preserve">DWS Investments Singapore Limited </w:t>
            </w:r>
            <w:r>
              <w:rPr>
                <w:rFonts w:ascii="Arial" w:hAnsi="宋体" w:cs="Arial" w:hint="eastAsia"/>
                <w:bCs/>
              </w:rPr>
              <w:t>30</w:t>
            </w:r>
            <w:r>
              <w:rPr>
                <w:rFonts w:ascii="Arial" w:hAnsi="宋体" w:cs="Arial"/>
                <w:bCs/>
              </w:rPr>
              <w:t>%</w:t>
            </w:r>
            <w:r>
              <w:rPr>
                <w:rFonts w:ascii="Arial" w:hAnsi="宋体" w:cs="Arial"/>
                <w:bCs/>
              </w:rPr>
              <w:t>，立信投资有限责任公司</w:t>
            </w:r>
            <w:r>
              <w:rPr>
                <w:rFonts w:ascii="Arial" w:hAnsi="宋体" w:cs="Arial"/>
                <w:bCs/>
              </w:rPr>
              <w:t>3</w:t>
            </w:r>
            <w:r>
              <w:rPr>
                <w:rFonts w:ascii="Arial" w:hAnsi="宋体" w:cs="Arial" w:hint="eastAsia"/>
                <w:bCs/>
              </w:rPr>
              <w:t>0</w:t>
            </w:r>
            <w:r>
              <w:rPr>
                <w:rFonts w:ascii="Arial" w:hAnsi="宋体" w:cs="Arial"/>
                <w:bCs/>
              </w:rPr>
              <w:t>%</w:t>
            </w:r>
            <w:r>
              <w:rPr>
                <w:rFonts w:ascii="Arial" w:hAnsi="宋体" w:cs="Arial"/>
                <w:bCs/>
              </w:rPr>
              <w:t>。</w:t>
            </w:r>
          </w:p>
        </w:tc>
      </w:tr>
      <w:tr w:rsidR="008711D3">
        <w:tc>
          <w:tcPr>
            <w:tcW w:w="1499" w:type="dxa"/>
            <w:tcBorders>
              <w:top w:val="single" w:sz="6" w:space="0" w:color="auto"/>
              <w:left w:val="single" w:sz="6" w:space="0" w:color="auto"/>
              <w:bottom w:val="single" w:sz="6" w:space="0" w:color="auto"/>
              <w:right w:val="single" w:sz="6" w:space="0" w:color="auto"/>
            </w:tcBorders>
          </w:tcPr>
          <w:p w:rsidR="008711D3" w:rsidRDefault="004479D9">
            <w:pPr>
              <w:autoSpaceDE w:val="0"/>
              <w:autoSpaceDN w:val="0"/>
              <w:adjustRightInd w:val="0"/>
              <w:spacing w:line="360" w:lineRule="auto"/>
              <w:ind w:firstLine="91"/>
              <w:rPr>
                <w:rFonts w:ascii="Arial" w:hAnsi="宋体" w:cs="Arial"/>
                <w:bCs/>
              </w:rPr>
            </w:pPr>
            <w:r>
              <w:rPr>
                <w:rFonts w:ascii="Arial" w:hAnsi="宋体" w:cs="Arial"/>
                <w:bCs/>
              </w:rPr>
              <w:t>存续期间</w:t>
            </w:r>
          </w:p>
        </w:tc>
        <w:tc>
          <w:tcPr>
            <w:tcW w:w="7147" w:type="dxa"/>
            <w:tcBorders>
              <w:top w:val="single" w:sz="6" w:space="0" w:color="auto"/>
              <w:left w:val="single" w:sz="6" w:space="0" w:color="auto"/>
              <w:bottom w:val="single" w:sz="6" w:space="0" w:color="auto"/>
              <w:right w:val="single" w:sz="6" w:space="0" w:color="auto"/>
            </w:tcBorders>
          </w:tcPr>
          <w:p w:rsidR="008711D3" w:rsidRDefault="004479D9">
            <w:pPr>
              <w:autoSpaceDE w:val="0"/>
              <w:autoSpaceDN w:val="0"/>
              <w:adjustRightInd w:val="0"/>
              <w:spacing w:line="360" w:lineRule="auto"/>
              <w:ind w:firstLine="91"/>
              <w:rPr>
                <w:rFonts w:ascii="Arial" w:hAnsi="宋体" w:cs="Arial"/>
                <w:bCs/>
              </w:rPr>
            </w:pPr>
            <w:r>
              <w:rPr>
                <w:rFonts w:ascii="Arial" w:hAnsi="宋体" w:cs="Arial"/>
                <w:bCs/>
              </w:rPr>
              <w:t>持续经营</w:t>
            </w:r>
            <w:r>
              <w:rPr>
                <w:rFonts w:ascii="Arial" w:hAnsi="宋体" w:cs="Arial"/>
                <w:bCs/>
              </w:rPr>
              <w:t xml:space="preserve"> </w:t>
            </w:r>
          </w:p>
        </w:tc>
      </w:tr>
      <w:tr w:rsidR="008711D3">
        <w:tc>
          <w:tcPr>
            <w:tcW w:w="1499" w:type="dxa"/>
            <w:tcBorders>
              <w:top w:val="single" w:sz="6" w:space="0" w:color="auto"/>
              <w:left w:val="single" w:sz="6" w:space="0" w:color="auto"/>
              <w:bottom w:val="single" w:sz="6" w:space="0" w:color="auto"/>
              <w:right w:val="single" w:sz="6" w:space="0" w:color="auto"/>
            </w:tcBorders>
          </w:tcPr>
          <w:p w:rsidR="008711D3" w:rsidRDefault="004479D9">
            <w:pPr>
              <w:autoSpaceDE w:val="0"/>
              <w:autoSpaceDN w:val="0"/>
              <w:adjustRightInd w:val="0"/>
              <w:spacing w:line="360" w:lineRule="auto"/>
              <w:ind w:firstLine="91"/>
              <w:rPr>
                <w:rFonts w:ascii="Arial" w:hAnsi="宋体" w:cs="Arial"/>
                <w:bCs/>
              </w:rPr>
            </w:pPr>
            <w:r>
              <w:rPr>
                <w:rFonts w:ascii="Arial" w:hAnsi="宋体" w:cs="Arial"/>
                <w:bCs/>
              </w:rPr>
              <w:t>电话</w:t>
            </w:r>
          </w:p>
        </w:tc>
        <w:tc>
          <w:tcPr>
            <w:tcW w:w="7147" w:type="dxa"/>
            <w:tcBorders>
              <w:top w:val="single" w:sz="6" w:space="0" w:color="auto"/>
              <w:left w:val="single" w:sz="6" w:space="0" w:color="auto"/>
              <w:bottom w:val="single" w:sz="6" w:space="0" w:color="auto"/>
              <w:right w:val="single" w:sz="6" w:space="0" w:color="auto"/>
            </w:tcBorders>
          </w:tcPr>
          <w:p w:rsidR="008711D3" w:rsidRDefault="004479D9">
            <w:pPr>
              <w:autoSpaceDE w:val="0"/>
              <w:autoSpaceDN w:val="0"/>
              <w:adjustRightInd w:val="0"/>
              <w:spacing w:line="360" w:lineRule="auto"/>
              <w:ind w:firstLine="91"/>
              <w:rPr>
                <w:rFonts w:ascii="Arial" w:hAnsi="宋体" w:cs="Arial"/>
                <w:bCs/>
              </w:rPr>
            </w:pPr>
            <w:r>
              <w:rPr>
                <w:rFonts w:ascii="Arial" w:hAnsi="宋体" w:cs="Arial"/>
                <w:bCs/>
              </w:rPr>
              <w:t>（</w:t>
            </w:r>
            <w:r>
              <w:rPr>
                <w:rFonts w:ascii="Arial" w:hAnsi="宋体" w:cs="Arial"/>
                <w:bCs/>
              </w:rPr>
              <w:t>010</w:t>
            </w:r>
            <w:r>
              <w:rPr>
                <w:rFonts w:ascii="Arial" w:hAnsi="宋体" w:cs="Arial"/>
                <w:bCs/>
              </w:rPr>
              <w:t>）</w:t>
            </w:r>
            <w:r>
              <w:rPr>
                <w:rFonts w:ascii="Arial" w:hAnsi="宋体" w:cs="Arial"/>
                <w:bCs/>
              </w:rPr>
              <w:t>65</w:t>
            </w:r>
            <w:r>
              <w:rPr>
                <w:rFonts w:ascii="Arial" w:hAnsi="宋体" w:cs="Arial" w:hint="eastAsia"/>
                <w:bCs/>
              </w:rPr>
              <w:t>2</w:t>
            </w:r>
            <w:r>
              <w:rPr>
                <w:rFonts w:ascii="Arial" w:hAnsi="宋体" w:cs="Arial"/>
                <w:bCs/>
              </w:rPr>
              <w:t>1</w:t>
            </w:r>
            <w:r>
              <w:rPr>
                <w:rFonts w:ascii="Arial" w:hAnsi="宋体" w:cs="Arial" w:hint="eastAsia"/>
                <w:bCs/>
              </w:rPr>
              <w:t>55</w:t>
            </w:r>
            <w:r>
              <w:rPr>
                <w:rFonts w:ascii="Arial" w:hAnsi="宋体" w:cs="Arial"/>
                <w:bCs/>
              </w:rPr>
              <w:t>88</w:t>
            </w:r>
          </w:p>
        </w:tc>
      </w:tr>
      <w:tr w:rsidR="008711D3">
        <w:tc>
          <w:tcPr>
            <w:tcW w:w="1499" w:type="dxa"/>
            <w:tcBorders>
              <w:top w:val="single" w:sz="6" w:space="0" w:color="auto"/>
              <w:left w:val="single" w:sz="6" w:space="0" w:color="auto"/>
              <w:bottom w:val="single" w:sz="6" w:space="0" w:color="auto"/>
              <w:right w:val="single" w:sz="6" w:space="0" w:color="auto"/>
            </w:tcBorders>
          </w:tcPr>
          <w:p w:rsidR="008711D3" w:rsidRDefault="004479D9">
            <w:pPr>
              <w:autoSpaceDE w:val="0"/>
              <w:autoSpaceDN w:val="0"/>
              <w:adjustRightInd w:val="0"/>
              <w:spacing w:line="360" w:lineRule="auto"/>
              <w:ind w:firstLine="91"/>
              <w:rPr>
                <w:rFonts w:ascii="Arial" w:hAnsi="宋体" w:cs="Arial"/>
                <w:bCs/>
              </w:rPr>
            </w:pPr>
            <w:r>
              <w:rPr>
                <w:rFonts w:ascii="Arial" w:hAnsi="宋体" w:cs="Arial"/>
                <w:bCs/>
              </w:rPr>
              <w:t>传真</w:t>
            </w:r>
          </w:p>
        </w:tc>
        <w:tc>
          <w:tcPr>
            <w:tcW w:w="7147" w:type="dxa"/>
            <w:tcBorders>
              <w:top w:val="single" w:sz="6" w:space="0" w:color="auto"/>
              <w:left w:val="single" w:sz="6" w:space="0" w:color="auto"/>
              <w:bottom w:val="single" w:sz="6" w:space="0" w:color="auto"/>
              <w:right w:val="single" w:sz="6" w:space="0" w:color="auto"/>
            </w:tcBorders>
          </w:tcPr>
          <w:p w:rsidR="008711D3" w:rsidRDefault="004479D9">
            <w:pPr>
              <w:autoSpaceDE w:val="0"/>
              <w:autoSpaceDN w:val="0"/>
              <w:adjustRightInd w:val="0"/>
              <w:spacing w:line="360" w:lineRule="auto"/>
              <w:ind w:firstLine="91"/>
              <w:rPr>
                <w:rFonts w:ascii="Arial" w:hAnsi="宋体" w:cs="Arial"/>
                <w:bCs/>
              </w:rPr>
            </w:pPr>
            <w:r>
              <w:rPr>
                <w:rFonts w:ascii="Arial" w:hAnsi="宋体" w:cs="Arial"/>
                <w:bCs/>
              </w:rPr>
              <w:t>（</w:t>
            </w:r>
            <w:r>
              <w:rPr>
                <w:rFonts w:ascii="Arial" w:hAnsi="宋体" w:cs="Arial"/>
                <w:bCs/>
              </w:rPr>
              <w:t>010</w:t>
            </w:r>
            <w:r>
              <w:rPr>
                <w:rFonts w:ascii="Arial" w:hAnsi="宋体" w:cs="Arial"/>
                <w:bCs/>
              </w:rPr>
              <w:t>）</w:t>
            </w:r>
            <w:r>
              <w:rPr>
                <w:rFonts w:ascii="Arial" w:hAnsi="宋体" w:cs="Arial"/>
                <w:bCs/>
              </w:rPr>
              <w:t>65185678</w:t>
            </w:r>
          </w:p>
        </w:tc>
      </w:tr>
      <w:tr w:rsidR="008711D3">
        <w:tc>
          <w:tcPr>
            <w:tcW w:w="1499" w:type="dxa"/>
            <w:tcBorders>
              <w:top w:val="single" w:sz="6" w:space="0" w:color="auto"/>
              <w:left w:val="single" w:sz="6" w:space="0" w:color="auto"/>
              <w:bottom w:val="single" w:sz="6" w:space="0" w:color="auto"/>
              <w:right w:val="single" w:sz="6" w:space="0" w:color="auto"/>
            </w:tcBorders>
          </w:tcPr>
          <w:p w:rsidR="008711D3" w:rsidRDefault="004479D9">
            <w:pPr>
              <w:autoSpaceDE w:val="0"/>
              <w:autoSpaceDN w:val="0"/>
              <w:adjustRightInd w:val="0"/>
              <w:spacing w:line="360" w:lineRule="auto"/>
              <w:ind w:firstLine="91"/>
              <w:rPr>
                <w:rFonts w:ascii="Arial" w:hAnsi="宋体" w:cs="Arial"/>
                <w:bCs/>
              </w:rPr>
            </w:pPr>
            <w:r>
              <w:rPr>
                <w:rFonts w:ascii="Arial" w:hAnsi="宋体" w:cs="Arial"/>
                <w:bCs/>
              </w:rPr>
              <w:t>联系人</w:t>
            </w:r>
          </w:p>
        </w:tc>
        <w:tc>
          <w:tcPr>
            <w:tcW w:w="7147" w:type="dxa"/>
            <w:tcBorders>
              <w:top w:val="single" w:sz="6" w:space="0" w:color="auto"/>
              <w:left w:val="single" w:sz="6" w:space="0" w:color="auto"/>
              <w:bottom w:val="single" w:sz="6" w:space="0" w:color="auto"/>
              <w:right w:val="single" w:sz="6" w:space="0" w:color="auto"/>
            </w:tcBorders>
          </w:tcPr>
          <w:p w:rsidR="008711D3" w:rsidRDefault="004479D9">
            <w:pPr>
              <w:autoSpaceDE w:val="0"/>
              <w:autoSpaceDN w:val="0"/>
              <w:adjustRightInd w:val="0"/>
              <w:spacing w:line="360" w:lineRule="auto"/>
              <w:ind w:firstLine="91"/>
              <w:rPr>
                <w:rFonts w:ascii="Arial" w:hAnsi="宋体" w:cs="Arial"/>
                <w:bCs/>
              </w:rPr>
            </w:pPr>
            <w:r>
              <w:rPr>
                <w:rFonts w:ascii="Arial" w:hAnsi="Arial" w:cs="Arial" w:hint="eastAsia"/>
                <w:color w:val="000000"/>
              </w:rPr>
              <w:t>胡勇钦</w:t>
            </w:r>
          </w:p>
        </w:tc>
      </w:tr>
    </w:tbl>
    <w:p w:rsidR="008711D3" w:rsidRDefault="004479D9">
      <w:pPr>
        <w:spacing w:line="360" w:lineRule="auto"/>
        <w:ind w:firstLine="422"/>
        <w:rPr>
          <w:rFonts w:ascii="宋体" w:hAnsi="宋体" w:cs="Arial"/>
          <w:color w:val="000000"/>
          <w:szCs w:val="21"/>
        </w:rPr>
      </w:pPr>
      <w:r>
        <w:rPr>
          <w:rFonts w:ascii="宋体" w:hAnsi="宋体" w:cs="Arial" w:hint="eastAsia"/>
          <w:color w:val="000000"/>
          <w:szCs w:val="21"/>
        </w:rPr>
        <w:t>嘉实基金管理有限公司经中国证监会证监基字[1999]5号文批准，于1999年3月25日成立，是中国第一批基金管理公司之一，是中外合资基金管理公司。公司注册地上海，总部设在北京并设北京、深圳、成都、杭州、青岛、南京、福州、广州、北京怀柔和武汉分公司。公司获得首批全国社保基金、企业年金投资管理人、QDII资格和特定资产管理业务资格。</w:t>
      </w:r>
    </w:p>
    <w:p w:rsidR="008711D3" w:rsidRDefault="004479D9">
      <w:pPr>
        <w:spacing w:line="360" w:lineRule="auto"/>
        <w:ind w:firstLine="422"/>
        <w:rPr>
          <w:rFonts w:ascii="宋体" w:hAnsi="宋体" w:cs="Arial"/>
          <w:color w:val="000000"/>
          <w:szCs w:val="21"/>
          <w:lang w:val="fr-CA"/>
        </w:rPr>
      </w:pPr>
      <w:r>
        <w:rPr>
          <w:rFonts w:ascii="宋体" w:hAnsi="宋体" w:cs="Arial" w:hint="eastAsia"/>
          <w:color w:val="000000"/>
          <w:szCs w:val="21"/>
        </w:rPr>
        <w:t>2、</w:t>
      </w:r>
      <w:r>
        <w:rPr>
          <w:rFonts w:ascii="宋体" w:hAnsi="宋体" w:cs="Arial"/>
          <w:color w:val="000000"/>
          <w:szCs w:val="21"/>
          <w:lang w:val="fr-CA"/>
        </w:rPr>
        <w:t>管理基金情况</w:t>
      </w:r>
    </w:p>
    <w:p w:rsidR="008711D3" w:rsidRDefault="00FB7DC9">
      <w:pPr>
        <w:spacing w:line="360" w:lineRule="auto"/>
        <w:ind w:firstLineChars="200" w:firstLine="420"/>
        <w:rPr>
          <w:rFonts w:ascii="宋体" w:hAnsi="宋体"/>
        </w:rPr>
      </w:pPr>
      <w:r w:rsidRPr="00FB7DC9">
        <w:rPr>
          <w:rFonts w:ascii="宋体" w:hAnsi="宋体" w:hint="eastAsia"/>
        </w:rPr>
        <w:t>截止2021年3月31日，基金管理人共管理217只开放式证券投资基金，具体包括嘉实成长收益混合、嘉实增长混合、嘉实稳健混合、嘉实债券、嘉实服务增值行业混合、嘉实优质企业混合、嘉实货币、嘉实沪深 300ETF 联接（LOF）、嘉实超短债债券、嘉实主题混 合、嘉实策略混合、嘉实海外中国股票混合（QDII）、嘉实研究精选混合、嘉实多元债券、 嘉实量化阿尔法混合、嘉实回报混合、嘉实基本面 50 指数（LOF）、嘉实稳固收益债券、嘉实价值优势混合、嘉实 H 股指数（QDII-LOF）、嘉实主题新动力混合、嘉实领先成长混合、嘉实深证基本面120ETF、嘉实深证基本面120ETF联接、嘉实黄金（QDII-FOF-LOF）、嘉实 信用债券、嘉实周期优选混合、嘉实安心货币、嘉实中创 400ETF、嘉实中创 400ETF 联接、嘉实沪深300ETF、嘉实优化红利混合、嘉实全球房地产（QDII）、嘉实纯债债券、嘉实中证500ETF、</w:t>
      </w:r>
      <w:r w:rsidRPr="00FB7DC9">
        <w:rPr>
          <w:rFonts w:ascii="宋体" w:hAnsi="宋体" w:hint="eastAsia"/>
        </w:rPr>
        <w:lastRenderedPageBreak/>
        <w:t>嘉实增强信用定期债券、嘉实中证500ETF联接、嘉实中证中期国债 ETF、嘉实 中证金边中期国债 ETF 联接、嘉实丰益纯债定期债券、嘉实研究阿尔法股票、嘉实如意宝定期债券、嘉实美国成长股票（QDII）、嘉实丰益策略定期债券、嘉实新兴市场债券、嘉实绝对收益策略定期混合、嘉实宝 A/B、嘉实活期宝货币、嘉实活钱包货币、嘉实泰和混合、 嘉实薪金宝货币、嘉实对冲套利定期混合、嘉实中证主要消费 ETF、嘉实中证医药卫生 ETF、 嘉实中证金融地产 ETF、嘉实 3 个月理财债券 A/E、嘉实医疗保健股票、嘉实新兴产业股票、 嘉实新收益混合、嘉实沪深 300 指数研究增强、嘉实逆向策略股票、嘉实企业变革股票、 嘉实新消费股票、嘉实全球互联网股票、嘉实先进制造股票、嘉实事件驱动股票、嘉实快线货币、嘉实低价策略股票、嘉实中证金融地产 ETF 联接、嘉实新起点混合、嘉实腾讯自选股大数据策略股票、嘉实环保低碳股票、嘉实创新成长混合、嘉实智能汽车股票、嘉实新起航混合、嘉实新财富混合、嘉实稳祥纯债债券、嘉实稳瑞纯债债券、嘉实新优选混合、 嘉实新趋势混合、嘉实新思路混合、嘉实沪港深精选股票、嘉实稳盛债券、嘉实稳鑫纯债债券、嘉实安益混合、嘉实文体娱乐股票、嘉实稳泽纯债债券、嘉实惠泽混合（LOF）、嘉实成长增强混合、嘉实策略优选混合、嘉实研究增强混合、嘉实优势成长混合、嘉实稳荣债券、嘉实农业产业股票、嘉实现金宝货币、嘉实增益宝货币、嘉实物流产业股票、嘉实丰安 6 个月定期债券、嘉实稳元纯债债券、嘉实新能源新材料股票、嘉实稳熙纯债债券、嘉实丰和灵活配置混合、嘉实新添华定期混合、嘉实现金添利货币、嘉实沪港深回报混合、嘉实原油（QDII-LOF）、嘉实前沿科技沪港深股票、嘉实稳宏债券、嘉实中关村A股 ETF、 嘉实稳华纯债债券、嘉实6个月理财债券、嘉实稳怡债券、嘉实富时中国A50ETF联接、嘉 实富时中国A50ETF、嘉实中小企业量化活力灵活配置混合、嘉实创业板 ETF、嘉实新添泽 定期混合、嘉实新添丰定期混合、嘉实新添辉定期混合、嘉实领航资产配置混合（FOF）、 嘉实价值精选股票、嘉实医药健康股票、嘉实润泽量化定期混合、嘉实核心优势股票、嘉实润和量化定期混合、嘉实金融精选股票、嘉实新添荣定期混合、嘉实致兴定期纯债债券、嘉实战略配售混合、嘉实瑞享定期混合、嘉实新添康定期混合、嘉实资源精选股票、嘉实致盈债券、嘉实恒生港股通新经济指数（LOF）、嘉实中短债债券、嘉实致享纯债债券、嘉实互通精选股票、嘉实互融精选股票、嘉实养老 2040 混合（FOF）、嘉实消费精选股票、 嘉实新添元定期混合、嘉实中债1-3政金债指数、嘉实养老 2050 混合（FOF）、嘉实长青竞争优势股票、嘉实科技创新混合、嘉实基本面 50ETF、嘉实稳联纯债债券、嘉实汇达中短债债券、嘉实养老 2030 混合（FOF）、嘉实致元42个月定期债券、嘉实沪深 300 红利低波动 ETF、嘉实新添益定期混合、嘉实融享货币、嘉实瑞虹三年定期混合、嘉实价值成长混合、嘉实央企创新驱动ETF、</w:t>
      </w:r>
      <w:r w:rsidRPr="00FB7DC9">
        <w:rPr>
          <w:rFonts w:ascii="宋体" w:hAnsi="宋体" w:hint="eastAsia"/>
        </w:rPr>
        <w:lastRenderedPageBreak/>
        <w:t>嘉实新兴科技100ETF、嘉实致安3个月定期债券、嘉实汇鑫中短债债券、嘉实新兴科技100ETF联接、嘉实致华纯债债券、嘉实商业银行精选债券、嘉实央企创新驱动ETF联接、嘉实致禄3个月定期纯债债券、嘉实民企精选一年定期债券、 嘉实先进制造 100 ETF、嘉实沪深 300 红利低波动 ETF 联接、嘉实安元 39 个月定期纯债债券、嘉实中债 3-5 年国开债指数、嘉实鑫和一年持有期混合、嘉实致融一年定期债券、嘉实瑞熙三年封闭运作混合、嘉实中证 500 指数增强、嘉实回报精选股票、嘉实致宁 3 个月定开纯债债券、嘉实中证 500 成长估值 ETF、嘉实瑞和两年持有期混合、嘉实基础产业优选股票、嘉实中证主要消费 ETF 联接 A/C、嘉实医药健康 100ETF、嘉实稳福混合、嘉实瑞成两年持有期混合、嘉实致益纯债债券、嘉实精选平衡混合、嘉实致信一年定期纯债债券、 嘉实致嘉纯债债券、嘉实产业先锋混合、嘉实远见精选两年持有期混合、嘉实致业一年定期纯债债券、嘉实安泽一年定期纯债债券、嘉实前沿创新混合、嘉实远见企业精选两年持有期混合、嘉实价值发现三个月定期混合、嘉实 H 股 50ETF（QDII）、嘉实浦惠 6 个月持有期混合、嘉实创新先锋混合、嘉实核心成长混合、嘉实彭博国开债 1-5 年指数、嘉实动力先锋混合、嘉实多利收益债券、嘉实稳惠 6 个月持有期混合、嘉实优质精选混合、嘉实稳骏纯债基金、嘉实价值长青混合、嘉实民安添岁稳健养老一年持有期混合（FOF）、嘉实港股优势混合、嘉实睿享安久双利 18 个月持有期债券、嘉实中证沪港深互联网 ETF、嘉实中证软件服务 ETF、嘉实品质回报混合、嘉实创业板两年定期混合、嘉实竞争力优选混合、 嘉实浦盈一年持有期混合、嘉实中证稀土产业 ETF、嘉实阿尔法优选混合、嘉实中证大农业 ETF、嘉实匠心回报混合。其中嘉实增长混合、嘉实稳健混合和嘉实债券属于嘉实理财通系列基金。同时，基金管理人还管理多个全国社保基金、企业年金、特定客户资产投资组合。</w:t>
      </w:r>
    </w:p>
    <w:p w:rsidR="008711D3" w:rsidRDefault="004479D9">
      <w:pPr>
        <w:spacing w:line="360" w:lineRule="auto"/>
        <w:ind w:firstLineChars="200" w:firstLine="422"/>
        <w:rPr>
          <w:rFonts w:ascii="宋体" w:hAnsi="宋体"/>
          <w:b/>
          <w:bCs/>
          <w:szCs w:val="21"/>
        </w:rPr>
      </w:pPr>
      <w:r>
        <w:rPr>
          <w:rFonts w:ascii="宋体" w:hAnsi="宋体"/>
          <w:b/>
          <w:bCs/>
          <w:szCs w:val="21"/>
        </w:rPr>
        <w:t>（二）主要人员情况</w:t>
      </w:r>
    </w:p>
    <w:p w:rsidR="00FB7DC9" w:rsidRPr="00FB7DC9" w:rsidRDefault="00FB7DC9" w:rsidP="00FB7DC9">
      <w:pPr>
        <w:autoSpaceDE w:val="0"/>
        <w:autoSpaceDN w:val="0"/>
        <w:adjustRightInd w:val="0"/>
        <w:spacing w:line="360" w:lineRule="auto"/>
        <w:ind w:firstLineChars="200" w:firstLine="420"/>
        <w:rPr>
          <w:rFonts w:ascii="宋体" w:hAnsi="宋体"/>
        </w:rPr>
      </w:pPr>
      <w:r w:rsidRPr="00FB7DC9">
        <w:rPr>
          <w:rFonts w:ascii="宋体" w:hAnsi="宋体" w:hint="eastAsia"/>
        </w:rPr>
        <w:t>1、基金管理人董事、监事、总经理及其他高级管理人员基本情况</w:t>
      </w:r>
    </w:p>
    <w:p w:rsidR="00FB7DC9" w:rsidRPr="00FB7DC9" w:rsidRDefault="00FB7DC9" w:rsidP="00FB7DC9">
      <w:pPr>
        <w:autoSpaceDE w:val="0"/>
        <w:autoSpaceDN w:val="0"/>
        <w:adjustRightInd w:val="0"/>
        <w:spacing w:line="360" w:lineRule="auto"/>
        <w:ind w:firstLineChars="200" w:firstLine="420"/>
        <w:rPr>
          <w:rFonts w:ascii="宋体" w:hAnsi="宋体"/>
        </w:rPr>
      </w:pPr>
      <w:r w:rsidRPr="00FB7DC9">
        <w:rPr>
          <w:rFonts w:ascii="宋体" w:hAnsi="宋体" w:hint="eastAsia"/>
        </w:rPr>
        <w:t>牛成立先生，联席董事长，经济学硕士，中共党员。曾任中国人民银行非银行金融机构监管司副处长、处长；中国银行厦门分行党委委员、副行长（挂职）；中国银行业监督管理委员会（下称银监会）非银行金融机构监管部处长；银监会新疆监管局党委委员、副局长；银监会银行监管四部副主任；银监会黑龙江监管局党委书记、局长；银监会融资性担保业务工作部（融资性担保业务监管部际联席会议办公室）主任；中诚信托有限责任公司党委委员、总裁。现任中诚信托有限责任公司党委书记、董事长，兼任中国信托业保障基金有限责任公司董事。</w:t>
      </w:r>
    </w:p>
    <w:p w:rsidR="00FB7DC9" w:rsidRPr="00FB7DC9" w:rsidRDefault="00FB7DC9" w:rsidP="00FB7DC9">
      <w:pPr>
        <w:autoSpaceDE w:val="0"/>
        <w:autoSpaceDN w:val="0"/>
        <w:adjustRightInd w:val="0"/>
        <w:spacing w:line="360" w:lineRule="auto"/>
        <w:ind w:firstLineChars="200" w:firstLine="420"/>
        <w:rPr>
          <w:rFonts w:ascii="宋体" w:hAnsi="宋体"/>
        </w:rPr>
      </w:pPr>
      <w:r w:rsidRPr="00FB7DC9">
        <w:rPr>
          <w:rFonts w:ascii="宋体" w:hAnsi="宋体" w:hint="eastAsia"/>
        </w:rPr>
        <w:t>赵学军先生，董事长，党委书记，经济学博士。曾就职于天津通信广播公司电视设计所、</w:t>
      </w:r>
      <w:r w:rsidRPr="00FB7DC9">
        <w:rPr>
          <w:rFonts w:ascii="宋体" w:hAnsi="宋体" w:hint="eastAsia"/>
        </w:rPr>
        <w:lastRenderedPageBreak/>
        <w:t>外经贸部中国仪器进出口总公司、北京商品交易所、天津纺织原材料交易所、商鼎期货经纪有限公司、北京证券有限公司、大成基金管理有限公司。2000年10月至2017年12月任嘉实基金管理有限公司董事、总经理，2017年12月起任公司董事长。</w:t>
      </w:r>
    </w:p>
    <w:p w:rsidR="00FB7DC9" w:rsidRPr="00FB7DC9" w:rsidRDefault="00FB7DC9" w:rsidP="00FB7DC9">
      <w:pPr>
        <w:autoSpaceDE w:val="0"/>
        <w:autoSpaceDN w:val="0"/>
        <w:adjustRightInd w:val="0"/>
        <w:spacing w:line="360" w:lineRule="auto"/>
        <w:ind w:firstLineChars="200" w:firstLine="420"/>
        <w:rPr>
          <w:rFonts w:ascii="宋体" w:hAnsi="宋体"/>
        </w:rPr>
      </w:pPr>
      <w:r w:rsidRPr="00FB7DC9">
        <w:rPr>
          <w:rFonts w:ascii="宋体" w:hAnsi="宋体" w:hint="eastAsia"/>
        </w:rPr>
        <w:t>朱蕾女士，董事，硕士研究生，中共党员。曾任保监会财会部资金运用处主任科员；国都证券有限责任公司研究部高级经理；中欧基金管理有限公司董秘兼发展战略官。现任中诚信托有限责任公司业务总监兼国际业务部总经理，兼任中诚国际资本有限公司总经理、中诚宝捷思货币经纪有限公司董事长及法人代表。</w:t>
      </w:r>
    </w:p>
    <w:p w:rsidR="00FB7DC9" w:rsidRPr="00FB7DC9" w:rsidRDefault="00FB7DC9" w:rsidP="00FB7DC9">
      <w:pPr>
        <w:autoSpaceDE w:val="0"/>
        <w:autoSpaceDN w:val="0"/>
        <w:adjustRightInd w:val="0"/>
        <w:spacing w:line="360" w:lineRule="auto"/>
        <w:ind w:firstLineChars="200" w:firstLine="420"/>
        <w:rPr>
          <w:rFonts w:ascii="宋体" w:hAnsi="宋体"/>
        </w:rPr>
      </w:pPr>
      <w:r w:rsidRPr="00FB7DC9">
        <w:rPr>
          <w:rFonts w:ascii="宋体" w:hAnsi="宋体" w:hint="eastAsia"/>
        </w:rPr>
        <w:t>Mark H.Cullen先生，董事，澳大利亚籍，澳大利亚莫纳什大学经济政治专业学士。曾任达灵顿商品(Darlington Commodities)商品交易主管，贝恩(Bain&amp;Company)期货与商品部负责人，德意志银行（纽约）全球股票投资部首席运营官、MD，德意志资产管理（纽约）全球首席运营官、MD，德意志银行（伦敦）首席运营官，德意志银行全球审计主管。现任DWS Management GmbH执行董事、全球首席运营官。</w:t>
      </w:r>
    </w:p>
    <w:p w:rsidR="00FB7DC9" w:rsidRPr="00FB7DC9" w:rsidRDefault="00FB7DC9" w:rsidP="00FB7DC9">
      <w:pPr>
        <w:autoSpaceDE w:val="0"/>
        <w:autoSpaceDN w:val="0"/>
        <w:adjustRightInd w:val="0"/>
        <w:spacing w:line="360" w:lineRule="auto"/>
        <w:ind w:firstLineChars="200" w:firstLine="420"/>
        <w:rPr>
          <w:rFonts w:ascii="宋体" w:hAnsi="宋体"/>
        </w:rPr>
      </w:pPr>
      <w:r w:rsidRPr="00FB7DC9">
        <w:rPr>
          <w:rFonts w:ascii="宋体" w:hAnsi="宋体" w:hint="eastAsia"/>
        </w:rPr>
        <w:t>Holger Wilhelm Naumann先生，董事，德国籍。曾任DWS Investment GmbH子公司管理、业务发展、业务区域控制欧洲负责人，DWS资产管理（德国）管委会成员、COO，DWS资产管理（欧洲）COO，RREEF Management GmbH RREEF德国负责人，DWS全球 COO，德意志资产管理全球COO， DWS管理委员会成员、亚太区负责人，现任DWS Investments Hong Kong Limited董事会主席、亚太区负责人。</w:t>
      </w:r>
    </w:p>
    <w:p w:rsidR="00FB7DC9" w:rsidRPr="00FB7DC9" w:rsidRDefault="00FB7DC9" w:rsidP="00FB7DC9">
      <w:pPr>
        <w:autoSpaceDE w:val="0"/>
        <w:autoSpaceDN w:val="0"/>
        <w:adjustRightInd w:val="0"/>
        <w:spacing w:line="360" w:lineRule="auto"/>
        <w:ind w:firstLineChars="200" w:firstLine="420"/>
        <w:rPr>
          <w:rFonts w:ascii="宋体" w:hAnsi="宋体"/>
        </w:rPr>
      </w:pPr>
      <w:r w:rsidRPr="00FB7DC9">
        <w:rPr>
          <w:rFonts w:ascii="宋体" w:hAnsi="宋体" w:hint="eastAsia"/>
        </w:rPr>
        <w:t>韩家乐先生，董事，1990年毕业于清华大学经济管理学院，硕士研究生。1990年2月至2000年5月任海问证券投资咨询有限公司总经理；1994年至今，任北京德恒有限责任公司总经理；2001年11月至今，任立信投资有限责任公司董事长。</w:t>
      </w:r>
    </w:p>
    <w:p w:rsidR="00FB7DC9" w:rsidRPr="00FB7DC9" w:rsidRDefault="00FB7DC9" w:rsidP="00FB7DC9">
      <w:pPr>
        <w:autoSpaceDE w:val="0"/>
        <w:autoSpaceDN w:val="0"/>
        <w:adjustRightInd w:val="0"/>
        <w:spacing w:line="360" w:lineRule="auto"/>
        <w:ind w:firstLineChars="200" w:firstLine="420"/>
        <w:rPr>
          <w:rFonts w:ascii="宋体" w:hAnsi="宋体"/>
        </w:rPr>
      </w:pPr>
      <w:r w:rsidRPr="00FB7DC9">
        <w:rPr>
          <w:rFonts w:ascii="宋体" w:hAnsi="宋体" w:hint="eastAsia"/>
        </w:rPr>
        <w:t>王巍先生，独立董事，美国福特姆大学文理学院国际金融专业博士。曾任职于中国建设银行辽宁分行。曾任中国银行总行国际金融研究所助理研究员，美国化学银行分析师，美国世界银行顾问，中国南方证券有限公司副总裁，万盟投资管理有限公司董事长。2004至今任万盟并购集团董事长。</w:t>
      </w:r>
    </w:p>
    <w:p w:rsidR="00FB7DC9" w:rsidRPr="00FB7DC9" w:rsidRDefault="00FB7DC9" w:rsidP="00FB7DC9">
      <w:pPr>
        <w:autoSpaceDE w:val="0"/>
        <w:autoSpaceDN w:val="0"/>
        <w:adjustRightInd w:val="0"/>
        <w:spacing w:line="360" w:lineRule="auto"/>
        <w:ind w:firstLineChars="200" w:firstLine="420"/>
        <w:rPr>
          <w:rFonts w:ascii="宋体" w:hAnsi="宋体"/>
        </w:rPr>
      </w:pPr>
      <w:r w:rsidRPr="00FB7DC9">
        <w:rPr>
          <w:rFonts w:ascii="宋体" w:hAnsi="宋体" w:hint="eastAsia"/>
        </w:rPr>
        <w:t>汤欣先生，独立董事，中共党员，法学博士，清华大学法学院教授、清华大学商法研究中心副主任、《清华法学》副主编，汤姆森路透集团“中国商法”丛书编辑咨询委员会成员。曾兼任中国证券监督管理委员会第一、二届并购重组审核委员会委员，现兼任上海证券交易所上市委员会委员、中国上市公司协会独立董事委员会首任主任。</w:t>
      </w:r>
    </w:p>
    <w:p w:rsidR="00FB7DC9" w:rsidRPr="00FB7DC9" w:rsidRDefault="00FB7DC9" w:rsidP="00FB7DC9">
      <w:pPr>
        <w:autoSpaceDE w:val="0"/>
        <w:autoSpaceDN w:val="0"/>
        <w:adjustRightInd w:val="0"/>
        <w:spacing w:line="360" w:lineRule="auto"/>
        <w:ind w:firstLineChars="200" w:firstLine="420"/>
        <w:rPr>
          <w:rFonts w:ascii="宋体" w:hAnsi="宋体"/>
        </w:rPr>
      </w:pPr>
      <w:r w:rsidRPr="00FB7DC9">
        <w:rPr>
          <w:rFonts w:ascii="宋体" w:hAnsi="宋体" w:hint="eastAsia"/>
        </w:rPr>
        <w:t>王瑞华先生，独立董事，管理学博士，会计学教授，注册会计师，中共党员。曾任中央财经大学财务会计教研室主任、研究生部副主任、商学院院长兼MBA教育中心主任。现任中</w:t>
      </w:r>
      <w:r w:rsidRPr="00FB7DC9">
        <w:rPr>
          <w:rFonts w:ascii="宋体" w:hAnsi="宋体" w:hint="eastAsia"/>
        </w:rPr>
        <w:lastRenderedPageBreak/>
        <w:t>央财经大学商学院教授。</w:t>
      </w:r>
    </w:p>
    <w:p w:rsidR="00FB7DC9" w:rsidRPr="00FB7DC9" w:rsidRDefault="00FB7DC9" w:rsidP="00FB7DC9">
      <w:pPr>
        <w:autoSpaceDE w:val="0"/>
        <w:autoSpaceDN w:val="0"/>
        <w:adjustRightInd w:val="0"/>
        <w:spacing w:line="360" w:lineRule="auto"/>
        <w:ind w:firstLineChars="200" w:firstLine="420"/>
        <w:rPr>
          <w:rFonts w:ascii="宋体" w:hAnsi="宋体"/>
        </w:rPr>
      </w:pPr>
      <w:r w:rsidRPr="00FB7DC9">
        <w:rPr>
          <w:rFonts w:ascii="宋体" w:hAnsi="宋体" w:hint="eastAsia"/>
        </w:rPr>
        <w:t>经雷先生，董事、总经理，金融学、会计学专业本科学历，工商管理学学士学位，特许金融分析师（CFA）。1998年到2008年在美国国际集团（AIG）国际投资公司美国纽约总部担任研究投资工作。2008年到2013年历任友邦保险中国区资产管理中心副总监，首席投资总监及资产管理中心负责人。2013年10月至今就职于嘉实基金管理有限公司，历任董事总经理（MD）、机构投资和固定收益业务首席投资官；2018年3月起任公司总经理。</w:t>
      </w:r>
    </w:p>
    <w:p w:rsidR="00FB7DC9" w:rsidRPr="00FB7DC9" w:rsidRDefault="00FB7DC9" w:rsidP="00FB7DC9">
      <w:pPr>
        <w:autoSpaceDE w:val="0"/>
        <w:autoSpaceDN w:val="0"/>
        <w:adjustRightInd w:val="0"/>
        <w:spacing w:line="360" w:lineRule="auto"/>
        <w:ind w:firstLineChars="200" w:firstLine="420"/>
        <w:rPr>
          <w:rFonts w:ascii="宋体" w:hAnsi="宋体"/>
        </w:rPr>
      </w:pPr>
      <w:r w:rsidRPr="00FB7DC9">
        <w:rPr>
          <w:rFonts w:ascii="宋体" w:hAnsi="宋体" w:hint="eastAsia"/>
        </w:rPr>
        <w:t>袁管华先生，监事长，博士研究生，中共党员。曾任中国人民银行外资金融机构管理司副处长、银行监管一司处长；中国银监会财务会计部处长，江西监管局副局长、党委委员；中国银监会财务会计部正局级巡视员；中诚信托有限责任公司第四届监事会副监事长。现任中诚信托有限责任公司副监事长。</w:t>
      </w:r>
    </w:p>
    <w:p w:rsidR="00FB7DC9" w:rsidRPr="00FB7DC9" w:rsidRDefault="00FB7DC9" w:rsidP="00FB7DC9">
      <w:pPr>
        <w:autoSpaceDE w:val="0"/>
        <w:autoSpaceDN w:val="0"/>
        <w:adjustRightInd w:val="0"/>
        <w:spacing w:line="360" w:lineRule="auto"/>
        <w:ind w:firstLineChars="200" w:firstLine="420"/>
        <w:rPr>
          <w:rFonts w:ascii="宋体" w:hAnsi="宋体"/>
        </w:rPr>
      </w:pPr>
      <w:r w:rsidRPr="00FB7DC9">
        <w:rPr>
          <w:rFonts w:ascii="宋体" w:hAnsi="宋体" w:hint="eastAsia"/>
        </w:rPr>
        <w:t>穆群先生，监事，经济师，硕士研究生。曾任西安电子科技大学助教，长安信息产业（集团）股份有限公司董事会秘书，北京德恒有限责任公司财务主管。2001年11月至今任立信投资有限公司财务总监。</w:t>
      </w:r>
    </w:p>
    <w:p w:rsidR="00FB7DC9" w:rsidRPr="00FB7DC9" w:rsidRDefault="00FB7DC9" w:rsidP="00FB7DC9">
      <w:pPr>
        <w:autoSpaceDE w:val="0"/>
        <w:autoSpaceDN w:val="0"/>
        <w:adjustRightInd w:val="0"/>
        <w:spacing w:line="360" w:lineRule="auto"/>
        <w:ind w:firstLineChars="200" w:firstLine="420"/>
        <w:rPr>
          <w:rFonts w:ascii="宋体" w:hAnsi="宋体"/>
        </w:rPr>
      </w:pPr>
      <w:r w:rsidRPr="00FB7DC9">
        <w:rPr>
          <w:rFonts w:ascii="宋体" w:hAnsi="宋体" w:hint="eastAsia"/>
        </w:rPr>
        <w:t>曾宪政先生，监事，法学硕士。1999年7月至2003年10月就职于首钢集团，2003年10月至2008年6月，为国浩律师集团（北京）事务所证券部律师。2008年7月至今，就职于嘉实基金管理有限公司法律稽核部、法律部，现任基金法务组总监。</w:t>
      </w:r>
    </w:p>
    <w:p w:rsidR="00FB7DC9" w:rsidRPr="00FB7DC9" w:rsidRDefault="00FB7DC9" w:rsidP="00FB7DC9">
      <w:pPr>
        <w:autoSpaceDE w:val="0"/>
        <w:autoSpaceDN w:val="0"/>
        <w:adjustRightInd w:val="0"/>
        <w:spacing w:line="360" w:lineRule="auto"/>
        <w:ind w:firstLineChars="200" w:firstLine="420"/>
        <w:rPr>
          <w:rFonts w:ascii="宋体" w:hAnsi="宋体"/>
        </w:rPr>
      </w:pPr>
      <w:r w:rsidRPr="00FB7DC9">
        <w:rPr>
          <w:rFonts w:ascii="宋体" w:hAnsi="宋体" w:hint="eastAsia"/>
        </w:rPr>
        <w:t>罗丽丽女士，监事，经济学硕士。2000年7月至2004年8月任北京兆维科技股份有限公司证券事务代表，2004年9月至2006年1月任平泰人寿保险股份有限公司（筹）法律事务主管，2006年2月至2007年10月任上海浦东发展银行北京分行法务经理，2007年10月至2010年12月任工银瑞信基金管理有限公司法律合规经理。2010年12月加入嘉实基金管理有限公司,曾任稽核部执行总监，现任基金运营总监。</w:t>
      </w:r>
    </w:p>
    <w:p w:rsidR="00FB7DC9" w:rsidRPr="00FB7DC9" w:rsidRDefault="00FB7DC9" w:rsidP="00FB7DC9">
      <w:pPr>
        <w:autoSpaceDE w:val="0"/>
        <w:autoSpaceDN w:val="0"/>
        <w:adjustRightInd w:val="0"/>
        <w:spacing w:line="360" w:lineRule="auto"/>
        <w:ind w:firstLineChars="200" w:firstLine="420"/>
        <w:rPr>
          <w:rFonts w:ascii="宋体" w:hAnsi="宋体"/>
        </w:rPr>
      </w:pPr>
      <w:r w:rsidRPr="00FB7DC9">
        <w:rPr>
          <w:rFonts w:ascii="宋体" w:hAnsi="宋体" w:hint="eastAsia"/>
        </w:rPr>
        <w:t>郭松先生，督察长，硕士研究生。曾任职于国家外汇管理局、中汇储投资有限责任公司、国新国际投资有限公司。2019年12月加入嘉实基金管理有限公司，现任公司督察长。</w:t>
      </w:r>
    </w:p>
    <w:p w:rsidR="008711D3" w:rsidRDefault="00FB7DC9" w:rsidP="00FB7DC9">
      <w:pPr>
        <w:autoSpaceDE w:val="0"/>
        <w:autoSpaceDN w:val="0"/>
        <w:adjustRightInd w:val="0"/>
        <w:spacing w:line="360" w:lineRule="auto"/>
        <w:ind w:firstLineChars="200" w:firstLine="420"/>
        <w:rPr>
          <w:rFonts w:ascii="宋体" w:hAnsi="宋体"/>
        </w:rPr>
      </w:pPr>
      <w:r w:rsidRPr="00FB7DC9">
        <w:rPr>
          <w:rFonts w:ascii="宋体" w:hAnsi="宋体" w:hint="eastAsia"/>
        </w:rPr>
        <w:t>郭杰先生，机构首席投资官，硕士研究生。曾任职于富国基金管理有限公司、汇添富基金管理股份有限公司、海富通基金管理有限公司。2012年5月加入嘉实基金管理有限公司，历任部门总监、策略组组长，现任公司机构首席投资官。</w:t>
      </w:r>
    </w:p>
    <w:p w:rsidR="008711D3" w:rsidRDefault="004479D9">
      <w:pPr>
        <w:autoSpaceDE w:val="0"/>
        <w:autoSpaceDN w:val="0"/>
        <w:adjustRightInd w:val="0"/>
        <w:spacing w:line="360" w:lineRule="auto"/>
        <w:ind w:firstLineChars="200" w:firstLine="420"/>
        <w:rPr>
          <w:rFonts w:ascii="宋体" w:hAnsi="宋体"/>
          <w:color w:val="000000"/>
          <w:kern w:val="0"/>
          <w:szCs w:val="21"/>
        </w:rPr>
      </w:pPr>
      <w:r>
        <w:rPr>
          <w:rFonts w:ascii="宋体" w:hAnsi="宋体"/>
          <w:color w:val="000000"/>
          <w:kern w:val="0"/>
          <w:szCs w:val="21"/>
        </w:rPr>
        <w:t>2</w:t>
      </w:r>
      <w:r>
        <w:rPr>
          <w:rFonts w:ascii="宋体" w:hAnsi="宋体" w:hint="eastAsia"/>
          <w:color w:val="000000"/>
          <w:kern w:val="0"/>
          <w:szCs w:val="21"/>
        </w:rPr>
        <w:t>、基金经理</w:t>
      </w:r>
    </w:p>
    <w:p w:rsidR="008711D3" w:rsidRDefault="004479D9">
      <w:pPr>
        <w:autoSpaceDE w:val="0"/>
        <w:autoSpaceDN w:val="0"/>
        <w:adjustRightInd w:val="0"/>
        <w:spacing w:line="360" w:lineRule="auto"/>
        <w:ind w:firstLineChars="200" w:firstLine="420"/>
        <w:rPr>
          <w:rFonts w:ascii="宋体" w:hAnsi="宋体"/>
        </w:rPr>
      </w:pPr>
      <w:r>
        <w:rPr>
          <w:rFonts w:ascii="宋体" w:hAnsi="宋体" w:hint="eastAsia"/>
        </w:rPr>
        <w:t>张金涛先生，硕士研究生，18年证券从业经历，具有基金从业资格。曾任中金公司研究部能源组组长。润晖投资高级副总裁，负责能源和原材料等行业的研究和投资。2012年10月加入嘉实基金管理有限公司，曾任海外研究组组长，负责海外投资策略以及能源原材料行业</w:t>
      </w:r>
      <w:r>
        <w:rPr>
          <w:rFonts w:ascii="宋体" w:hAnsi="宋体" w:hint="eastAsia"/>
        </w:rPr>
        <w:lastRenderedPageBreak/>
        <w:t>研究；曾任策略组投资总监；现任主基金经理。2017年1月12日至2019年4月12日任嘉实稳盛债券型证券投资基金基金经理。2016年5月27日至今任嘉实沪港深精选股票型证券投资基金基金经理、2017年3月29日至今任嘉实沪港深回报混合型证券投资基金基金经理、2018年8月3日至今任嘉实瑞享定期开放灵活配置混合型证券投资基金基金经理、2020年5月14日至今任嘉实瑞成两年持有期混合型证券投资基金基金经理、2021年1月19日至今任嘉实港股优势混合型证券投资基金基金经理。</w:t>
      </w:r>
    </w:p>
    <w:p w:rsidR="008711D3" w:rsidRDefault="004479D9">
      <w:pPr>
        <w:autoSpaceDE w:val="0"/>
        <w:autoSpaceDN w:val="0"/>
        <w:adjustRightInd w:val="0"/>
        <w:spacing w:line="360" w:lineRule="auto"/>
        <w:ind w:firstLineChars="200" w:firstLine="420"/>
        <w:rPr>
          <w:rFonts w:ascii="宋体" w:hAnsi="宋体"/>
          <w:szCs w:val="21"/>
        </w:rPr>
      </w:pPr>
      <w:r>
        <w:rPr>
          <w:rFonts w:ascii="宋体" w:hAnsi="宋体"/>
          <w:szCs w:val="21"/>
        </w:rPr>
        <w:t>3</w:t>
      </w:r>
      <w:r>
        <w:rPr>
          <w:rFonts w:ascii="宋体" w:hAnsi="宋体" w:hint="eastAsia"/>
          <w:szCs w:val="21"/>
        </w:rPr>
        <w:t>、股票投资决策委员会</w:t>
      </w:r>
    </w:p>
    <w:p w:rsidR="008711D3" w:rsidRDefault="00FB7DC9">
      <w:pPr>
        <w:spacing w:line="360" w:lineRule="auto"/>
        <w:ind w:firstLine="420"/>
        <w:rPr>
          <w:rFonts w:cs="Arial"/>
        </w:rPr>
      </w:pPr>
      <w:r w:rsidRPr="00FB7DC9">
        <w:rPr>
          <w:rFonts w:cs="Arial" w:hint="eastAsia"/>
        </w:rPr>
        <w:t>股票投资决策委员会的成员包括：公司董事长赵学军先生，公司总经理经雷先生，主基金经理邵健先生，机构业务</w:t>
      </w:r>
      <w:r w:rsidRPr="00FB7DC9">
        <w:rPr>
          <w:rFonts w:cs="Arial" w:hint="eastAsia"/>
        </w:rPr>
        <w:t>CIO</w:t>
      </w:r>
      <w:r w:rsidRPr="00FB7DC9">
        <w:rPr>
          <w:rFonts w:cs="Arial" w:hint="eastAsia"/>
        </w:rPr>
        <w:t>郭杰先生，主基金经理归凯先生、胡涛先生、谭丽女士、张金涛先生、洪流先生，主基金经理兼研究部总监张丹华先生。</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4、上述人员之间均不存在近亲属关系。</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（三）基金管理人的职责</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1、依法募集基金，办理或者委托经中国证监会认定的其他机构代为办理基金份额的发售、申购、赎回、转换和登记事宜；</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2、办理基金备案手续；</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3、对所管理的不同基金资产分别管理、分别记账，进行证券投资；</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4、按照基金合同的约定确定基金收益分配方案，及时向基金份额持有人分配收益；</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5、进行基金会计核算并编制基金财务会计报告；</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6、编制季度报告、中期报告和年度报告；</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7、计算并公告基金份额净值和基金份额累计净值，确定基金份额申购、赎回价格；</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8、办理与基金资产管理业务活动有关的信息披露事项；</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9、召集基金份额持有人大会；</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10、保存基金资产管理业务活动的记录、账册、报表和其他相关资料；</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11、以基金管理人名义，代表基金份额持有人利益行使诉讼权利或者实施其他法律行为；</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12、有关法律法规和中国证监会规定的其他职责。</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（四）基金管理人的承诺</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1、本基金管理人承诺严格遵守相关法律法规、基金合同和中国证监会的有关规定，建立健全内部控制制度，采取有效措施，防止违反有关法律法规、基金合同和中国证监会有关规定的行为发生。</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2、本基金管理人承诺严格遵守《中华人民共和国证券法》、《基金法》及有关法律法</w:t>
      </w:r>
      <w:r>
        <w:rPr>
          <w:rFonts w:ascii="宋体" w:hAnsi="宋体" w:hint="eastAsia"/>
          <w:color w:val="000000"/>
          <w:kern w:val="0"/>
          <w:szCs w:val="21"/>
        </w:rPr>
        <w:lastRenderedPageBreak/>
        <w:t>规，建立健全的内部控制制度，采取有效措施，防止下列行为发生：</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（1）将其固有财产或者他人财产混同于基金资产从事证券投资；</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（2）不公平地对待其管理的不同基金资产；</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（3）利用基金资产为基金份额持有人以外的第三人牟取利益；</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（4）向基金份额持有人违规承诺收益或者承担损失；</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（5）法律法规或中国证监会规定禁止的其他行为。</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3、本基金管理人承诺加强人员管理，强化职业操守，督促和约束员工遵守国家有关法律法规及行业规范，诚实信用、勤勉尽责，不得将基金资产用于以下投资或活动：</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（1）承销证券；</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（2）违反规定向他人贷款或者提供担保；</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（3）从事承担无限责任的投资；</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（4）买卖其他基金份额，但是中国证监会另有规定的除外；</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（5）向其基金管理人、基金托管人出资；</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（6）从事内幕交易、操纵证券交易价格及其他不正当的证券交易活动；</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（7）法律、行政法规和中国证监会规定禁止的其他活动。</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4、基金经理承诺</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（1）依照有关法律法规和基金合同的规定，本着谨慎的原则为基金份额持有人谋取最大利益；</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（2）不利用职务之便为自己及其代理人、受雇人或任何第三人谋取利益；</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（3）不违反现行有效的有关法律法规、规章、基金合同和中国证监会的有关规定，泄漏在任职期间知悉的有关证券、基金的商业秘密、尚未依法公开的基金投资内容、基金投资计划等信息；</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（4）不从事损害基金资产和基金份额持有人利益的证券交易及其他活动。</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（五）基金管理人的内部控制制度</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1、内部控制制度概述</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为加强内部控制，防范和化解风险，促进公司诚信、合法、有效经营，保障基金份额持有人利益，根据《证券投资基金管理公司内部控制指导意见》并结合公司具体情况，公司已建立健全内部控制体系和内部控制制度。</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公司内部控制制度由内部控制大纲、基本管理制度、部门业务规章等部分组成。公司内部控制大纲是对公司章程规定的内控原则的细化和展开，是各项基本管理制度的纲要和总</w:t>
      </w:r>
      <w:r>
        <w:rPr>
          <w:rFonts w:ascii="宋体" w:hAnsi="宋体" w:hint="eastAsia"/>
          <w:color w:val="000000"/>
          <w:kern w:val="0"/>
          <w:szCs w:val="21"/>
        </w:rPr>
        <w:lastRenderedPageBreak/>
        <w:t>揽。基本管理制度包括投资管理、信息披露、信息技术管理、公司财务管理、基金会计、人力资源管理、资料档案管理、业绩评估考核、合规管理和风险控制、紧急应变等制度。部门业务规章是对各部门的主要职责、岗位设置、岗位责任、操作守则等具体说明。</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2、内部控制的原则</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（1）健全性原则：内部控制包括公司的各项业务、各个部门或机构和各级人员，并涵盖到决策、执行、监督、反馈等各个环节；</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（2）有效性原则：通过科学的内控手段和方法，建立合理的内控程序，维护内控制度的有效执行；</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（3）独立性原则：公司各机构、部门和岗位在职能上必须保持相对独立；</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（4）相互制约原则：组织结构体现职责明确、相互制约的原则，各部门有明确的授权分工，操作相互独立。</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（5）成本效益原则：运用科学化的经营管理方法降低运作成本，提高经济效益，以合理的控制成本达到最佳的内部控制效果。</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3、内部控制组织体系</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1）公司董事会对公司建立内部控制系统和维持其有效性承担最终责任。董事会下设审计与合规委员会，负责检查公司内部管理制度的合法合规性及内控制度的执行情况，充分发挥独立董事监督职能，保护投资者利益和公司合法权益。</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（2）股票投资决策委员会为公司投资管理的最高决策机构，由董事长、总经理、总监及资深基金经理组成，负责指导基金资产的运作、确定基本的投资策略和投资组合的原则。</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（3）风险控制委员会为公司风险管理的最高决策机构，由公司总经理、督察长及相关总监组成，负责全面评估公司经营管理过程中的各项风险，并提出防范化解措施。</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（4）督察长积极对公司各项制度、业务的合法合规性及公司内部控制制度的执行情况进行监察、稽核，定期和不定期向董事会报告公司内部控制执行情况。</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5）合规管理部门：公司管理层重视和支持合规风控工作，并保证合规管理部门的独立性和权威性，配备了充足合格的合规风控人员，明确合规管理部门及其各岗位的职责和工作流程、组织纪律。合规管理部门具体负责公司各项制度、业务的合法合规性及公司内部控制制度的执行情况的监控检查工作。</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（6）业务部门：部门负责人为所在部门的风险控制第一责任人，对本部门业务范围内的风险负有管控及时报告的义务。</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（7）岗位员工：公司努力树立内控优先和风险管理理念，培养全体员工的风险防范意</w:t>
      </w:r>
      <w:r>
        <w:rPr>
          <w:rFonts w:ascii="宋体" w:hAnsi="宋体" w:hint="eastAsia"/>
          <w:color w:val="000000"/>
          <w:kern w:val="0"/>
          <w:szCs w:val="21"/>
        </w:rPr>
        <w:lastRenderedPageBreak/>
        <w:t>识，营造一个浓厚的内控文化氛围，保证全体员工及时了解国家法律法规和公司规章制度，使风险意识贯穿到公司各个部门、各个岗位和各个环节。员工在其岗位职责范围内承担相应的内控责任，并负有对岗位工作中发现的风险隐患或风险问题及时报告、反馈的义务。</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4、内部控制措施</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公司确立“制度上控制风险、技术上量化风险”，积极吸收或采用先进的风险控制技术和手段，进行内部控制和风险管理。</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（1）公司逐步健全法人治理结构，充分发挥独立董事和监事会的监督职能，严禁不正当关联交易、利益输送和内部人控制现象的发生，保护投资者利益和公司合法权益。</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2）公司设置的组织结构，充分体现职责明确、相互制约的原则，各部门均有明确的授权分工，操作相互独立。公司逐步建立决策科学、运营规范、管理高效的运行机制，包括民主、透明的决策程序和管理议事规则，高效、严谨的业务执行系统，以及健全、有效的内部监督和反馈系统。</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（3）公司设立了顺序递进、权责统一、严密有效的内控防线：</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①各岗位职责明确，有详细的岗位说明书和业务流程，各岗位人员在上岗前均应知悉并以书面方式承诺遵守，在授权范围内承担责任；</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②建立重要业务处理凭据传递和信息沟通制度，相关部门和岗位之间相互监督制衡。</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（4）公司建立有效的人力资源管理制度，健全激励约束机制，确保公司人员具备与岗位要求相适应的职业操守和专业胜任能力。</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（5）公司建立科学严密的风险评估体系，对公司内外部风险进行识别、评估和分析，及时防范和化解风险。</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（6）授权控制应当贯穿于公司经营活动的始终，授权控制的主要内容包括：</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①股东会、董事会、监事会和管理层充分了解和履行各自的职权，建立健全公司授权标准和程序，确保授权制度的贯彻执行；</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②公司各部门、分公司及员工在规定授权范围内行使相应的职责；</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③重大业务授权采取书面形式，授权书应当明确授权内容和时效；</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④对已获授权的部门和人员建立有效的评价和反馈机制，对已不适用的授权应及时修改或取消授权。</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（7）建立完善的基金财务核算与基金资产估值系统和资产分离制度，基金资产与公司自有资产、其他委托资产以及不同基金的资产之间实行独立运作，分别核算，及时、准确和完整地反映基金资产的状况。</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lastRenderedPageBreak/>
        <w:t>（8）建立科学、严格的岗位分离制度，明确划分各岗位职责，投资和交易、交易和清算、基金会计和公司会计等重要岗位不得有人员的重叠。投资、研究、交易、IT等重要业务部门和岗位进行物理隔离。</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（9）建立和维护信息管理系统，严格信息管理，保证客户资料等信息安全、真实和完整。积极维护信息沟通渠道的畅通，建立清晰的报告系统，各级领导、部门及员工均有明确的报告途径。</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（10）建立和完善客户服务标准，加强基金销售管理，规范基金宣传推介，不得有不正当销售行为和不正当竞争行为。</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（11）制订切实有效的应急应变措施，建立危机处理机制和程序，对发生严重影响基金份额持有人利益、可能引起系统性风险、严重影响社会稳定的突发事件，按照预案妥善处理。</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（12）公司建立健全内控制度，督察长、合规管理部门对公司内部控制制度的执行情况进行持续的监督，保证内部控制制度落实；定期评价内部控制的有效性并适时改进。</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①对公司各项制度、业务的合法合规性进行监控核查，确保公司各项制度、业务符合有关法律、行政法规、部门规章及行业监管规则；</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②对内部风险控制制度的持续监督。合规管理部门持续完善“风险责任授权体系”机制，组织相关业务部门、岗位共同识别风险点，界定风险责任人，确保所有识别出的关键风险点均有对应控制措施，及时防范和化解风险；</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③督察长按照公司规定，向董事会、经营管理主要负责人报告公司经营管理的合法合规情况和合规管理工作开展情况。</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5、基金管理人关于内部控制的声明</w:t>
      </w:r>
    </w:p>
    <w:p w:rsidR="008711D3" w:rsidRDefault="004479D9">
      <w:pPr>
        <w:spacing w:line="360" w:lineRule="auto"/>
        <w:ind w:firstLine="420"/>
        <w:rPr>
          <w:rFonts w:ascii="宋体" w:hAnsi="宋体"/>
          <w:color w:val="000000"/>
          <w:kern w:val="0"/>
          <w:szCs w:val="21"/>
        </w:rPr>
      </w:pPr>
      <w:r>
        <w:rPr>
          <w:rFonts w:ascii="宋体" w:hAnsi="宋体" w:hint="eastAsia"/>
          <w:color w:val="000000"/>
          <w:kern w:val="0"/>
          <w:szCs w:val="21"/>
        </w:rPr>
        <w:t>（1）基金管理人承诺以上关于内部控制的披露真实、准确；</w:t>
      </w:r>
    </w:p>
    <w:p w:rsidR="008711D3" w:rsidRDefault="004479D9">
      <w:pPr>
        <w:spacing w:line="360" w:lineRule="auto"/>
        <w:ind w:firstLine="420"/>
        <w:rPr>
          <w:rFonts w:ascii="宋体" w:hAnsi="宋体"/>
          <w:kern w:val="0"/>
          <w:szCs w:val="21"/>
        </w:rPr>
      </w:pPr>
      <w:r>
        <w:rPr>
          <w:rFonts w:ascii="宋体" w:hAnsi="宋体" w:hint="eastAsia"/>
          <w:color w:val="000000"/>
          <w:kern w:val="0"/>
          <w:szCs w:val="21"/>
        </w:rPr>
        <w:t>（2）基金管理人承诺根据市场变化和基金管理人发展不断完善内部控制体系和内部控制制度。</w:t>
      </w:r>
    </w:p>
    <w:p w:rsidR="008711D3" w:rsidRDefault="004479D9">
      <w:pPr>
        <w:pStyle w:val="1"/>
        <w:spacing w:before="340" w:after="330"/>
        <w:jc w:val="center"/>
        <w:rPr>
          <w:rFonts w:hAnsi="宋体"/>
          <w:bCs/>
          <w:color w:val="auto"/>
          <w:kern w:val="44"/>
          <w:sz w:val="21"/>
          <w:szCs w:val="21"/>
        </w:rPr>
      </w:pPr>
      <w:r>
        <w:rPr>
          <w:rFonts w:hAnsi="宋体"/>
          <w:bCs/>
          <w:color w:val="auto"/>
          <w:kern w:val="44"/>
          <w:sz w:val="21"/>
          <w:szCs w:val="21"/>
        </w:rPr>
        <w:br w:type="page"/>
      </w:r>
      <w:bookmarkStart w:id="37" w:name="_Toc71748058"/>
      <w:r>
        <w:rPr>
          <w:rFonts w:hAnsi="宋体" w:hint="eastAsia"/>
          <w:bCs/>
          <w:color w:val="auto"/>
          <w:kern w:val="44"/>
          <w:sz w:val="21"/>
          <w:szCs w:val="21"/>
        </w:rPr>
        <w:lastRenderedPageBreak/>
        <w:t>四、基金托管人</w:t>
      </w:r>
      <w:bookmarkEnd w:id="31"/>
      <w:bookmarkEnd w:id="32"/>
      <w:bookmarkEnd w:id="33"/>
      <w:bookmarkEnd w:id="37"/>
    </w:p>
    <w:p w:rsidR="00CE3BC2" w:rsidRPr="00CE3BC2" w:rsidRDefault="00CE3BC2" w:rsidP="00CE3BC2">
      <w:pPr>
        <w:spacing w:line="360" w:lineRule="auto"/>
        <w:ind w:firstLineChars="200" w:firstLine="422"/>
        <w:outlineLvl w:val="0"/>
        <w:rPr>
          <w:rFonts w:ascii="宋体" w:hAnsi="宋体"/>
          <w:b/>
          <w:bCs/>
          <w:szCs w:val="21"/>
        </w:rPr>
      </w:pPr>
      <w:bookmarkStart w:id="38" w:name="_Toc65506097"/>
      <w:bookmarkStart w:id="39" w:name="_Toc71748059"/>
      <w:bookmarkStart w:id="40" w:name="_Toc353291599"/>
      <w:bookmarkStart w:id="41" w:name="_Toc353291021"/>
      <w:bookmarkStart w:id="42" w:name="_Toc353291711"/>
      <w:bookmarkStart w:id="43" w:name="OLE_LINK2"/>
      <w:bookmarkStart w:id="44" w:name="_Toc112836316"/>
      <w:r w:rsidRPr="00CE3BC2">
        <w:rPr>
          <w:rFonts w:ascii="宋体" w:hAnsi="宋体" w:hint="eastAsia"/>
          <w:b/>
          <w:bCs/>
          <w:szCs w:val="21"/>
        </w:rPr>
        <w:t>（一）基本情况</w:t>
      </w:r>
      <w:bookmarkEnd w:id="38"/>
      <w:bookmarkEnd w:id="39"/>
    </w:p>
    <w:p w:rsidR="00CE3BC2" w:rsidRPr="006569A2" w:rsidRDefault="00CE3BC2" w:rsidP="00CE3BC2">
      <w:pPr>
        <w:spacing w:line="360" w:lineRule="auto"/>
        <w:ind w:firstLine="420"/>
        <w:rPr>
          <w:rFonts w:ascii="宋体" w:hAnsi="宋体"/>
          <w:szCs w:val="21"/>
        </w:rPr>
      </w:pPr>
      <w:r w:rsidRPr="00C953E9">
        <w:rPr>
          <w:rFonts w:ascii="宋体" w:hAnsi="宋体" w:hint="eastAsia"/>
          <w:szCs w:val="21"/>
        </w:rPr>
        <w:t>名称：中国银行股份有限公司（简称</w:t>
      </w:r>
      <w:r w:rsidRPr="00C953E9">
        <w:rPr>
          <w:rFonts w:ascii="宋体" w:hAnsi="宋体"/>
          <w:szCs w:val="21"/>
        </w:rPr>
        <w:t>“</w:t>
      </w:r>
      <w:r w:rsidRPr="00C953E9">
        <w:rPr>
          <w:rFonts w:ascii="宋体" w:hAnsi="宋体" w:hint="eastAsia"/>
          <w:szCs w:val="21"/>
        </w:rPr>
        <w:t>中国银行</w:t>
      </w:r>
      <w:r w:rsidRPr="00C953E9">
        <w:rPr>
          <w:rFonts w:ascii="宋体" w:hAnsi="宋体"/>
          <w:szCs w:val="21"/>
        </w:rPr>
        <w:t>”</w:t>
      </w:r>
      <w:r w:rsidRPr="00C953E9">
        <w:rPr>
          <w:rFonts w:ascii="宋体" w:hAnsi="宋体" w:hint="eastAsia"/>
          <w:szCs w:val="21"/>
        </w:rPr>
        <w:t>）</w:t>
      </w:r>
    </w:p>
    <w:p w:rsidR="00CE3BC2" w:rsidRPr="006569A2" w:rsidRDefault="00CE3BC2" w:rsidP="00CE3BC2">
      <w:pPr>
        <w:spacing w:line="360" w:lineRule="auto"/>
        <w:ind w:firstLine="420"/>
        <w:rPr>
          <w:rFonts w:ascii="宋体" w:hAnsi="宋体"/>
          <w:szCs w:val="21"/>
        </w:rPr>
      </w:pPr>
      <w:r w:rsidRPr="006569A2">
        <w:rPr>
          <w:rFonts w:ascii="宋体" w:hAnsi="宋体" w:hint="eastAsia"/>
          <w:szCs w:val="21"/>
        </w:rPr>
        <w:t>住所及办公地址：北京市西城区复兴门内大街</w:t>
      </w:r>
      <w:r w:rsidRPr="006569A2">
        <w:rPr>
          <w:rFonts w:ascii="宋体" w:hAnsi="宋体"/>
          <w:szCs w:val="21"/>
        </w:rPr>
        <w:t>1</w:t>
      </w:r>
      <w:r w:rsidRPr="006569A2">
        <w:rPr>
          <w:rFonts w:ascii="宋体" w:hAnsi="宋体" w:hint="eastAsia"/>
          <w:szCs w:val="21"/>
        </w:rPr>
        <w:t>号</w:t>
      </w:r>
    </w:p>
    <w:p w:rsidR="00CE3BC2" w:rsidRPr="006569A2" w:rsidRDefault="00CE3BC2" w:rsidP="00CE3BC2">
      <w:pPr>
        <w:spacing w:line="360" w:lineRule="auto"/>
        <w:ind w:firstLine="420"/>
        <w:rPr>
          <w:rFonts w:ascii="宋体" w:hAnsi="宋体"/>
          <w:szCs w:val="21"/>
        </w:rPr>
      </w:pPr>
      <w:r w:rsidRPr="006569A2">
        <w:rPr>
          <w:rFonts w:ascii="宋体" w:hAnsi="宋体" w:hint="eastAsia"/>
          <w:szCs w:val="21"/>
        </w:rPr>
        <w:t>首次注册登记日期：</w:t>
      </w:r>
      <w:smartTag w:uri="urn:schemas-microsoft-com:office:smarttags" w:element="chsdate">
        <w:smartTagPr>
          <w:attr w:name="IsROCDate" w:val="False"/>
          <w:attr w:name="IsLunarDate" w:val="False"/>
          <w:attr w:name="Day" w:val="31"/>
          <w:attr w:name="Month" w:val="10"/>
          <w:attr w:name="Year" w:val="1983"/>
        </w:smartTagPr>
        <w:r w:rsidRPr="006569A2">
          <w:rPr>
            <w:rFonts w:ascii="宋体" w:hAnsi="宋体" w:hint="eastAsia"/>
            <w:szCs w:val="21"/>
          </w:rPr>
          <w:t>1983年10月31日</w:t>
        </w:r>
      </w:smartTag>
    </w:p>
    <w:p w:rsidR="00CE3BC2" w:rsidRPr="00826EEE" w:rsidRDefault="00CE3BC2" w:rsidP="00CE3BC2">
      <w:pPr>
        <w:spacing w:line="360" w:lineRule="auto"/>
        <w:ind w:firstLine="420"/>
        <w:rPr>
          <w:rFonts w:ascii="宋体" w:hAnsi="宋体"/>
          <w:szCs w:val="21"/>
        </w:rPr>
      </w:pPr>
      <w:r>
        <w:rPr>
          <w:rFonts w:ascii="宋体" w:hAnsi="宋体" w:hint="eastAsia"/>
          <w:szCs w:val="21"/>
        </w:rPr>
        <w:t>注册资本：人民币贰仟玖佰肆</w:t>
      </w:r>
      <w:r w:rsidRPr="006569A2">
        <w:rPr>
          <w:rFonts w:ascii="宋体" w:hAnsi="宋体" w:hint="eastAsia"/>
          <w:szCs w:val="21"/>
        </w:rPr>
        <w:t>拾</w:t>
      </w:r>
      <w:r>
        <w:rPr>
          <w:rFonts w:ascii="宋体" w:hAnsi="宋体" w:hint="eastAsia"/>
          <w:szCs w:val="21"/>
        </w:rPr>
        <w:t>叁</w:t>
      </w:r>
      <w:r w:rsidRPr="006569A2">
        <w:rPr>
          <w:rFonts w:ascii="宋体" w:hAnsi="宋体" w:hint="eastAsia"/>
          <w:szCs w:val="21"/>
        </w:rPr>
        <w:t>亿</w:t>
      </w:r>
      <w:r>
        <w:rPr>
          <w:rFonts w:ascii="宋体" w:hAnsi="宋体" w:hint="eastAsia"/>
          <w:szCs w:val="21"/>
        </w:rPr>
        <w:t>捌</w:t>
      </w:r>
      <w:r w:rsidRPr="006569A2">
        <w:rPr>
          <w:rFonts w:ascii="宋体" w:hAnsi="宋体" w:hint="eastAsia"/>
          <w:szCs w:val="21"/>
        </w:rPr>
        <w:t>仟</w:t>
      </w:r>
      <w:r>
        <w:rPr>
          <w:rFonts w:ascii="宋体" w:hAnsi="宋体" w:hint="eastAsia"/>
          <w:szCs w:val="21"/>
        </w:rPr>
        <w:t>柒</w:t>
      </w:r>
      <w:r w:rsidRPr="006569A2">
        <w:rPr>
          <w:rFonts w:ascii="宋体" w:hAnsi="宋体" w:hint="eastAsia"/>
          <w:szCs w:val="21"/>
        </w:rPr>
        <w:t>佰</w:t>
      </w:r>
      <w:r>
        <w:rPr>
          <w:rFonts w:ascii="宋体" w:hAnsi="宋体" w:hint="eastAsia"/>
          <w:szCs w:val="21"/>
        </w:rPr>
        <w:t>柒</w:t>
      </w:r>
      <w:r w:rsidRPr="006569A2">
        <w:rPr>
          <w:rFonts w:ascii="宋体" w:hAnsi="宋体" w:hint="eastAsia"/>
          <w:szCs w:val="21"/>
        </w:rPr>
        <w:t>拾</w:t>
      </w:r>
      <w:r>
        <w:rPr>
          <w:rFonts w:ascii="宋体" w:hAnsi="宋体" w:hint="eastAsia"/>
          <w:szCs w:val="21"/>
        </w:rPr>
        <w:t>玖</w:t>
      </w:r>
      <w:r w:rsidRPr="006569A2">
        <w:rPr>
          <w:rFonts w:ascii="宋体" w:hAnsi="宋体" w:hint="eastAsia"/>
          <w:szCs w:val="21"/>
        </w:rPr>
        <w:t>万</w:t>
      </w:r>
      <w:r>
        <w:rPr>
          <w:rFonts w:ascii="宋体" w:hAnsi="宋体" w:hint="eastAsia"/>
          <w:szCs w:val="21"/>
        </w:rPr>
        <w:t>壹</w:t>
      </w:r>
      <w:r w:rsidRPr="006569A2">
        <w:rPr>
          <w:rFonts w:ascii="宋体" w:hAnsi="宋体" w:hint="eastAsia"/>
          <w:szCs w:val="21"/>
        </w:rPr>
        <w:t>仟</w:t>
      </w:r>
      <w:r>
        <w:rPr>
          <w:rFonts w:ascii="宋体" w:hAnsi="宋体" w:hint="eastAsia"/>
          <w:szCs w:val="21"/>
        </w:rPr>
        <w:t>贰佰肆拾壹</w:t>
      </w:r>
      <w:r w:rsidRPr="006569A2">
        <w:rPr>
          <w:rFonts w:ascii="宋体" w:hAnsi="宋体" w:hint="eastAsia"/>
          <w:szCs w:val="21"/>
        </w:rPr>
        <w:t>元整</w:t>
      </w:r>
    </w:p>
    <w:p w:rsidR="00CE3BC2" w:rsidRPr="00C953E9" w:rsidRDefault="00CE3BC2" w:rsidP="00CE3BC2">
      <w:pPr>
        <w:spacing w:line="360" w:lineRule="auto"/>
        <w:ind w:firstLine="420"/>
        <w:rPr>
          <w:rFonts w:ascii="宋体" w:hAnsi="宋体"/>
          <w:szCs w:val="21"/>
        </w:rPr>
      </w:pPr>
      <w:r>
        <w:rPr>
          <w:rFonts w:ascii="宋体" w:hAnsi="宋体" w:hint="eastAsia"/>
          <w:szCs w:val="21"/>
        </w:rPr>
        <w:t>法定代表人：刘连舸</w:t>
      </w:r>
    </w:p>
    <w:p w:rsidR="00CE3BC2" w:rsidRPr="006569A2" w:rsidRDefault="00CE3BC2" w:rsidP="00CE3BC2">
      <w:pPr>
        <w:spacing w:line="360" w:lineRule="auto"/>
        <w:ind w:firstLine="420"/>
        <w:rPr>
          <w:rFonts w:ascii="宋体" w:hAnsi="宋体"/>
          <w:szCs w:val="21"/>
        </w:rPr>
      </w:pPr>
      <w:r w:rsidRPr="00C953E9">
        <w:rPr>
          <w:rFonts w:ascii="宋体" w:hAnsi="宋体" w:hint="eastAsia"/>
          <w:szCs w:val="21"/>
        </w:rPr>
        <w:t>基金托管业务批准文号：中国证监会证监基字【</w:t>
      </w:r>
      <w:r w:rsidRPr="006569A2">
        <w:rPr>
          <w:rFonts w:ascii="宋体" w:hAnsi="宋体"/>
          <w:szCs w:val="21"/>
        </w:rPr>
        <w:t>1998</w:t>
      </w:r>
      <w:r w:rsidRPr="006569A2">
        <w:rPr>
          <w:rFonts w:ascii="宋体" w:hAnsi="宋体" w:hint="eastAsia"/>
          <w:szCs w:val="21"/>
        </w:rPr>
        <w:t>】</w:t>
      </w:r>
      <w:r w:rsidRPr="006569A2">
        <w:rPr>
          <w:rFonts w:ascii="宋体" w:hAnsi="宋体"/>
          <w:szCs w:val="21"/>
        </w:rPr>
        <w:t xml:space="preserve">24 </w:t>
      </w:r>
      <w:r w:rsidRPr="006569A2">
        <w:rPr>
          <w:rFonts w:ascii="宋体" w:hAnsi="宋体" w:hint="eastAsia"/>
          <w:szCs w:val="21"/>
        </w:rPr>
        <w:t>号</w:t>
      </w:r>
    </w:p>
    <w:p w:rsidR="00CE3BC2" w:rsidRPr="00F211EB" w:rsidRDefault="00CE3BC2" w:rsidP="00CE3BC2">
      <w:pPr>
        <w:spacing w:line="360" w:lineRule="auto"/>
        <w:ind w:firstLine="420"/>
        <w:rPr>
          <w:rFonts w:ascii="宋体" w:hAnsi="宋体"/>
          <w:szCs w:val="21"/>
        </w:rPr>
      </w:pPr>
      <w:r w:rsidRPr="00F211EB">
        <w:rPr>
          <w:rFonts w:ascii="宋体" w:hAnsi="宋体" w:hint="eastAsia"/>
          <w:szCs w:val="21"/>
        </w:rPr>
        <w:t>托管部门信息披露联系人：许俊</w:t>
      </w:r>
    </w:p>
    <w:p w:rsidR="00CE3BC2" w:rsidRDefault="00CE3BC2" w:rsidP="00CE3BC2">
      <w:pPr>
        <w:spacing w:line="360" w:lineRule="auto"/>
        <w:ind w:firstLine="420"/>
        <w:rPr>
          <w:rFonts w:ascii="宋体" w:hAnsi="宋体"/>
          <w:szCs w:val="21"/>
        </w:rPr>
      </w:pPr>
      <w:r w:rsidRPr="006569A2">
        <w:rPr>
          <w:rFonts w:ascii="宋体" w:hAnsi="宋体" w:hint="eastAsia"/>
          <w:szCs w:val="21"/>
        </w:rPr>
        <w:t>传真：（</w:t>
      </w:r>
      <w:r w:rsidRPr="006569A2">
        <w:rPr>
          <w:rFonts w:ascii="宋体" w:hAnsi="宋体"/>
          <w:szCs w:val="21"/>
        </w:rPr>
        <w:t>010</w:t>
      </w:r>
      <w:r w:rsidRPr="006569A2">
        <w:rPr>
          <w:rFonts w:ascii="宋体" w:hAnsi="宋体" w:hint="eastAsia"/>
          <w:szCs w:val="21"/>
        </w:rPr>
        <w:t>）</w:t>
      </w:r>
      <w:r w:rsidRPr="006569A2">
        <w:rPr>
          <w:rFonts w:ascii="宋体" w:hAnsi="宋体"/>
          <w:szCs w:val="21"/>
        </w:rPr>
        <w:t>66594942</w:t>
      </w:r>
    </w:p>
    <w:p w:rsidR="00CE3BC2" w:rsidRPr="006569A2" w:rsidRDefault="00CE3BC2" w:rsidP="00CE3BC2">
      <w:pPr>
        <w:spacing w:line="360" w:lineRule="auto"/>
        <w:ind w:firstLine="420"/>
        <w:rPr>
          <w:rFonts w:ascii="宋体" w:hAnsi="宋体"/>
          <w:szCs w:val="21"/>
        </w:rPr>
      </w:pPr>
      <w:r>
        <w:rPr>
          <w:rFonts w:ascii="宋体" w:hAnsi="宋体" w:hint="eastAsia"/>
          <w:szCs w:val="21"/>
        </w:rPr>
        <w:t>中国银行客服</w:t>
      </w:r>
      <w:r w:rsidRPr="006569A2">
        <w:rPr>
          <w:rFonts w:ascii="宋体" w:hAnsi="宋体" w:hint="eastAsia"/>
          <w:szCs w:val="21"/>
        </w:rPr>
        <w:t>电话：</w:t>
      </w:r>
      <w:r>
        <w:rPr>
          <w:rFonts w:ascii="宋体" w:hAnsi="宋体" w:hint="eastAsia"/>
          <w:szCs w:val="21"/>
        </w:rPr>
        <w:t>95</w:t>
      </w:r>
      <w:r w:rsidRPr="006569A2">
        <w:rPr>
          <w:rFonts w:ascii="宋体" w:hAnsi="宋体" w:hint="eastAsia"/>
          <w:szCs w:val="21"/>
        </w:rPr>
        <w:t>5</w:t>
      </w:r>
      <w:r>
        <w:rPr>
          <w:rFonts w:ascii="宋体" w:hAnsi="宋体" w:hint="eastAsia"/>
          <w:szCs w:val="21"/>
        </w:rPr>
        <w:t>66</w:t>
      </w:r>
    </w:p>
    <w:p w:rsidR="00CE3BC2" w:rsidRPr="00CE3BC2" w:rsidRDefault="00CE3BC2" w:rsidP="00CE3BC2">
      <w:pPr>
        <w:spacing w:line="360" w:lineRule="auto"/>
        <w:ind w:firstLine="422"/>
        <w:outlineLvl w:val="0"/>
        <w:rPr>
          <w:rFonts w:ascii="宋体" w:hAnsi="宋体"/>
          <w:b/>
          <w:bCs/>
          <w:szCs w:val="21"/>
        </w:rPr>
      </w:pPr>
      <w:bookmarkStart w:id="45" w:name="_Toc65506098"/>
      <w:bookmarkStart w:id="46" w:name="_Toc71748060"/>
      <w:r w:rsidRPr="00CE3BC2">
        <w:rPr>
          <w:rFonts w:ascii="宋体" w:hAnsi="宋体" w:hint="eastAsia"/>
          <w:b/>
          <w:bCs/>
          <w:szCs w:val="21"/>
        </w:rPr>
        <w:t>（二）基金托管部门及主要人员情况</w:t>
      </w:r>
      <w:bookmarkEnd w:id="45"/>
      <w:bookmarkEnd w:id="46"/>
    </w:p>
    <w:p w:rsidR="00CE3BC2" w:rsidRPr="006569A2" w:rsidRDefault="00CE3BC2" w:rsidP="00CE3BC2">
      <w:pPr>
        <w:spacing w:line="360" w:lineRule="auto"/>
        <w:ind w:firstLineChars="200" w:firstLine="420"/>
        <w:rPr>
          <w:rFonts w:ascii="宋体" w:hAnsi="宋体"/>
          <w:bCs/>
          <w:szCs w:val="21"/>
        </w:rPr>
      </w:pPr>
      <w:r w:rsidRPr="006569A2">
        <w:rPr>
          <w:rFonts w:ascii="宋体" w:hAnsi="宋体" w:hint="eastAsia"/>
          <w:szCs w:val="21"/>
        </w:rPr>
        <w:t>中国银行</w:t>
      </w:r>
      <w:r>
        <w:rPr>
          <w:rFonts w:ascii="宋体" w:hAnsi="宋体" w:hint="eastAsia"/>
          <w:szCs w:val="21"/>
        </w:rPr>
        <w:t>托管业务部</w:t>
      </w:r>
      <w:r w:rsidRPr="006569A2">
        <w:rPr>
          <w:rFonts w:ascii="宋体" w:hAnsi="宋体" w:hint="eastAsia"/>
          <w:szCs w:val="21"/>
        </w:rPr>
        <w:t>设立于</w:t>
      </w:r>
      <w:r w:rsidRPr="006569A2">
        <w:rPr>
          <w:rFonts w:ascii="宋体" w:hAnsi="宋体"/>
          <w:szCs w:val="21"/>
        </w:rPr>
        <w:t>1998</w:t>
      </w:r>
      <w:r w:rsidRPr="006569A2">
        <w:rPr>
          <w:rFonts w:ascii="宋体" w:hAnsi="宋体" w:hint="eastAsia"/>
          <w:szCs w:val="21"/>
        </w:rPr>
        <w:t>年</w:t>
      </w:r>
      <w:r>
        <w:rPr>
          <w:rFonts w:ascii="宋体" w:hAnsi="宋体" w:hint="eastAsia"/>
          <w:szCs w:val="21"/>
        </w:rPr>
        <w:t>，</w:t>
      </w:r>
      <w:r w:rsidRPr="00826EEE">
        <w:rPr>
          <w:rFonts w:ascii="宋体" w:hAnsi="宋体" w:hint="eastAsia"/>
          <w:szCs w:val="21"/>
        </w:rPr>
        <w:t>现有员工</w:t>
      </w:r>
      <w:r>
        <w:rPr>
          <w:rFonts w:ascii="宋体" w:hAnsi="宋体" w:hint="eastAsia"/>
          <w:szCs w:val="21"/>
        </w:rPr>
        <w:t>11</w:t>
      </w:r>
      <w:r w:rsidRPr="00826EEE">
        <w:rPr>
          <w:rFonts w:ascii="宋体" w:hAnsi="宋体" w:hint="eastAsia"/>
          <w:szCs w:val="21"/>
        </w:rPr>
        <w:t>0余人</w:t>
      </w:r>
      <w:r>
        <w:rPr>
          <w:rFonts w:ascii="宋体" w:hAnsi="宋体" w:hint="eastAsia"/>
          <w:szCs w:val="21"/>
        </w:rPr>
        <w:t>，</w:t>
      </w:r>
      <w:r w:rsidRPr="006569A2">
        <w:rPr>
          <w:rFonts w:ascii="宋体" w:hAnsi="宋体" w:hint="eastAsia"/>
          <w:szCs w:val="21"/>
        </w:rPr>
        <w:t>大部分员工具有丰富的银行、证券、基金</w:t>
      </w:r>
      <w:r>
        <w:rPr>
          <w:rFonts w:ascii="宋体" w:hAnsi="宋体" w:hint="eastAsia"/>
          <w:szCs w:val="21"/>
        </w:rPr>
        <w:t>、信托</w:t>
      </w:r>
      <w:r w:rsidRPr="006569A2">
        <w:rPr>
          <w:rFonts w:ascii="宋体" w:hAnsi="宋体" w:hint="eastAsia"/>
          <w:szCs w:val="21"/>
        </w:rPr>
        <w:t>从业经验，且具有海外工作、学习或培训经历，</w:t>
      </w:r>
      <w:bookmarkStart w:id="47" w:name="OLE_LINK1"/>
      <w:r w:rsidRPr="006569A2">
        <w:rPr>
          <w:rFonts w:ascii="宋体" w:hAnsi="宋体" w:hint="eastAsia"/>
          <w:szCs w:val="21"/>
        </w:rPr>
        <w:t>60％以上的员工具有硕士以上学位或高级职称</w:t>
      </w:r>
      <w:bookmarkEnd w:id="47"/>
      <w:r w:rsidRPr="006569A2">
        <w:rPr>
          <w:rFonts w:ascii="宋体" w:hAnsi="宋体" w:hint="eastAsia"/>
          <w:szCs w:val="21"/>
        </w:rPr>
        <w:t>。为给客户提供</w:t>
      </w:r>
      <w:r>
        <w:rPr>
          <w:rFonts w:ascii="宋体" w:hAnsi="宋体" w:hint="eastAsia"/>
          <w:szCs w:val="21"/>
        </w:rPr>
        <w:t>专业化</w:t>
      </w:r>
      <w:r w:rsidRPr="006569A2">
        <w:rPr>
          <w:rFonts w:ascii="宋体" w:hAnsi="宋体" w:hint="eastAsia"/>
          <w:szCs w:val="21"/>
        </w:rPr>
        <w:t>的托管服务，</w:t>
      </w:r>
      <w:r w:rsidRPr="00921B01">
        <w:rPr>
          <w:rFonts w:ascii="宋体" w:hAnsi="宋体" w:hint="eastAsia"/>
          <w:szCs w:val="21"/>
        </w:rPr>
        <w:t>中国银行已在境内、外分行开展托管业务。</w:t>
      </w:r>
    </w:p>
    <w:p w:rsidR="00CE3BC2" w:rsidRPr="00826EEE" w:rsidRDefault="00CE3BC2" w:rsidP="00CE3BC2">
      <w:pPr>
        <w:spacing w:line="360" w:lineRule="auto"/>
        <w:ind w:firstLine="420"/>
        <w:rPr>
          <w:rFonts w:ascii="宋体" w:hAnsi="宋体"/>
          <w:szCs w:val="21"/>
        </w:rPr>
      </w:pPr>
      <w:r w:rsidRPr="006569A2">
        <w:rPr>
          <w:rFonts w:ascii="宋体" w:hAnsi="宋体" w:hint="eastAsia"/>
          <w:szCs w:val="21"/>
        </w:rPr>
        <w:t>作为国内首批开展证券投资基金托管业务的商业银行</w:t>
      </w:r>
      <w:r w:rsidRPr="00826EEE">
        <w:rPr>
          <w:rFonts w:ascii="宋体" w:hAnsi="宋体" w:hint="eastAsia"/>
          <w:szCs w:val="21"/>
        </w:rPr>
        <w:t>，中国银行拥有证券投资基金、基金（一对多、一对一）、社</w:t>
      </w:r>
      <w:r w:rsidRPr="00C953E9">
        <w:rPr>
          <w:rFonts w:ascii="宋体" w:hAnsi="宋体" w:hint="eastAsia"/>
          <w:szCs w:val="21"/>
        </w:rPr>
        <w:t>保基金、保险资金、</w:t>
      </w:r>
      <w:r w:rsidRPr="00C953E9">
        <w:rPr>
          <w:rFonts w:ascii="宋体" w:hAnsi="宋体"/>
          <w:szCs w:val="21"/>
        </w:rPr>
        <w:t>QFII</w:t>
      </w:r>
      <w:r w:rsidRPr="00C953E9">
        <w:rPr>
          <w:rFonts w:ascii="宋体" w:hAnsi="宋体" w:hint="eastAsia"/>
          <w:szCs w:val="21"/>
        </w:rPr>
        <w:t>、</w:t>
      </w:r>
      <w:r w:rsidRPr="006569A2">
        <w:rPr>
          <w:rFonts w:ascii="宋体" w:hAnsi="宋体" w:hint="eastAsia"/>
          <w:szCs w:val="21"/>
        </w:rPr>
        <w:t>RQFII、</w:t>
      </w:r>
      <w:r w:rsidRPr="006569A2">
        <w:rPr>
          <w:rFonts w:ascii="宋体" w:hAnsi="宋体"/>
          <w:szCs w:val="21"/>
        </w:rPr>
        <w:t>QDII</w:t>
      </w:r>
      <w:r w:rsidRPr="006569A2">
        <w:rPr>
          <w:rFonts w:ascii="宋体" w:hAnsi="宋体" w:hint="eastAsia"/>
          <w:szCs w:val="21"/>
        </w:rPr>
        <w:t>、</w:t>
      </w:r>
      <w:r>
        <w:rPr>
          <w:rFonts w:ascii="宋体" w:hAnsi="宋体" w:hint="eastAsia"/>
          <w:szCs w:val="21"/>
        </w:rPr>
        <w:t>境外三类机构</w:t>
      </w:r>
      <w:r w:rsidRPr="006569A2">
        <w:rPr>
          <w:rFonts w:ascii="宋体" w:hAnsi="宋体" w:hint="eastAsia"/>
          <w:szCs w:val="21"/>
        </w:rPr>
        <w:t>、券商资产管理计划</w:t>
      </w:r>
      <w:r w:rsidRPr="00826EEE">
        <w:rPr>
          <w:rFonts w:ascii="宋体" w:hAnsi="宋体" w:hint="eastAsia"/>
          <w:szCs w:val="21"/>
        </w:rPr>
        <w:t>、信托计划、企业年金、银行理财产品、股权基金、私募基金、资金托管等</w:t>
      </w:r>
      <w:r w:rsidRPr="00826EEE">
        <w:rPr>
          <w:rFonts w:ascii="宋体" w:hAnsi="宋体"/>
          <w:szCs w:val="21"/>
        </w:rPr>
        <w:t>门类齐全</w:t>
      </w:r>
      <w:r w:rsidRPr="00826EEE">
        <w:rPr>
          <w:rFonts w:ascii="宋体" w:hAnsi="宋体" w:hint="eastAsia"/>
          <w:szCs w:val="21"/>
        </w:rPr>
        <w:t>、产品丰富</w:t>
      </w:r>
      <w:r>
        <w:rPr>
          <w:rFonts w:ascii="宋体" w:hAnsi="宋体"/>
          <w:szCs w:val="21"/>
        </w:rPr>
        <w:t>的托管</w:t>
      </w:r>
      <w:r>
        <w:rPr>
          <w:rFonts w:ascii="宋体" w:hAnsi="宋体" w:hint="eastAsia"/>
          <w:szCs w:val="21"/>
        </w:rPr>
        <w:t>业务</w:t>
      </w:r>
      <w:r w:rsidRPr="00826EEE">
        <w:rPr>
          <w:rFonts w:ascii="宋体" w:hAnsi="宋体"/>
          <w:szCs w:val="21"/>
        </w:rPr>
        <w:t>体系</w:t>
      </w:r>
      <w:r w:rsidRPr="006569A2">
        <w:rPr>
          <w:rFonts w:ascii="宋体" w:hAnsi="宋体" w:hint="eastAsia"/>
          <w:bCs/>
          <w:szCs w:val="21"/>
        </w:rPr>
        <w:t>。在国</w:t>
      </w:r>
      <w:r w:rsidRPr="00826EEE">
        <w:rPr>
          <w:rFonts w:ascii="宋体" w:hAnsi="宋体"/>
          <w:szCs w:val="21"/>
        </w:rPr>
        <w:t>内</w:t>
      </w:r>
      <w:r w:rsidRPr="00826EEE">
        <w:rPr>
          <w:rFonts w:ascii="宋体" w:hAnsi="宋体" w:hint="eastAsia"/>
          <w:szCs w:val="21"/>
        </w:rPr>
        <w:t>，中国银行首家</w:t>
      </w:r>
      <w:r>
        <w:rPr>
          <w:rFonts w:ascii="宋体" w:hAnsi="宋体"/>
          <w:szCs w:val="21"/>
        </w:rPr>
        <w:t>开展绩效评估、风险</w:t>
      </w:r>
      <w:r>
        <w:rPr>
          <w:rFonts w:ascii="宋体" w:hAnsi="宋体" w:hint="eastAsia"/>
          <w:szCs w:val="21"/>
        </w:rPr>
        <w:t>分析</w:t>
      </w:r>
      <w:r w:rsidRPr="00826EEE">
        <w:rPr>
          <w:rFonts w:ascii="宋体" w:hAnsi="宋体"/>
          <w:szCs w:val="21"/>
        </w:rPr>
        <w:t>等增值服务，为各类客户提供个性化的托管</w:t>
      </w:r>
      <w:r w:rsidRPr="00826EEE">
        <w:rPr>
          <w:rFonts w:ascii="宋体" w:hAnsi="宋体" w:hint="eastAsia"/>
          <w:szCs w:val="21"/>
        </w:rPr>
        <w:t>增值</w:t>
      </w:r>
      <w:r w:rsidRPr="00826EEE">
        <w:rPr>
          <w:rFonts w:ascii="宋体" w:hAnsi="宋体"/>
          <w:szCs w:val="21"/>
        </w:rPr>
        <w:t>服务</w:t>
      </w:r>
      <w:r>
        <w:rPr>
          <w:rFonts w:ascii="宋体" w:hAnsi="宋体" w:hint="eastAsia"/>
          <w:szCs w:val="21"/>
        </w:rPr>
        <w:t>，</w:t>
      </w:r>
      <w:r w:rsidRPr="00826EEE">
        <w:rPr>
          <w:rFonts w:ascii="宋体" w:hAnsi="宋体" w:hint="eastAsia"/>
          <w:szCs w:val="21"/>
        </w:rPr>
        <w:t>是国内领先的大型中资托管银行。</w:t>
      </w:r>
    </w:p>
    <w:p w:rsidR="00CE3BC2" w:rsidRPr="00CE3BC2" w:rsidRDefault="00CE3BC2" w:rsidP="00CE3BC2">
      <w:pPr>
        <w:spacing w:line="360" w:lineRule="auto"/>
        <w:ind w:firstLine="420"/>
        <w:rPr>
          <w:rFonts w:ascii="宋体" w:hAnsi="宋体"/>
          <w:b/>
          <w:bCs/>
          <w:szCs w:val="21"/>
        </w:rPr>
      </w:pPr>
      <w:r w:rsidRPr="00CE3BC2">
        <w:rPr>
          <w:rFonts w:ascii="宋体" w:hAnsi="宋体" w:hint="eastAsia"/>
          <w:b/>
          <w:bCs/>
          <w:szCs w:val="21"/>
        </w:rPr>
        <w:t>（三）证券投资基金托管情况</w:t>
      </w:r>
    </w:p>
    <w:p w:rsidR="00CE3BC2" w:rsidRPr="00E173C6" w:rsidRDefault="00CE3BC2" w:rsidP="00CE3BC2">
      <w:pPr>
        <w:spacing w:line="360" w:lineRule="auto"/>
        <w:ind w:firstLine="420"/>
        <w:rPr>
          <w:rFonts w:ascii="宋体" w:hAnsi="宋体"/>
          <w:szCs w:val="21"/>
        </w:rPr>
      </w:pPr>
      <w:r w:rsidRPr="00E173C6">
        <w:rPr>
          <w:rFonts w:ascii="宋体" w:hAnsi="宋体" w:hint="eastAsia"/>
          <w:szCs w:val="21"/>
        </w:rPr>
        <w:t>截至</w:t>
      </w:r>
      <w:r w:rsidRPr="00E173C6">
        <w:rPr>
          <w:rFonts w:ascii="宋体" w:hAnsi="宋体"/>
          <w:szCs w:val="21"/>
        </w:rPr>
        <w:t>20</w:t>
      </w:r>
      <w:r>
        <w:rPr>
          <w:rFonts w:ascii="宋体" w:hAnsi="宋体"/>
          <w:szCs w:val="21"/>
        </w:rPr>
        <w:t>20</w:t>
      </w:r>
      <w:r w:rsidRPr="00E173C6">
        <w:rPr>
          <w:rFonts w:ascii="宋体" w:hAnsi="宋体" w:hint="eastAsia"/>
          <w:szCs w:val="21"/>
        </w:rPr>
        <w:t>年</w:t>
      </w:r>
      <w:r>
        <w:rPr>
          <w:rFonts w:ascii="宋体" w:hAnsi="宋体"/>
          <w:szCs w:val="21"/>
        </w:rPr>
        <w:t>12</w:t>
      </w:r>
      <w:r w:rsidRPr="00E173C6">
        <w:rPr>
          <w:rFonts w:ascii="宋体" w:hAnsi="宋体" w:hint="eastAsia"/>
          <w:szCs w:val="21"/>
        </w:rPr>
        <w:t>月</w:t>
      </w:r>
      <w:r>
        <w:rPr>
          <w:rFonts w:ascii="宋体" w:hAnsi="宋体"/>
          <w:szCs w:val="21"/>
        </w:rPr>
        <w:t>31</w:t>
      </w:r>
      <w:r w:rsidRPr="00E173C6">
        <w:rPr>
          <w:rFonts w:ascii="宋体" w:hAnsi="宋体" w:hint="eastAsia"/>
          <w:szCs w:val="21"/>
        </w:rPr>
        <w:t>日，中国银行已托管</w:t>
      </w:r>
      <w:r>
        <w:rPr>
          <w:rFonts w:ascii="宋体" w:hAnsi="宋体"/>
          <w:szCs w:val="21"/>
        </w:rPr>
        <w:t>876</w:t>
      </w:r>
      <w:r w:rsidRPr="00E173C6">
        <w:rPr>
          <w:rFonts w:ascii="宋体" w:hAnsi="宋体" w:hint="eastAsia"/>
          <w:szCs w:val="21"/>
        </w:rPr>
        <w:t>只证券投资基金，其中境内基金</w:t>
      </w:r>
      <w:r>
        <w:rPr>
          <w:rFonts w:ascii="宋体" w:hAnsi="宋体"/>
          <w:szCs w:val="21"/>
        </w:rPr>
        <w:t>831</w:t>
      </w:r>
      <w:r w:rsidRPr="00E173C6">
        <w:rPr>
          <w:rFonts w:ascii="宋体" w:hAnsi="宋体" w:hint="eastAsia"/>
          <w:szCs w:val="21"/>
        </w:rPr>
        <w:t>只，QDII基金</w:t>
      </w:r>
      <w:r>
        <w:rPr>
          <w:rFonts w:ascii="宋体" w:hAnsi="宋体"/>
          <w:szCs w:val="21"/>
        </w:rPr>
        <w:t>45</w:t>
      </w:r>
      <w:r w:rsidRPr="00E173C6">
        <w:rPr>
          <w:rFonts w:ascii="宋体" w:hAnsi="宋体" w:hint="eastAsia"/>
          <w:szCs w:val="21"/>
        </w:rPr>
        <w:t>只，覆盖了股票型、债券型、混合型、货币型、指数型</w:t>
      </w:r>
      <w:r>
        <w:rPr>
          <w:rFonts w:ascii="宋体" w:hAnsi="宋体" w:hint="eastAsia"/>
          <w:szCs w:val="21"/>
        </w:rPr>
        <w:t>、FOF</w:t>
      </w:r>
      <w:r w:rsidRPr="00E173C6">
        <w:rPr>
          <w:rFonts w:ascii="宋体" w:hAnsi="宋体" w:hint="eastAsia"/>
          <w:szCs w:val="21"/>
        </w:rPr>
        <w:t>等多种类型的基金，满足了不同客户多元化的投资理财需求，基金托管规模位居同业前列。</w:t>
      </w:r>
    </w:p>
    <w:p w:rsidR="00CE3BC2" w:rsidRPr="00CE3BC2" w:rsidRDefault="00CE3BC2" w:rsidP="00CE3BC2">
      <w:pPr>
        <w:spacing w:line="360" w:lineRule="auto"/>
        <w:ind w:firstLine="422"/>
        <w:outlineLvl w:val="0"/>
        <w:rPr>
          <w:rFonts w:ascii="宋体" w:hAnsi="宋体"/>
          <w:b/>
          <w:bCs/>
          <w:szCs w:val="21"/>
        </w:rPr>
      </w:pPr>
      <w:bookmarkStart w:id="48" w:name="_Toc65506099"/>
      <w:bookmarkStart w:id="49" w:name="_Toc71748061"/>
      <w:r w:rsidRPr="00CE3BC2">
        <w:rPr>
          <w:rFonts w:ascii="宋体" w:hAnsi="宋体" w:hint="eastAsia"/>
          <w:b/>
          <w:bCs/>
          <w:szCs w:val="21"/>
        </w:rPr>
        <w:t>（四）托管业务的内部控制制度</w:t>
      </w:r>
      <w:bookmarkEnd w:id="48"/>
      <w:bookmarkEnd w:id="49"/>
    </w:p>
    <w:p w:rsidR="00CE3BC2" w:rsidRDefault="00CE3BC2" w:rsidP="00CE3BC2">
      <w:pPr>
        <w:spacing w:line="360" w:lineRule="auto"/>
        <w:ind w:firstLineChars="200" w:firstLine="420"/>
        <w:rPr>
          <w:rFonts w:ascii="宋体" w:hAnsi="宋体"/>
          <w:szCs w:val="21"/>
        </w:rPr>
      </w:pPr>
      <w:r>
        <w:rPr>
          <w:rFonts w:ascii="宋体" w:hAnsi="宋体" w:hint="eastAsia"/>
          <w:szCs w:val="21"/>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w:t>
      </w:r>
      <w:r>
        <w:rPr>
          <w:rFonts w:ascii="宋体" w:hAnsi="宋体" w:hint="eastAsia"/>
          <w:szCs w:val="21"/>
        </w:rPr>
        <w:lastRenderedPageBreak/>
        <w:t>查及审计等措施强化托管业务全员、全面、全程的风险管控。</w:t>
      </w:r>
    </w:p>
    <w:p w:rsidR="00CE3BC2" w:rsidRPr="006569A2" w:rsidRDefault="00CE3BC2" w:rsidP="00CE3BC2">
      <w:pPr>
        <w:spacing w:line="360" w:lineRule="auto"/>
        <w:ind w:firstLineChars="200" w:firstLine="420"/>
        <w:rPr>
          <w:rFonts w:ascii="宋体" w:hAnsi="宋体"/>
          <w:szCs w:val="21"/>
        </w:rPr>
      </w:pPr>
      <w:r w:rsidRPr="005348C8">
        <w:rPr>
          <w:rFonts w:ascii="宋体" w:hAnsi="宋体" w:hint="eastAsia"/>
          <w:szCs w:val="21"/>
        </w:rPr>
        <w:t>2007年起，中国银行连续聘请外部会计会计师事务所开展托管业务内部控制审阅工作。先后获得基于 “SAS70”、“AAF01/06” “ISAE3402”和“SSAE16”等国际主流内控审阅准则的无保留意见的审阅报告。</w:t>
      </w:r>
      <w:r w:rsidRPr="003951D6">
        <w:rPr>
          <w:rFonts w:ascii="宋体" w:hAnsi="宋体" w:hint="eastAsia"/>
          <w:szCs w:val="21"/>
        </w:rPr>
        <w:t>20</w:t>
      </w:r>
      <w:r>
        <w:rPr>
          <w:rFonts w:ascii="宋体" w:hAnsi="宋体"/>
          <w:szCs w:val="21"/>
        </w:rPr>
        <w:t>20</w:t>
      </w:r>
      <w:r w:rsidRPr="003951D6">
        <w:rPr>
          <w:rFonts w:ascii="宋体" w:hAnsi="宋体" w:hint="eastAsia"/>
          <w:szCs w:val="21"/>
        </w:rPr>
        <w:t>年，中国银行继续获得了基于“ISAE3402”和“SSAE16”双准则的内部控制审计报告。</w:t>
      </w:r>
      <w:r w:rsidRPr="005348C8">
        <w:rPr>
          <w:rFonts w:ascii="宋体" w:hAnsi="宋体" w:hint="eastAsia"/>
          <w:szCs w:val="21"/>
        </w:rPr>
        <w:t>中国银行托管业务内控制度完善，内控措施严密，能够有效保证托管资产的安全。</w:t>
      </w:r>
    </w:p>
    <w:p w:rsidR="00CE3BC2" w:rsidRPr="00CE3BC2" w:rsidRDefault="00CE3BC2" w:rsidP="00CE3BC2">
      <w:pPr>
        <w:tabs>
          <w:tab w:val="left" w:pos="0"/>
        </w:tabs>
        <w:spacing w:line="360" w:lineRule="auto"/>
        <w:ind w:left="-2" w:firstLine="422"/>
        <w:outlineLvl w:val="0"/>
        <w:rPr>
          <w:rFonts w:ascii="宋体" w:hAnsi="宋体"/>
          <w:b/>
          <w:bCs/>
          <w:szCs w:val="21"/>
        </w:rPr>
      </w:pPr>
      <w:bookmarkStart w:id="50" w:name="_Toc65506100"/>
      <w:bookmarkStart w:id="51" w:name="_Toc71748062"/>
      <w:r w:rsidRPr="00CE3BC2">
        <w:rPr>
          <w:rFonts w:ascii="宋体" w:hAnsi="宋体" w:hint="eastAsia"/>
          <w:b/>
          <w:bCs/>
          <w:szCs w:val="21"/>
        </w:rPr>
        <w:t>（五）托管人对管理人运作基金进行监督的方法和程序</w:t>
      </w:r>
      <w:bookmarkEnd w:id="50"/>
      <w:bookmarkEnd w:id="51"/>
    </w:p>
    <w:p w:rsidR="008711D3" w:rsidRPr="00CE3BC2" w:rsidRDefault="00CE3BC2" w:rsidP="00CE3BC2">
      <w:pPr>
        <w:spacing w:line="360" w:lineRule="auto"/>
        <w:ind w:firstLineChars="200" w:firstLine="420"/>
        <w:rPr>
          <w:rFonts w:ascii="宋体" w:hAnsi="宋体"/>
          <w:szCs w:val="21"/>
        </w:rPr>
      </w:pPr>
      <w:r w:rsidRPr="00C953E9">
        <w:rPr>
          <w:rFonts w:ascii="宋体" w:hAnsi="宋体" w:hint="eastAsia"/>
          <w:szCs w:val="21"/>
        </w:rPr>
        <w:t>根据《中华人民共和国证券投资基金法》、《</w:t>
      </w:r>
      <w:r>
        <w:rPr>
          <w:rFonts w:ascii="宋体" w:hAnsi="宋体" w:hint="eastAsia"/>
          <w:szCs w:val="21"/>
        </w:rPr>
        <w:t>公开募集</w:t>
      </w:r>
      <w:r w:rsidRPr="00C953E9">
        <w:rPr>
          <w:rFonts w:ascii="宋体" w:hAnsi="宋体" w:hint="eastAsia"/>
          <w:szCs w:val="21"/>
        </w:rPr>
        <w:t>证券投资基金运作管理办法》的相关规定，基金托管人发现基金管理人的投资指令违反法律、行</w:t>
      </w:r>
      <w:r>
        <w:rPr>
          <w:rFonts w:ascii="宋体" w:hAnsi="宋体" w:hint="eastAsia"/>
          <w:szCs w:val="21"/>
        </w:rPr>
        <w:t>政法规和其他有关规定，或者违反基金合同约定的，应当拒绝执行，及时</w:t>
      </w:r>
      <w:r w:rsidRPr="00C953E9">
        <w:rPr>
          <w:rFonts w:ascii="宋体" w:hAnsi="宋体" w:hint="eastAsia"/>
          <w:szCs w:val="21"/>
        </w:rPr>
        <w:t>通知基金管理人，并及时向国务院证券监督管理机构报告。基金托管人如发现基金管理人依据交易程序已经生效的投资指令违反法律、行政法规和其他有关规定，或者违反基金合同约定的</w:t>
      </w:r>
      <w:r w:rsidRPr="006569A2">
        <w:rPr>
          <w:rFonts w:ascii="宋体" w:hAnsi="宋体"/>
          <w:szCs w:val="21"/>
        </w:rPr>
        <w:t>,</w:t>
      </w:r>
      <w:r w:rsidRPr="006569A2">
        <w:rPr>
          <w:rFonts w:ascii="宋体" w:hAnsi="宋体" w:hint="eastAsia"/>
          <w:szCs w:val="21"/>
        </w:rPr>
        <w:t>应当</w:t>
      </w:r>
      <w:r>
        <w:rPr>
          <w:rFonts w:ascii="宋体" w:hAnsi="宋体" w:hint="eastAsia"/>
          <w:szCs w:val="21"/>
        </w:rPr>
        <w:t>及时</w:t>
      </w:r>
      <w:r w:rsidRPr="006569A2">
        <w:rPr>
          <w:rFonts w:ascii="宋体" w:hAnsi="宋体" w:hint="eastAsia"/>
          <w:szCs w:val="21"/>
        </w:rPr>
        <w:t>通知基金管理人，并及时向国务院证券监督管理机构报告。</w:t>
      </w:r>
      <w:bookmarkEnd w:id="40"/>
      <w:bookmarkEnd w:id="41"/>
      <w:bookmarkEnd w:id="42"/>
    </w:p>
    <w:p w:rsidR="008711D3" w:rsidRDefault="004479D9">
      <w:pPr>
        <w:pStyle w:val="1"/>
        <w:spacing w:before="340" w:after="330"/>
        <w:jc w:val="center"/>
        <w:rPr>
          <w:rFonts w:hAnsi="宋体"/>
          <w:bCs/>
          <w:color w:val="auto"/>
          <w:kern w:val="44"/>
          <w:sz w:val="21"/>
          <w:szCs w:val="21"/>
        </w:rPr>
      </w:pPr>
      <w:bookmarkStart w:id="52" w:name="_Hlt140627910"/>
      <w:bookmarkStart w:id="53" w:name="_Hlt88821694"/>
      <w:bookmarkStart w:id="54" w:name="_Toc329187114"/>
      <w:bookmarkStart w:id="55" w:name="_Toc334542954"/>
      <w:bookmarkStart w:id="56" w:name="_Toc334542637"/>
      <w:bookmarkEnd w:id="43"/>
      <w:bookmarkEnd w:id="44"/>
      <w:bookmarkEnd w:id="52"/>
      <w:bookmarkEnd w:id="53"/>
      <w:r>
        <w:rPr>
          <w:rFonts w:hAnsi="宋体"/>
          <w:bCs/>
          <w:color w:val="auto"/>
          <w:kern w:val="44"/>
          <w:sz w:val="21"/>
          <w:szCs w:val="21"/>
        </w:rPr>
        <w:br w:type="page"/>
      </w:r>
      <w:bookmarkStart w:id="57" w:name="_Toc71748063"/>
      <w:r>
        <w:rPr>
          <w:rFonts w:hAnsi="宋体" w:hint="eastAsia"/>
          <w:bCs/>
          <w:color w:val="auto"/>
          <w:kern w:val="44"/>
          <w:sz w:val="21"/>
          <w:szCs w:val="21"/>
        </w:rPr>
        <w:lastRenderedPageBreak/>
        <w:t>五、相关服务机构</w:t>
      </w:r>
      <w:bookmarkStart w:id="58" w:name="_Toc335642073"/>
      <w:bookmarkStart w:id="59" w:name="_Toc329187115"/>
      <w:bookmarkEnd w:id="34"/>
      <w:bookmarkEnd w:id="35"/>
      <w:bookmarkEnd w:id="36"/>
      <w:bookmarkEnd w:id="54"/>
      <w:bookmarkEnd w:id="55"/>
      <w:bookmarkEnd w:id="56"/>
      <w:bookmarkEnd w:id="57"/>
    </w:p>
    <w:p w:rsidR="008711D3" w:rsidRDefault="004479D9">
      <w:pPr>
        <w:spacing w:line="360" w:lineRule="auto"/>
        <w:rPr>
          <w:rFonts w:ascii="宋体" w:hAnsi="宋体"/>
          <w:b/>
          <w:bCs/>
          <w:szCs w:val="21"/>
        </w:rPr>
      </w:pPr>
      <w:r>
        <w:rPr>
          <w:rFonts w:ascii="宋体" w:hAnsi="宋体" w:hint="eastAsia"/>
          <w:b/>
          <w:bCs/>
          <w:szCs w:val="21"/>
        </w:rPr>
        <w:t>（一）基金份额发售机构</w:t>
      </w:r>
    </w:p>
    <w:p w:rsidR="008711D3" w:rsidRDefault="004479D9">
      <w:pPr>
        <w:autoSpaceDE w:val="0"/>
        <w:autoSpaceDN w:val="0"/>
        <w:adjustRightInd w:val="0"/>
        <w:spacing w:line="360" w:lineRule="auto"/>
        <w:ind w:firstLineChars="200" w:firstLine="420"/>
        <w:rPr>
          <w:rFonts w:ascii="宋体" w:hAnsi="宋体"/>
          <w:szCs w:val="21"/>
        </w:rPr>
      </w:pPr>
      <w:r>
        <w:rPr>
          <w:rFonts w:ascii="宋体" w:hAnsi="宋体" w:hint="eastAsia"/>
          <w:szCs w:val="21"/>
        </w:rPr>
        <w:t>1、直销机构：</w:t>
      </w:r>
      <w:r>
        <w:rPr>
          <w:rFonts w:ascii="宋体" w:hAnsi="宋体"/>
          <w:szCs w:val="21"/>
        </w:rPr>
        <w:t xml:space="preserve"> </w:t>
      </w:r>
    </w:p>
    <w:p w:rsidR="008711D3" w:rsidRDefault="004479D9">
      <w:pPr>
        <w:tabs>
          <w:tab w:val="left" w:pos="5235"/>
        </w:tabs>
        <w:spacing w:line="360" w:lineRule="auto"/>
        <w:ind w:firstLine="409"/>
        <w:rPr>
          <w:rFonts w:ascii="宋体" w:hAnsi="宋体" w:cs="Arial"/>
          <w:szCs w:val="21"/>
        </w:rPr>
      </w:pPr>
      <w:r>
        <w:rPr>
          <w:rFonts w:ascii="宋体" w:hAnsi="宋体" w:cs="Arial"/>
          <w:szCs w:val="21"/>
        </w:rPr>
        <w:t>（1）嘉实基金管理有限公司直销中心</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8711D3">
        <w:tc>
          <w:tcPr>
            <w:tcW w:w="1368" w:type="dxa"/>
          </w:tcPr>
          <w:p w:rsidR="008711D3" w:rsidRDefault="004479D9">
            <w:pPr>
              <w:spacing w:line="360" w:lineRule="auto"/>
              <w:rPr>
                <w:rFonts w:ascii="宋体" w:hAnsi="宋体" w:cs="Arial"/>
                <w:szCs w:val="21"/>
              </w:rPr>
            </w:pPr>
            <w:r>
              <w:rPr>
                <w:rFonts w:ascii="宋体" w:hAnsi="宋体" w:cs="Arial"/>
                <w:szCs w:val="21"/>
              </w:rPr>
              <w:t>办公地址</w:t>
            </w:r>
          </w:p>
        </w:tc>
        <w:tc>
          <w:tcPr>
            <w:tcW w:w="6192" w:type="dxa"/>
            <w:gridSpan w:val="3"/>
          </w:tcPr>
          <w:p w:rsidR="008711D3" w:rsidRDefault="004479D9">
            <w:pPr>
              <w:pStyle w:val="Default"/>
              <w:jc w:val="both"/>
              <w:rPr>
                <w:szCs w:val="21"/>
              </w:rPr>
            </w:pPr>
            <w:r>
              <w:rPr>
                <w:rFonts w:hint="eastAsia"/>
                <w:sz w:val="21"/>
                <w:szCs w:val="21"/>
              </w:rPr>
              <w:t>北京市东城区建国门南大街</w:t>
            </w:r>
            <w:r>
              <w:rPr>
                <w:sz w:val="21"/>
                <w:szCs w:val="21"/>
              </w:rPr>
              <w:t>7</w:t>
            </w:r>
            <w:r>
              <w:rPr>
                <w:rFonts w:hint="eastAsia"/>
                <w:sz w:val="21"/>
                <w:szCs w:val="21"/>
              </w:rPr>
              <w:t>号北京万豪中心</w:t>
            </w:r>
            <w:r>
              <w:rPr>
                <w:sz w:val="21"/>
                <w:szCs w:val="21"/>
              </w:rPr>
              <w:t>D</w:t>
            </w:r>
            <w:r>
              <w:rPr>
                <w:rFonts w:hint="eastAsia"/>
                <w:sz w:val="21"/>
                <w:szCs w:val="21"/>
              </w:rPr>
              <w:t>座</w:t>
            </w:r>
            <w:r>
              <w:rPr>
                <w:sz w:val="21"/>
                <w:szCs w:val="21"/>
              </w:rPr>
              <w:t>12</w:t>
            </w:r>
            <w:r>
              <w:rPr>
                <w:rFonts w:hint="eastAsia"/>
                <w:sz w:val="21"/>
                <w:szCs w:val="21"/>
              </w:rPr>
              <w:t>层</w:t>
            </w:r>
            <w:r>
              <w:rPr>
                <w:sz w:val="21"/>
                <w:szCs w:val="21"/>
              </w:rPr>
              <w:t xml:space="preserve"> </w:t>
            </w:r>
          </w:p>
        </w:tc>
      </w:tr>
      <w:tr w:rsidR="008711D3">
        <w:tc>
          <w:tcPr>
            <w:tcW w:w="1368" w:type="dxa"/>
          </w:tcPr>
          <w:p w:rsidR="008711D3" w:rsidRDefault="004479D9">
            <w:pPr>
              <w:spacing w:line="360" w:lineRule="auto"/>
              <w:rPr>
                <w:rFonts w:ascii="宋体" w:hAnsi="宋体" w:cs="Arial"/>
                <w:szCs w:val="21"/>
              </w:rPr>
            </w:pPr>
            <w:r>
              <w:rPr>
                <w:rFonts w:ascii="宋体" w:hAnsi="宋体" w:cs="Arial"/>
                <w:szCs w:val="21"/>
              </w:rPr>
              <w:t>电话</w:t>
            </w:r>
          </w:p>
        </w:tc>
        <w:tc>
          <w:tcPr>
            <w:tcW w:w="2592" w:type="dxa"/>
          </w:tcPr>
          <w:p w:rsidR="008711D3" w:rsidRDefault="004479D9">
            <w:pPr>
              <w:spacing w:line="360" w:lineRule="auto"/>
              <w:rPr>
                <w:rFonts w:ascii="宋体" w:hAnsi="宋体" w:cs="Arial"/>
                <w:szCs w:val="21"/>
              </w:rPr>
            </w:pPr>
            <w:r>
              <w:rPr>
                <w:rFonts w:ascii="宋体" w:hAnsi="宋体" w:cs="Arial"/>
                <w:szCs w:val="21"/>
              </w:rPr>
              <w:t>（010）65</w:t>
            </w:r>
            <w:r>
              <w:rPr>
                <w:rFonts w:ascii="宋体" w:hAnsi="宋体" w:cs="Arial" w:hint="eastAsia"/>
                <w:szCs w:val="21"/>
              </w:rPr>
              <w:t>215588</w:t>
            </w:r>
          </w:p>
        </w:tc>
        <w:tc>
          <w:tcPr>
            <w:tcW w:w="1080" w:type="dxa"/>
          </w:tcPr>
          <w:p w:rsidR="008711D3" w:rsidRDefault="004479D9">
            <w:pPr>
              <w:spacing w:line="360" w:lineRule="auto"/>
              <w:rPr>
                <w:rFonts w:ascii="宋体" w:hAnsi="宋体" w:cs="Arial"/>
                <w:szCs w:val="21"/>
              </w:rPr>
            </w:pPr>
            <w:r>
              <w:rPr>
                <w:rFonts w:ascii="宋体" w:hAnsi="宋体" w:cs="Arial"/>
                <w:szCs w:val="21"/>
              </w:rPr>
              <w:t>传真</w:t>
            </w:r>
          </w:p>
        </w:tc>
        <w:tc>
          <w:tcPr>
            <w:tcW w:w="2520" w:type="dxa"/>
          </w:tcPr>
          <w:p w:rsidR="008711D3" w:rsidRDefault="004479D9">
            <w:pPr>
              <w:spacing w:line="360" w:lineRule="auto"/>
              <w:rPr>
                <w:rFonts w:ascii="宋体" w:hAnsi="宋体" w:cs="Arial"/>
                <w:szCs w:val="21"/>
              </w:rPr>
            </w:pPr>
            <w:r>
              <w:rPr>
                <w:rFonts w:ascii="宋体" w:hAnsi="宋体" w:cs="Arial"/>
                <w:szCs w:val="21"/>
              </w:rPr>
              <w:t>（010）65</w:t>
            </w:r>
            <w:r>
              <w:rPr>
                <w:rFonts w:ascii="宋体" w:hAnsi="宋体" w:cs="Arial" w:hint="eastAsia"/>
                <w:szCs w:val="21"/>
              </w:rPr>
              <w:t>215577</w:t>
            </w:r>
          </w:p>
        </w:tc>
      </w:tr>
      <w:tr w:rsidR="008711D3">
        <w:tc>
          <w:tcPr>
            <w:tcW w:w="1368" w:type="dxa"/>
          </w:tcPr>
          <w:p w:rsidR="008711D3" w:rsidRDefault="004479D9">
            <w:pPr>
              <w:spacing w:line="360" w:lineRule="auto"/>
              <w:rPr>
                <w:rFonts w:ascii="宋体" w:hAnsi="宋体" w:cs="Arial"/>
                <w:szCs w:val="21"/>
              </w:rPr>
            </w:pPr>
            <w:r>
              <w:rPr>
                <w:rFonts w:ascii="宋体" w:hAnsi="宋体" w:cs="Arial"/>
                <w:spacing w:val="6"/>
                <w:szCs w:val="21"/>
              </w:rPr>
              <w:t>联系人</w:t>
            </w:r>
          </w:p>
        </w:tc>
        <w:tc>
          <w:tcPr>
            <w:tcW w:w="6192" w:type="dxa"/>
            <w:gridSpan w:val="3"/>
          </w:tcPr>
          <w:p w:rsidR="008711D3" w:rsidRDefault="004479D9">
            <w:pPr>
              <w:spacing w:line="360" w:lineRule="auto"/>
              <w:rPr>
                <w:rFonts w:ascii="宋体" w:hAnsi="宋体" w:cs="Arial"/>
                <w:szCs w:val="21"/>
              </w:rPr>
            </w:pPr>
            <w:r>
              <w:rPr>
                <w:rFonts w:ascii="宋体" w:hAnsi="宋体" w:cs="Arial" w:hint="eastAsia"/>
                <w:szCs w:val="21"/>
                <w:lang w:val="zh-CN"/>
              </w:rPr>
              <w:t>黄娜</w:t>
            </w:r>
          </w:p>
        </w:tc>
      </w:tr>
    </w:tbl>
    <w:p w:rsidR="008711D3" w:rsidRDefault="004479D9">
      <w:pPr>
        <w:tabs>
          <w:tab w:val="left" w:pos="5235"/>
        </w:tabs>
        <w:spacing w:line="360" w:lineRule="auto"/>
        <w:ind w:firstLine="420"/>
        <w:rPr>
          <w:rFonts w:ascii="宋体" w:hAnsi="宋体" w:cs="Arial"/>
          <w:szCs w:val="21"/>
        </w:rPr>
      </w:pPr>
      <w:r>
        <w:rPr>
          <w:rFonts w:ascii="宋体" w:hAnsi="宋体" w:cs="Arial"/>
          <w:szCs w:val="21"/>
        </w:rPr>
        <w:t>（2）嘉实基金管理有限公司上海直销中心</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8711D3">
        <w:tc>
          <w:tcPr>
            <w:tcW w:w="1368" w:type="dxa"/>
          </w:tcPr>
          <w:p w:rsidR="008711D3" w:rsidRDefault="004479D9">
            <w:pPr>
              <w:spacing w:line="360" w:lineRule="auto"/>
              <w:rPr>
                <w:rFonts w:ascii="宋体" w:hAnsi="宋体" w:cs="Arial"/>
                <w:szCs w:val="21"/>
              </w:rPr>
            </w:pPr>
            <w:r>
              <w:rPr>
                <w:rFonts w:ascii="宋体" w:hAnsi="宋体" w:cs="Arial"/>
                <w:szCs w:val="21"/>
              </w:rPr>
              <w:t>办公地址</w:t>
            </w:r>
          </w:p>
        </w:tc>
        <w:tc>
          <w:tcPr>
            <w:tcW w:w="6192" w:type="dxa"/>
            <w:gridSpan w:val="3"/>
          </w:tcPr>
          <w:p w:rsidR="008711D3" w:rsidRDefault="004479D9">
            <w:pPr>
              <w:spacing w:line="360" w:lineRule="auto"/>
              <w:rPr>
                <w:rFonts w:ascii="宋体" w:hAnsi="宋体" w:cs="Arial"/>
                <w:szCs w:val="21"/>
              </w:rPr>
            </w:pPr>
            <w:r>
              <w:rPr>
                <w:rFonts w:ascii="宋体" w:hAnsi="宋体" w:cs="Arial" w:hint="eastAsia"/>
                <w:szCs w:val="21"/>
              </w:rPr>
              <w:t>中国（上海）自由贸易试验区世纪大道8号上海国金中心二期27楼09-14单元</w:t>
            </w:r>
          </w:p>
        </w:tc>
      </w:tr>
      <w:tr w:rsidR="008711D3">
        <w:tc>
          <w:tcPr>
            <w:tcW w:w="1368" w:type="dxa"/>
          </w:tcPr>
          <w:p w:rsidR="008711D3" w:rsidRDefault="004479D9">
            <w:pPr>
              <w:spacing w:line="360" w:lineRule="auto"/>
              <w:rPr>
                <w:rFonts w:ascii="宋体" w:hAnsi="宋体" w:cs="Arial"/>
                <w:szCs w:val="21"/>
              </w:rPr>
            </w:pPr>
            <w:r>
              <w:rPr>
                <w:rFonts w:ascii="宋体" w:hAnsi="宋体" w:cs="Arial"/>
                <w:szCs w:val="21"/>
              </w:rPr>
              <w:t>电话</w:t>
            </w:r>
          </w:p>
        </w:tc>
        <w:tc>
          <w:tcPr>
            <w:tcW w:w="2592" w:type="dxa"/>
          </w:tcPr>
          <w:p w:rsidR="008711D3" w:rsidRDefault="004479D9">
            <w:pPr>
              <w:spacing w:line="360" w:lineRule="auto"/>
              <w:rPr>
                <w:rFonts w:ascii="宋体" w:hAnsi="宋体" w:cs="Arial"/>
                <w:szCs w:val="21"/>
              </w:rPr>
            </w:pPr>
            <w:r>
              <w:rPr>
                <w:rFonts w:ascii="宋体" w:hAnsi="宋体" w:cs="Arial"/>
                <w:szCs w:val="21"/>
              </w:rPr>
              <w:t>（021）38789658</w:t>
            </w:r>
          </w:p>
        </w:tc>
        <w:tc>
          <w:tcPr>
            <w:tcW w:w="1080" w:type="dxa"/>
          </w:tcPr>
          <w:p w:rsidR="008711D3" w:rsidRDefault="004479D9">
            <w:pPr>
              <w:spacing w:line="360" w:lineRule="auto"/>
              <w:rPr>
                <w:rFonts w:ascii="宋体" w:hAnsi="宋体" w:cs="Arial"/>
                <w:szCs w:val="21"/>
              </w:rPr>
            </w:pPr>
            <w:r>
              <w:rPr>
                <w:rFonts w:ascii="宋体" w:hAnsi="宋体" w:cs="Arial"/>
                <w:szCs w:val="21"/>
              </w:rPr>
              <w:t>传真</w:t>
            </w:r>
          </w:p>
        </w:tc>
        <w:tc>
          <w:tcPr>
            <w:tcW w:w="2520" w:type="dxa"/>
          </w:tcPr>
          <w:p w:rsidR="008711D3" w:rsidRDefault="004479D9">
            <w:pPr>
              <w:spacing w:line="360" w:lineRule="auto"/>
              <w:rPr>
                <w:rFonts w:ascii="宋体" w:hAnsi="宋体" w:cs="Arial"/>
                <w:szCs w:val="21"/>
              </w:rPr>
            </w:pPr>
            <w:r>
              <w:rPr>
                <w:rFonts w:ascii="宋体" w:hAnsi="宋体" w:cs="Arial"/>
                <w:szCs w:val="21"/>
              </w:rPr>
              <w:t>（021）68880023</w:t>
            </w:r>
          </w:p>
        </w:tc>
      </w:tr>
      <w:tr w:rsidR="008711D3">
        <w:tc>
          <w:tcPr>
            <w:tcW w:w="1368" w:type="dxa"/>
          </w:tcPr>
          <w:p w:rsidR="008711D3" w:rsidRDefault="004479D9">
            <w:pPr>
              <w:spacing w:line="360" w:lineRule="auto"/>
              <w:rPr>
                <w:rFonts w:ascii="宋体" w:hAnsi="宋体" w:cs="Arial"/>
                <w:szCs w:val="21"/>
              </w:rPr>
            </w:pPr>
            <w:r>
              <w:rPr>
                <w:rFonts w:ascii="宋体" w:hAnsi="宋体" w:cs="Arial"/>
                <w:spacing w:val="6"/>
                <w:szCs w:val="21"/>
              </w:rPr>
              <w:t>联系人</w:t>
            </w:r>
          </w:p>
        </w:tc>
        <w:tc>
          <w:tcPr>
            <w:tcW w:w="6192" w:type="dxa"/>
            <w:gridSpan w:val="3"/>
          </w:tcPr>
          <w:p w:rsidR="008711D3" w:rsidRDefault="004479D9">
            <w:pPr>
              <w:spacing w:line="360" w:lineRule="auto"/>
              <w:rPr>
                <w:rFonts w:ascii="宋体" w:hAnsi="宋体" w:cs="Arial"/>
                <w:szCs w:val="21"/>
              </w:rPr>
            </w:pPr>
            <w:r>
              <w:rPr>
                <w:rFonts w:ascii="宋体" w:hAnsi="宋体" w:cs="Arial" w:hint="eastAsia"/>
                <w:szCs w:val="21"/>
              </w:rPr>
              <w:t>邵琦</w:t>
            </w:r>
          </w:p>
        </w:tc>
      </w:tr>
    </w:tbl>
    <w:p w:rsidR="008711D3" w:rsidRDefault="004479D9">
      <w:pPr>
        <w:tabs>
          <w:tab w:val="left" w:pos="5235"/>
        </w:tabs>
        <w:spacing w:line="360" w:lineRule="auto"/>
        <w:ind w:firstLine="420"/>
        <w:rPr>
          <w:rFonts w:ascii="宋体" w:hAnsi="宋体" w:cs="Arial"/>
          <w:szCs w:val="21"/>
        </w:rPr>
      </w:pPr>
      <w:r>
        <w:rPr>
          <w:rFonts w:ascii="宋体" w:hAnsi="宋体" w:cs="Arial"/>
          <w:szCs w:val="21"/>
        </w:rPr>
        <w:t>（3）嘉实基金管理有限公司</w:t>
      </w:r>
      <w:r>
        <w:rPr>
          <w:rFonts w:ascii="宋体" w:hAnsi="宋体" w:cs="Arial" w:hint="eastAsia"/>
          <w:szCs w:val="21"/>
        </w:rPr>
        <w:t>成都分公司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8711D3">
        <w:tc>
          <w:tcPr>
            <w:tcW w:w="1368" w:type="dxa"/>
          </w:tcPr>
          <w:p w:rsidR="008711D3" w:rsidRDefault="004479D9">
            <w:pPr>
              <w:spacing w:line="360" w:lineRule="auto"/>
              <w:rPr>
                <w:rFonts w:ascii="宋体" w:hAnsi="宋体" w:cs="Arial"/>
                <w:szCs w:val="21"/>
              </w:rPr>
            </w:pPr>
            <w:r>
              <w:rPr>
                <w:rFonts w:ascii="宋体" w:hAnsi="宋体" w:cs="Arial"/>
                <w:szCs w:val="21"/>
              </w:rPr>
              <w:t>办公地址</w:t>
            </w:r>
          </w:p>
        </w:tc>
        <w:tc>
          <w:tcPr>
            <w:tcW w:w="6192" w:type="dxa"/>
            <w:gridSpan w:val="3"/>
          </w:tcPr>
          <w:p w:rsidR="008711D3" w:rsidRDefault="004479D9">
            <w:pPr>
              <w:spacing w:line="360" w:lineRule="auto"/>
              <w:rPr>
                <w:rFonts w:ascii="宋体" w:hAnsi="宋体" w:cs="Arial"/>
                <w:szCs w:val="21"/>
              </w:rPr>
            </w:pPr>
            <w:r>
              <w:rPr>
                <w:rFonts w:ascii="宋体" w:hAnsi="宋体" w:cs="Arial" w:hint="eastAsia"/>
                <w:szCs w:val="21"/>
              </w:rPr>
              <w:t>成都市高新区交子大道177号中海国际中心A座2单元21层04-05单元</w:t>
            </w:r>
          </w:p>
        </w:tc>
      </w:tr>
      <w:tr w:rsidR="008711D3">
        <w:tc>
          <w:tcPr>
            <w:tcW w:w="1368" w:type="dxa"/>
          </w:tcPr>
          <w:p w:rsidR="008711D3" w:rsidRDefault="004479D9">
            <w:pPr>
              <w:spacing w:line="360" w:lineRule="auto"/>
              <w:rPr>
                <w:rFonts w:ascii="宋体" w:hAnsi="宋体" w:cs="Arial"/>
                <w:szCs w:val="21"/>
              </w:rPr>
            </w:pPr>
            <w:r>
              <w:rPr>
                <w:rFonts w:ascii="宋体" w:hAnsi="宋体" w:cs="Arial"/>
                <w:szCs w:val="21"/>
              </w:rPr>
              <w:t>电话</w:t>
            </w:r>
          </w:p>
        </w:tc>
        <w:tc>
          <w:tcPr>
            <w:tcW w:w="2592" w:type="dxa"/>
          </w:tcPr>
          <w:p w:rsidR="008711D3" w:rsidRDefault="004479D9">
            <w:pPr>
              <w:spacing w:line="360" w:lineRule="auto"/>
              <w:rPr>
                <w:rFonts w:ascii="宋体" w:hAnsi="宋体" w:cs="Arial"/>
                <w:szCs w:val="21"/>
              </w:rPr>
            </w:pPr>
            <w:r>
              <w:rPr>
                <w:rFonts w:ascii="宋体" w:hAnsi="宋体" w:cs="Arial"/>
                <w:szCs w:val="21"/>
              </w:rPr>
              <w:t>（028）86202100</w:t>
            </w:r>
          </w:p>
        </w:tc>
        <w:tc>
          <w:tcPr>
            <w:tcW w:w="1080" w:type="dxa"/>
          </w:tcPr>
          <w:p w:rsidR="008711D3" w:rsidRDefault="004479D9">
            <w:pPr>
              <w:spacing w:line="360" w:lineRule="auto"/>
              <w:rPr>
                <w:rFonts w:ascii="宋体" w:hAnsi="宋体" w:cs="Arial"/>
                <w:szCs w:val="21"/>
              </w:rPr>
            </w:pPr>
            <w:r>
              <w:rPr>
                <w:rFonts w:ascii="宋体" w:hAnsi="宋体" w:cs="Arial"/>
                <w:szCs w:val="21"/>
              </w:rPr>
              <w:t>传真</w:t>
            </w:r>
          </w:p>
        </w:tc>
        <w:tc>
          <w:tcPr>
            <w:tcW w:w="2520" w:type="dxa"/>
          </w:tcPr>
          <w:p w:rsidR="008711D3" w:rsidRDefault="004479D9">
            <w:pPr>
              <w:spacing w:line="360" w:lineRule="auto"/>
              <w:rPr>
                <w:rFonts w:ascii="宋体" w:hAnsi="宋体" w:cs="Arial"/>
                <w:szCs w:val="21"/>
              </w:rPr>
            </w:pPr>
            <w:r>
              <w:rPr>
                <w:rFonts w:ascii="宋体" w:hAnsi="宋体" w:cs="Arial"/>
                <w:szCs w:val="21"/>
              </w:rPr>
              <w:t>（028）86202100</w:t>
            </w:r>
          </w:p>
        </w:tc>
      </w:tr>
      <w:tr w:rsidR="008711D3">
        <w:tc>
          <w:tcPr>
            <w:tcW w:w="1368" w:type="dxa"/>
          </w:tcPr>
          <w:p w:rsidR="008711D3" w:rsidRDefault="004479D9">
            <w:pPr>
              <w:spacing w:line="360" w:lineRule="auto"/>
              <w:rPr>
                <w:rFonts w:ascii="宋体" w:hAnsi="宋体" w:cs="Arial"/>
                <w:szCs w:val="21"/>
              </w:rPr>
            </w:pPr>
            <w:r>
              <w:rPr>
                <w:rFonts w:ascii="宋体" w:hAnsi="宋体" w:cs="Arial"/>
                <w:spacing w:val="6"/>
                <w:szCs w:val="21"/>
              </w:rPr>
              <w:t>联系人</w:t>
            </w:r>
          </w:p>
        </w:tc>
        <w:tc>
          <w:tcPr>
            <w:tcW w:w="6192" w:type="dxa"/>
            <w:gridSpan w:val="3"/>
          </w:tcPr>
          <w:p w:rsidR="008711D3" w:rsidRDefault="004479D9">
            <w:pPr>
              <w:spacing w:line="360" w:lineRule="auto"/>
              <w:rPr>
                <w:rFonts w:ascii="宋体" w:hAnsi="宋体" w:cs="Arial"/>
                <w:szCs w:val="21"/>
              </w:rPr>
            </w:pPr>
            <w:r>
              <w:rPr>
                <w:rFonts w:ascii="宋体" w:hAnsi="宋体" w:cs="Arial" w:hint="eastAsia"/>
                <w:szCs w:val="21"/>
              </w:rPr>
              <w:t>王启明</w:t>
            </w:r>
          </w:p>
        </w:tc>
      </w:tr>
    </w:tbl>
    <w:p w:rsidR="008711D3" w:rsidRDefault="004479D9">
      <w:pPr>
        <w:spacing w:line="360" w:lineRule="auto"/>
        <w:ind w:firstLineChars="200" w:firstLine="420"/>
        <w:rPr>
          <w:rFonts w:ascii="宋体" w:hAnsi="宋体" w:cs="Arial"/>
          <w:szCs w:val="21"/>
        </w:rPr>
      </w:pPr>
      <w:r>
        <w:rPr>
          <w:rFonts w:ascii="宋体" w:hAnsi="宋体" w:cs="Arial"/>
          <w:szCs w:val="21"/>
        </w:rPr>
        <w:t>（4）嘉实基金管理有限公司深圳</w:t>
      </w:r>
      <w:r>
        <w:rPr>
          <w:rFonts w:ascii="宋体" w:hAnsi="宋体" w:cs="Arial" w:hint="eastAsia"/>
          <w:szCs w:val="21"/>
        </w:rPr>
        <w:t>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8711D3">
        <w:tc>
          <w:tcPr>
            <w:tcW w:w="1368" w:type="dxa"/>
          </w:tcPr>
          <w:p w:rsidR="008711D3" w:rsidRDefault="004479D9">
            <w:pPr>
              <w:spacing w:line="360" w:lineRule="auto"/>
              <w:rPr>
                <w:rFonts w:ascii="宋体" w:hAnsi="宋体" w:cs="Arial"/>
                <w:szCs w:val="21"/>
              </w:rPr>
            </w:pPr>
            <w:r>
              <w:rPr>
                <w:rFonts w:ascii="宋体" w:hAnsi="宋体" w:cs="Arial"/>
                <w:szCs w:val="21"/>
              </w:rPr>
              <w:t>办公地址</w:t>
            </w:r>
          </w:p>
        </w:tc>
        <w:tc>
          <w:tcPr>
            <w:tcW w:w="6192" w:type="dxa"/>
            <w:gridSpan w:val="3"/>
          </w:tcPr>
          <w:p w:rsidR="008711D3" w:rsidRDefault="004479D9">
            <w:pPr>
              <w:spacing w:line="360" w:lineRule="auto"/>
              <w:rPr>
                <w:rFonts w:ascii="宋体" w:hAnsi="宋体" w:cs="Arial"/>
                <w:szCs w:val="21"/>
              </w:rPr>
            </w:pPr>
            <w:r>
              <w:rPr>
                <w:rFonts w:ascii="宋体" w:hAnsi="宋体" w:cs="Arial" w:hint="eastAsia"/>
                <w:bCs/>
                <w:szCs w:val="21"/>
              </w:rPr>
              <w:t>深圳市福田区益田路6001号太平金融大厦16层</w:t>
            </w:r>
          </w:p>
        </w:tc>
      </w:tr>
      <w:tr w:rsidR="008711D3">
        <w:tc>
          <w:tcPr>
            <w:tcW w:w="1368" w:type="dxa"/>
          </w:tcPr>
          <w:p w:rsidR="008711D3" w:rsidRDefault="004479D9">
            <w:pPr>
              <w:spacing w:line="360" w:lineRule="auto"/>
              <w:rPr>
                <w:rFonts w:ascii="宋体" w:hAnsi="宋体" w:cs="Arial"/>
                <w:szCs w:val="21"/>
              </w:rPr>
            </w:pPr>
            <w:r>
              <w:rPr>
                <w:rFonts w:ascii="宋体" w:hAnsi="宋体" w:cs="Arial"/>
                <w:szCs w:val="21"/>
              </w:rPr>
              <w:t>电话</w:t>
            </w:r>
          </w:p>
        </w:tc>
        <w:tc>
          <w:tcPr>
            <w:tcW w:w="2592" w:type="dxa"/>
          </w:tcPr>
          <w:p w:rsidR="008711D3" w:rsidRDefault="00CE3BC2">
            <w:pPr>
              <w:spacing w:line="360" w:lineRule="auto"/>
              <w:rPr>
                <w:rFonts w:ascii="宋体" w:hAnsi="宋体" w:cs="Arial"/>
                <w:szCs w:val="21"/>
              </w:rPr>
            </w:pPr>
            <w:r w:rsidRPr="00CE3BC2">
              <w:rPr>
                <w:rFonts w:ascii="宋体" w:hAnsi="宋体" w:cs="Arial" w:hint="eastAsia"/>
                <w:szCs w:val="21"/>
              </w:rPr>
              <w:t>（0755）84362222</w:t>
            </w:r>
          </w:p>
        </w:tc>
        <w:tc>
          <w:tcPr>
            <w:tcW w:w="1080" w:type="dxa"/>
          </w:tcPr>
          <w:p w:rsidR="008711D3" w:rsidRDefault="004479D9">
            <w:pPr>
              <w:spacing w:line="360" w:lineRule="auto"/>
              <w:rPr>
                <w:rFonts w:ascii="宋体" w:hAnsi="宋体" w:cs="Arial"/>
                <w:szCs w:val="21"/>
              </w:rPr>
            </w:pPr>
            <w:r>
              <w:rPr>
                <w:rFonts w:ascii="宋体" w:hAnsi="宋体" w:cs="Arial"/>
                <w:szCs w:val="21"/>
              </w:rPr>
              <w:t>传真</w:t>
            </w:r>
          </w:p>
        </w:tc>
        <w:tc>
          <w:tcPr>
            <w:tcW w:w="2520" w:type="dxa"/>
          </w:tcPr>
          <w:p w:rsidR="008711D3" w:rsidRDefault="00CE3BC2">
            <w:pPr>
              <w:spacing w:line="360" w:lineRule="auto"/>
              <w:rPr>
                <w:rFonts w:ascii="宋体" w:hAnsi="宋体" w:cs="Arial"/>
                <w:szCs w:val="21"/>
              </w:rPr>
            </w:pPr>
            <w:r w:rsidRPr="00CE3BC2">
              <w:rPr>
                <w:rFonts w:ascii="宋体" w:hAnsi="宋体" w:cs="Arial" w:hint="eastAsia"/>
                <w:szCs w:val="21"/>
              </w:rPr>
              <w:t>（0755）84362284</w:t>
            </w:r>
          </w:p>
        </w:tc>
      </w:tr>
      <w:tr w:rsidR="008711D3">
        <w:tc>
          <w:tcPr>
            <w:tcW w:w="1368" w:type="dxa"/>
          </w:tcPr>
          <w:p w:rsidR="008711D3" w:rsidRDefault="004479D9">
            <w:pPr>
              <w:spacing w:line="360" w:lineRule="auto"/>
              <w:rPr>
                <w:rFonts w:ascii="宋体" w:hAnsi="宋体" w:cs="Arial"/>
                <w:szCs w:val="21"/>
              </w:rPr>
            </w:pPr>
            <w:r>
              <w:rPr>
                <w:rFonts w:ascii="宋体" w:hAnsi="宋体" w:cs="Arial"/>
                <w:spacing w:val="6"/>
                <w:szCs w:val="21"/>
              </w:rPr>
              <w:t>联系人</w:t>
            </w:r>
          </w:p>
        </w:tc>
        <w:tc>
          <w:tcPr>
            <w:tcW w:w="6192" w:type="dxa"/>
            <w:gridSpan w:val="3"/>
          </w:tcPr>
          <w:p w:rsidR="008711D3" w:rsidRDefault="004479D9">
            <w:pPr>
              <w:spacing w:line="360" w:lineRule="auto"/>
              <w:rPr>
                <w:rFonts w:ascii="宋体" w:hAnsi="宋体" w:cs="Arial"/>
                <w:szCs w:val="21"/>
              </w:rPr>
            </w:pPr>
            <w:r>
              <w:rPr>
                <w:rFonts w:ascii="宋体" w:hAnsi="宋体" w:cs="Arial" w:hint="eastAsia"/>
                <w:szCs w:val="21"/>
              </w:rPr>
              <w:t>陈寒梦</w:t>
            </w:r>
          </w:p>
        </w:tc>
      </w:tr>
    </w:tbl>
    <w:p w:rsidR="008711D3" w:rsidRDefault="004479D9">
      <w:pPr>
        <w:spacing w:line="360" w:lineRule="auto"/>
        <w:ind w:firstLineChars="200" w:firstLine="420"/>
        <w:rPr>
          <w:rFonts w:ascii="宋体" w:hAnsi="宋体" w:cs="Arial"/>
          <w:szCs w:val="21"/>
        </w:rPr>
      </w:pPr>
      <w:r>
        <w:rPr>
          <w:rFonts w:ascii="宋体" w:hAnsi="宋体" w:cs="Arial"/>
          <w:szCs w:val="21"/>
        </w:rPr>
        <w:t>（</w:t>
      </w:r>
      <w:r>
        <w:rPr>
          <w:rFonts w:ascii="宋体" w:hAnsi="宋体" w:cs="Arial" w:hint="eastAsia"/>
          <w:szCs w:val="21"/>
        </w:rPr>
        <w:t>5</w:t>
      </w:r>
      <w:r>
        <w:rPr>
          <w:rFonts w:ascii="宋体" w:hAnsi="宋体" w:cs="Arial"/>
          <w:szCs w:val="21"/>
        </w:rPr>
        <w:t>）嘉实基金管理有限公司</w:t>
      </w:r>
      <w:r>
        <w:rPr>
          <w:rFonts w:ascii="宋体" w:hAnsi="宋体" w:cs="Arial" w:hint="eastAsia"/>
          <w:szCs w:val="21"/>
        </w:rPr>
        <w:t>青岛分公司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8711D3">
        <w:tc>
          <w:tcPr>
            <w:tcW w:w="1368" w:type="dxa"/>
            <w:tcBorders>
              <w:top w:val="single" w:sz="4" w:space="0" w:color="auto"/>
              <w:left w:val="single" w:sz="4" w:space="0" w:color="auto"/>
              <w:bottom w:val="single" w:sz="4" w:space="0" w:color="auto"/>
              <w:right w:val="single" w:sz="4" w:space="0" w:color="auto"/>
            </w:tcBorders>
          </w:tcPr>
          <w:p w:rsidR="008711D3" w:rsidRDefault="004479D9">
            <w:pPr>
              <w:spacing w:line="360" w:lineRule="auto"/>
              <w:rPr>
                <w:rFonts w:ascii="宋体" w:hAnsi="宋体" w:cs="Arial"/>
                <w:szCs w:val="21"/>
              </w:rPr>
            </w:pPr>
            <w:r>
              <w:rPr>
                <w:rFonts w:ascii="宋体" w:hAnsi="宋体" w:cs="Arial" w:hint="eastAsia"/>
                <w:szCs w:val="21"/>
              </w:rPr>
              <w:t>办公地址</w:t>
            </w:r>
          </w:p>
        </w:tc>
        <w:tc>
          <w:tcPr>
            <w:tcW w:w="6192" w:type="dxa"/>
            <w:gridSpan w:val="3"/>
            <w:tcBorders>
              <w:top w:val="single" w:sz="4" w:space="0" w:color="auto"/>
              <w:left w:val="single" w:sz="4" w:space="0" w:color="auto"/>
              <w:bottom w:val="single" w:sz="4" w:space="0" w:color="auto"/>
              <w:right w:val="single" w:sz="4" w:space="0" w:color="auto"/>
            </w:tcBorders>
          </w:tcPr>
          <w:p w:rsidR="008711D3" w:rsidRDefault="00CE3BC2">
            <w:pPr>
              <w:spacing w:line="360" w:lineRule="auto"/>
              <w:rPr>
                <w:rFonts w:ascii="宋体" w:hAnsi="宋体" w:cs="Arial"/>
                <w:szCs w:val="21"/>
              </w:rPr>
            </w:pPr>
            <w:r w:rsidRPr="00CE3BC2">
              <w:rPr>
                <w:rFonts w:ascii="宋体" w:hAnsi="宋体" w:cs="Arial" w:hint="eastAsia"/>
                <w:szCs w:val="21"/>
              </w:rPr>
              <w:t>青岛市市南区山东路6号华润大厦B座3101室</w:t>
            </w:r>
          </w:p>
        </w:tc>
      </w:tr>
      <w:tr w:rsidR="008711D3">
        <w:tc>
          <w:tcPr>
            <w:tcW w:w="1368" w:type="dxa"/>
            <w:tcBorders>
              <w:top w:val="single" w:sz="4" w:space="0" w:color="auto"/>
              <w:left w:val="single" w:sz="4" w:space="0" w:color="auto"/>
              <w:bottom w:val="single" w:sz="4" w:space="0" w:color="auto"/>
              <w:right w:val="single" w:sz="4" w:space="0" w:color="auto"/>
            </w:tcBorders>
          </w:tcPr>
          <w:p w:rsidR="008711D3" w:rsidRDefault="004479D9">
            <w:pPr>
              <w:spacing w:line="360" w:lineRule="auto"/>
              <w:rPr>
                <w:rFonts w:ascii="宋体" w:hAnsi="宋体" w:cs="Arial"/>
                <w:szCs w:val="21"/>
              </w:rPr>
            </w:pPr>
            <w:r>
              <w:rPr>
                <w:rFonts w:ascii="宋体" w:hAnsi="宋体" w:cs="Arial" w:hint="eastAsia"/>
                <w:szCs w:val="21"/>
              </w:rPr>
              <w:t>电话</w:t>
            </w:r>
          </w:p>
        </w:tc>
        <w:tc>
          <w:tcPr>
            <w:tcW w:w="2592" w:type="dxa"/>
            <w:tcBorders>
              <w:top w:val="single" w:sz="4" w:space="0" w:color="auto"/>
              <w:left w:val="single" w:sz="4" w:space="0" w:color="auto"/>
              <w:bottom w:val="single" w:sz="4" w:space="0" w:color="auto"/>
              <w:right w:val="single" w:sz="4" w:space="0" w:color="auto"/>
            </w:tcBorders>
          </w:tcPr>
          <w:p w:rsidR="008711D3" w:rsidRDefault="004479D9">
            <w:pPr>
              <w:spacing w:line="360" w:lineRule="auto"/>
              <w:rPr>
                <w:rFonts w:ascii="宋体" w:hAnsi="宋体" w:cs="Arial"/>
                <w:szCs w:val="21"/>
              </w:rPr>
            </w:pPr>
            <w:r>
              <w:rPr>
                <w:rFonts w:ascii="宋体" w:hAnsi="宋体" w:cs="Arial"/>
                <w:szCs w:val="21"/>
              </w:rPr>
              <w:t>（0532）6677</w:t>
            </w:r>
            <w:r>
              <w:rPr>
                <w:rFonts w:ascii="宋体" w:hAnsi="宋体" w:cs="Arial" w:hint="eastAsia"/>
                <w:szCs w:val="21"/>
              </w:rPr>
              <w:t>7997</w:t>
            </w:r>
          </w:p>
        </w:tc>
        <w:tc>
          <w:tcPr>
            <w:tcW w:w="1080" w:type="dxa"/>
            <w:tcBorders>
              <w:top w:val="single" w:sz="4" w:space="0" w:color="auto"/>
              <w:left w:val="single" w:sz="4" w:space="0" w:color="auto"/>
              <w:bottom w:val="single" w:sz="4" w:space="0" w:color="auto"/>
              <w:right w:val="single" w:sz="4" w:space="0" w:color="auto"/>
            </w:tcBorders>
          </w:tcPr>
          <w:p w:rsidR="008711D3" w:rsidRDefault="004479D9">
            <w:pPr>
              <w:spacing w:line="360" w:lineRule="auto"/>
              <w:rPr>
                <w:rFonts w:ascii="宋体" w:hAnsi="宋体" w:cs="Arial"/>
                <w:szCs w:val="21"/>
              </w:rPr>
            </w:pPr>
            <w:r>
              <w:rPr>
                <w:rFonts w:ascii="宋体" w:hAnsi="宋体" w:cs="Arial" w:hint="eastAsia"/>
                <w:szCs w:val="21"/>
              </w:rPr>
              <w:t>传真</w:t>
            </w:r>
          </w:p>
        </w:tc>
        <w:tc>
          <w:tcPr>
            <w:tcW w:w="2520" w:type="dxa"/>
            <w:tcBorders>
              <w:top w:val="single" w:sz="4" w:space="0" w:color="auto"/>
              <w:left w:val="single" w:sz="4" w:space="0" w:color="auto"/>
              <w:bottom w:val="single" w:sz="4" w:space="0" w:color="auto"/>
              <w:right w:val="single" w:sz="4" w:space="0" w:color="auto"/>
            </w:tcBorders>
          </w:tcPr>
          <w:p w:rsidR="008711D3" w:rsidRDefault="004479D9">
            <w:pPr>
              <w:spacing w:line="360" w:lineRule="auto"/>
              <w:rPr>
                <w:rFonts w:ascii="宋体" w:hAnsi="宋体" w:cs="Arial"/>
                <w:szCs w:val="21"/>
              </w:rPr>
            </w:pPr>
            <w:r>
              <w:rPr>
                <w:rFonts w:ascii="宋体" w:hAnsi="宋体" w:cs="Arial"/>
                <w:szCs w:val="21"/>
              </w:rPr>
              <w:t>（0532）66777676</w:t>
            </w:r>
          </w:p>
        </w:tc>
      </w:tr>
      <w:tr w:rsidR="008711D3">
        <w:tc>
          <w:tcPr>
            <w:tcW w:w="1368" w:type="dxa"/>
            <w:tcBorders>
              <w:top w:val="single" w:sz="4" w:space="0" w:color="auto"/>
              <w:left w:val="single" w:sz="4" w:space="0" w:color="auto"/>
              <w:bottom w:val="single" w:sz="4" w:space="0" w:color="auto"/>
              <w:right w:val="single" w:sz="4" w:space="0" w:color="auto"/>
            </w:tcBorders>
          </w:tcPr>
          <w:p w:rsidR="008711D3" w:rsidRDefault="004479D9">
            <w:pPr>
              <w:spacing w:line="360" w:lineRule="auto"/>
              <w:rPr>
                <w:rFonts w:ascii="宋体" w:hAnsi="宋体" w:cs="Arial"/>
                <w:szCs w:val="21"/>
              </w:rPr>
            </w:pPr>
            <w:r>
              <w:rPr>
                <w:rFonts w:ascii="宋体" w:hAnsi="宋体" w:cs="Arial" w:hint="eastAsia"/>
                <w:szCs w:val="21"/>
              </w:rPr>
              <w:t>联系人</w:t>
            </w:r>
          </w:p>
        </w:tc>
        <w:tc>
          <w:tcPr>
            <w:tcW w:w="6192" w:type="dxa"/>
            <w:gridSpan w:val="3"/>
            <w:tcBorders>
              <w:top w:val="single" w:sz="4" w:space="0" w:color="auto"/>
              <w:left w:val="single" w:sz="4" w:space="0" w:color="auto"/>
              <w:bottom w:val="single" w:sz="4" w:space="0" w:color="auto"/>
              <w:right w:val="single" w:sz="4" w:space="0" w:color="auto"/>
            </w:tcBorders>
          </w:tcPr>
          <w:p w:rsidR="008711D3" w:rsidRDefault="004479D9">
            <w:pPr>
              <w:spacing w:line="360" w:lineRule="auto"/>
              <w:rPr>
                <w:rFonts w:ascii="宋体" w:hAnsi="宋体" w:cs="Arial"/>
                <w:szCs w:val="21"/>
              </w:rPr>
            </w:pPr>
            <w:r>
              <w:rPr>
                <w:rFonts w:ascii="宋体" w:hAnsi="宋体" w:cs="Arial" w:hint="eastAsia"/>
                <w:szCs w:val="21"/>
              </w:rPr>
              <w:t>胡洪峰</w:t>
            </w:r>
          </w:p>
        </w:tc>
      </w:tr>
    </w:tbl>
    <w:p w:rsidR="008711D3" w:rsidRDefault="004479D9">
      <w:pPr>
        <w:spacing w:line="360" w:lineRule="auto"/>
        <w:ind w:firstLineChars="200" w:firstLine="420"/>
        <w:rPr>
          <w:rFonts w:ascii="宋体" w:hAnsi="宋体" w:cs="Arial"/>
          <w:szCs w:val="21"/>
        </w:rPr>
      </w:pPr>
      <w:r>
        <w:rPr>
          <w:rFonts w:ascii="宋体" w:hAnsi="宋体" w:cs="Arial"/>
          <w:szCs w:val="21"/>
        </w:rPr>
        <w:t>（</w:t>
      </w:r>
      <w:r>
        <w:rPr>
          <w:rFonts w:ascii="宋体" w:hAnsi="宋体" w:cs="Arial" w:hint="eastAsia"/>
          <w:szCs w:val="21"/>
        </w:rPr>
        <w:t>6</w:t>
      </w:r>
      <w:r>
        <w:rPr>
          <w:rFonts w:ascii="宋体" w:hAnsi="宋体" w:cs="Arial"/>
          <w:szCs w:val="21"/>
        </w:rPr>
        <w:t>）嘉实基金管理有限公司</w:t>
      </w:r>
      <w:r>
        <w:rPr>
          <w:rFonts w:ascii="宋体" w:hAnsi="宋体" w:cs="Arial" w:hint="eastAsia"/>
          <w:szCs w:val="21"/>
        </w:rPr>
        <w:t>杭州分公司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8711D3">
        <w:tc>
          <w:tcPr>
            <w:tcW w:w="1368" w:type="dxa"/>
            <w:tcBorders>
              <w:top w:val="single" w:sz="4" w:space="0" w:color="auto"/>
              <w:left w:val="single" w:sz="4" w:space="0" w:color="auto"/>
              <w:bottom w:val="single" w:sz="4" w:space="0" w:color="auto"/>
              <w:right w:val="single" w:sz="4" w:space="0" w:color="auto"/>
            </w:tcBorders>
          </w:tcPr>
          <w:p w:rsidR="008711D3" w:rsidRDefault="004479D9">
            <w:pPr>
              <w:spacing w:line="360" w:lineRule="auto"/>
              <w:rPr>
                <w:rFonts w:ascii="宋体" w:hAnsi="宋体" w:cs="Arial"/>
                <w:szCs w:val="21"/>
              </w:rPr>
            </w:pPr>
            <w:r>
              <w:rPr>
                <w:rFonts w:ascii="宋体" w:hAnsi="宋体" w:cs="Arial" w:hint="eastAsia"/>
                <w:szCs w:val="21"/>
              </w:rPr>
              <w:t>办公地址</w:t>
            </w:r>
          </w:p>
        </w:tc>
        <w:tc>
          <w:tcPr>
            <w:tcW w:w="6192" w:type="dxa"/>
            <w:gridSpan w:val="3"/>
            <w:tcBorders>
              <w:top w:val="single" w:sz="4" w:space="0" w:color="auto"/>
              <w:left w:val="single" w:sz="4" w:space="0" w:color="auto"/>
              <w:bottom w:val="single" w:sz="4" w:space="0" w:color="auto"/>
              <w:right w:val="single" w:sz="4" w:space="0" w:color="auto"/>
            </w:tcBorders>
          </w:tcPr>
          <w:p w:rsidR="008711D3" w:rsidRDefault="00CE3BC2">
            <w:pPr>
              <w:spacing w:line="360" w:lineRule="auto"/>
              <w:rPr>
                <w:rFonts w:ascii="宋体" w:hAnsi="宋体" w:cs="Arial"/>
                <w:szCs w:val="21"/>
              </w:rPr>
            </w:pPr>
            <w:r w:rsidRPr="00CE3BC2">
              <w:rPr>
                <w:rFonts w:ascii="宋体" w:hAnsi="宋体" w:cs="Arial" w:hint="eastAsia"/>
                <w:szCs w:val="21"/>
              </w:rPr>
              <w:t>杭州市江干区四季青街道钱江路1366 号万象城华润大厦B座2 幢1001A 室</w:t>
            </w:r>
          </w:p>
        </w:tc>
      </w:tr>
      <w:tr w:rsidR="008711D3">
        <w:tc>
          <w:tcPr>
            <w:tcW w:w="1368" w:type="dxa"/>
            <w:tcBorders>
              <w:top w:val="single" w:sz="4" w:space="0" w:color="auto"/>
              <w:left w:val="single" w:sz="4" w:space="0" w:color="auto"/>
              <w:bottom w:val="single" w:sz="4" w:space="0" w:color="auto"/>
              <w:right w:val="single" w:sz="4" w:space="0" w:color="auto"/>
            </w:tcBorders>
          </w:tcPr>
          <w:p w:rsidR="008711D3" w:rsidRDefault="004479D9">
            <w:pPr>
              <w:spacing w:line="360" w:lineRule="auto"/>
              <w:rPr>
                <w:rFonts w:ascii="宋体" w:hAnsi="宋体" w:cs="Arial"/>
                <w:szCs w:val="21"/>
              </w:rPr>
            </w:pPr>
            <w:r>
              <w:rPr>
                <w:rFonts w:ascii="宋体" w:hAnsi="宋体" w:cs="Arial" w:hint="eastAsia"/>
                <w:szCs w:val="21"/>
              </w:rPr>
              <w:lastRenderedPageBreak/>
              <w:t>电话</w:t>
            </w:r>
          </w:p>
        </w:tc>
        <w:tc>
          <w:tcPr>
            <w:tcW w:w="2592" w:type="dxa"/>
            <w:tcBorders>
              <w:top w:val="single" w:sz="4" w:space="0" w:color="auto"/>
              <w:left w:val="single" w:sz="4" w:space="0" w:color="auto"/>
              <w:bottom w:val="single" w:sz="4" w:space="0" w:color="auto"/>
              <w:right w:val="single" w:sz="4" w:space="0" w:color="auto"/>
            </w:tcBorders>
            <w:vAlign w:val="center"/>
          </w:tcPr>
          <w:p w:rsidR="008711D3" w:rsidRDefault="004479D9">
            <w:r>
              <w:rPr>
                <w:rFonts w:hint="eastAsia"/>
              </w:rPr>
              <w:t>（</w:t>
            </w:r>
            <w:r>
              <w:rPr>
                <w:rFonts w:hint="eastAsia"/>
              </w:rPr>
              <w:t>0571</w:t>
            </w:r>
            <w:r>
              <w:rPr>
                <w:rFonts w:hint="eastAsia"/>
              </w:rPr>
              <w:t>）</w:t>
            </w:r>
            <w:r>
              <w:rPr>
                <w:rFonts w:hint="eastAsia"/>
              </w:rPr>
              <w:t>88061392</w:t>
            </w:r>
          </w:p>
        </w:tc>
        <w:tc>
          <w:tcPr>
            <w:tcW w:w="1080" w:type="dxa"/>
            <w:tcBorders>
              <w:top w:val="single" w:sz="4" w:space="0" w:color="auto"/>
              <w:left w:val="single" w:sz="4" w:space="0" w:color="auto"/>
              <w:bottom w:val="single" w:sz="4" w:space="0" w:color="auto"/>
              <w:right w:val="single" w:sz="4" w:space="0" w:color="auto"/>
            </w:tcBorders>
            <w:vAlign w:val="center"/>
          </w:tcPr>
          <w:p w:rsidR="008711D3" w:rsidRDefault="004479D9">
            <w:r>
              <w:rPr>
                <w:rFonts w:hint="eastAsia"/>
              </w:rPr>
              <w:t>传真</w:t>
            </w:r>
          </w:p>
        </w:tc>
        <w:tc>
          <w:tcPr>
            <w:tcW w:w="2520" w:type="dxa"/>
            <w:tcBorders>
              <w:top w:val="single" w:sz="4" w:space="0" w:color="auto"/>
              <w:left w:val="single" w:sz="4" w:space="0" w:color="auto"/>
              <w:bottom w:val="single" w:sz="4" w:space="0" w:color="auto"/>
              <w:right w:val="single" w:sz="4" w:space="0" w:color="auto"/>
            </w:tcBorders>
            <w:vAlign w:val="center"/>
          </w:tcPr>
          <w:p w:rsidR="008711D3" w:rsidRDefault="004479D9">
            <w:r>
              <w:rPr>
                <w:rFonts w:hint="eastAsia"/>
              </w:rPr>
              <w:t>（</w:t>
            </w:r>
            <w:r>
              <w:rPr>
                <w:rFonts w:hint="eastAsia"/>
              </w:rPr>
              <w:t>0571</w:t>
            </w:r>
            <w:r>
              <w:rPr>
                <w:rFonts w:hint="eastAsia"/>
              </w:rPr>
              <w:t>）</w:t>
            </w:r>
            <w:r>
              <w:rPr>
                <w:rFonts w:hint="eastAsia"/>
              </w:rPr>
              <w:t>88021391</w:t>
            </w:r>
          </w:p>
        </w:tc>
      </w:tr>
      <w:tr w:rsidR="008711D3">
        <w:tc>
          <w:tcPr>
            <w:tcW w:w="1368" w:type="dxa"/>
            <w:tcBorders>
              <w:top w:val="single" w:sz="4" w:space="0" w:color="auto"/>
              <w:left w:val="single" w:sz="4" w:space="0" w:color="auto"/>
              <w:bottom w:val="single" w:sz="4" w:space="0" w:color="auto"/>
              <w:right w:val="single" w:sz="4" w:space="0" w:color="auto"/>
            </w:tcBorders>
          </w:tcPr>
          <w:p w:rsidR="008711D3" w:rsidRDefault="004479D9">
            <w:pPr>
              <w:spacing w:line="360" w:lineRule="auto"/>
              <w:rPr>
                <w:rFonts w:ascii="宋体" w:hAnsi="宋体" w:cs="Arial"/>
                <w:szCs w:val="21"/>
              </w:rPr>
            </w:pPr>
            <w:r>
              <w:rPr>
                <w:rFonts w:ascii="宋体" w:hAnsi="宋体" w:cs="Arial" w:hint="eastAsia"/>
                <w:szCs w:val="21"/>
              </w:rPr>
              <w:t>联系人</w:t>
            </w:r>
          </w:p>
        </w:tc>
        <w:tc>
          <w:tcPr>
            <w:tcW w:w="6192" w:type="dxa"/>
            <w:gridSpan w:val="3"/>
            <w:tcBorders>
              <w:top w:val="single" w:sz="4" w:space="0" w:color="auto"/>
              <w:left w:val="single" w:sz="4" w:space="0" w:color="auto"/>
              <w:bottom w:val="single" w:sz="4" w:space="0" w:color="auto"/>
              <w:right w:val="single" w:sz="4" w:space="0" w:color="auto"/>
            </w:tcBorders>
            <w:vAlign w:val="center"/>
          </w:tcPr>
          <w:p w:rsidR="008711D3" w:rsidRDefault="004479D9">
            <w:r>
              <w:t>刘伟</w:t>
            </w:r>
          </w:p>
        </w:tc>
      </w:tr>
    </w:tbl>
    <w:p w:rsidR="008711D3" w:rsidRDefault="004479D9">
      <w:pPr>
        <w:spacing w:line="360" w:lineRule="auto"/>
        <w:ind w:firstLineChars="200" w:firstLine="420"/>
        <w:rPr>
          <w:rFonts w:ascii="宋体" w:hAnsi="宋体" w:cs="Arial"/>
          <w:szCs w:val="21"/>
        </w:rPr>
      </w:pPr>
      <w:r>
        <w:rPr>
          <w:rFonts w:ascii="宋体" w:hAnsi="宋体" w:cs="Arial"/>
          <w:szCs w:val="21"/>
        </w:rPr>
        <w:t>（7）嘉实基金管理有限公司福州分公司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8711D3">
        <w:tc>
          <w:tcPr>
            <w:tcW w:w="1368" w:type="dxa"/>
          </w:tcPr>
          <w:p w:rsidR="008711D3" w:rsidRDefault="004479D9">
            <w:pPr>
              <w:spacing w:line="360" w:lineRule="auto"/>
              <w:rPr>
                <w:rFonts w:ascii="宋体" w:hAnsi="宋体" w:cs="Arial"/>
                <w:szCs w:val="21"/>
              </w:rPr>
            </w:pPr>
            <w:r>
              <w:rPr>
                <w:rFonts w:ascii="宋体" w:hAnsi="宋体" w:cs="Arial"/>
                <w:szCs w:val="21"/>
              </w:rPr>
              <w:t>办公地址</w:t>
            </w:r>
          </w:p>
        </w:tc>
        <w:tc>
          <w:tcPr>
            <w:tcW w:w="6192" w:type="dxa"/>
            <w:gridSpan w:val="3"/>
          </w:tcPr>
          <w:p w:rsidR="008711D3" w:rsidRDefault="004479D9">
            <w:pPr>
              <w:spacing w:line="360" w:lineRule="auto"/>
              <w:rPr>
                <w:rFonts w:ascii="宋体" w:hAnsi="宋体" w:cs="Arial"/>
                <w:szCs w:val="21"/>
              </w:rPr>
            </w:pPr>
            <w:r>
              <w:rPr>
                <w:rFonts w:ascii="宋体" w:hAnsi="宋体" w:cs="Arial" w:hint="eastAsia"/>
                <w:szCs w:val="21"/>
              </w:rPr>
              <w:t>福州市鼓楼区五四路137 号信合广场</w:t>
            </w:r>
            <w:r w:rsidR="00CE3BC2">
              <w:rPr>
                <w:rFonts w:ascii="宋体" w:hAnsi="宋体" w:cs="Arial" w:hint="eastAsia"/>
                <w:szCs w:val="21"/>
              </w:rPr>
              <w:t>801A</w:t>
            </w:r>
          </w:p>
        </w:tc>
      </w:tr>
      <w:tr w:rsidR="008711D3">
        <w:tc>
          <w:tcPr>
            <w:tcW w:w="1368" w:type="dxa"/>
          </w:tcPr>
          <w:p w:rsidR="008711D3" w:rsidRDefault="004479D9">
            <w:pPr>
              <w:spacing w:line="360" w:lineRule="auto"/>
              <w:rPr>
                <w:rFonts w:ascii="宋体" w:hAnsi="宋体" w:cs="Arial"/>
                <w:szCs w:val="21"/>
              </w:rPr>
            </w:pPr>
            <w:r>
              <w:rPr>
                <w:rFonts w:ascii="宋体" w:hAnsi="宋体" w:cs="Arial"/>
                <w:szCs w:val="21"/>
              </w:rPr>
              <w:t>电话</w:t>
            </w:r>
          </w:p>
        </w:tc>
        <w:tc>
          <w:tcPr>
            <w:tcW w:w="2592" w:type="dxa"/>
          </w:tcPr>
          <w:p w:rsidR="008711D3" w:rsidRDefault="00CE3BC2">
            <w:pPr>
              <w:spacing w:line="360" w:lineRule="auto"/>
              <w:rPr>
                <w:rFonts w:ascii="宋体" w:hAnsi="宋体" w:cs="Arial"/>
                <w:szCs w:val="21"/>
              </w:rPr>
            </w:pPr>
            <w:r w:rsidRPr="00CE3BC2">
              <w:rPr>
                <w:rFonts w:ascii="宋体" w:hAnsi="宋体" w:cs="Arial" w:hint="eastAsia"/>
                <w:szCs w:val="21"/>
              </w:rPr>
              <w:t>（0591）88013676</w:t>
            </w:r>
          </w:p>
        </w:tc>
        <w:tc>
          <w:tcPr>
            <w:tcW w:w="1080" w:type="dxa"/>
          </w:tcPr>
          <w:p w:rsidR="008711D3" w:rsidRDefault="004479D9">
            <w:pPr>
              <w:spacing w:line="360" w:lineRule="auto"/>
              <w:rPr>
                <w:rFonts w:ascii="宋体" w:hAnsi="宋体" w:cs="Arial"/>
                <w:szCs w:val="21"/>
              </w:rPr>
            </w:pPr>
            <w:r>
              <w:rPr>
                <w:rFonts w:ascii="宋体" w:hAnsi="宋体" w:cs="Arial"/>
                <w:szCs w:val="21"/>
              </w:rPr>
              <w:t>传真</w:t>
            </w:r>
          </w:p>
        </w:tc>
        <w:tc>
          <w:tcPr>
            <w:tcW w:w="2520" w:type="dxa"/>
          </w:tcPr>
          <w:p w:rsidR="008711D3" w:rsidRDefault="00CE3BC2">
            <w:pPr>
              <w:spacing w:line="360" w:lineRule="auto"/>
              <w:rPr>
                <w:rFonts w:ascii="宋体" w:hAnsi="宋体" w:cs="Arial"/>
                <w:szCs w:val="21"/>
              </w:rPr>
            </w:pPr>
            <w:r w:rsidRPr="00CE3BC2">
              <w:rPr>
                <w:rFonts w:ascii="宋体" w:hAnsi="宋体" w:cs="Arial" w:hint="eastAsia"/>
                <w:szCs w:val="21"/>
              </w:rPr>
              <w:t>（0591）88013670</w:t>
            </w:r>
          </w:p>
        </w:tc>
      </w:tr>
      <w:tr w:rsidR="008711D3">
        <w:tc>
          <w:tcPr>
            <w:tcW w:w="1368" w:type="dxa"/>
          </w:tcPr>
          <w:p w:rsidR="008711D3" w:rsidRDefault="004479D9">
            <w:pPr>
              <w:spacing w:line="360" w:lineRule="auto"/>
              <w:rPr>
                <w:rFonts w:ascii="宋体" w:hAnsi="宋体" w:cs="Arial"/>
                <w:szCs w:val="21"/>
              </w:rPr>
            </w:pPr>
            <w:r>
              <w:rPr>
                <w:rFonts w:ascii="宋体" w:hAnsi="宋体" w:cs="Arial"/>
                <w:szCs w:val="21"/>
              </w:rPr>
              <w:t>联系人</w:t>
            </w:r>
          </w:p>
        </w:tc>
        <w:tc>
          <w:tcPr>
            <w:tcW w:w="6192" w:type="dxa"/>
            <w:gridSpan w:val="3"/>
          </w:tcPr>
          <w:p w:rsidR="008711D3" w:rsidRDefault="00CE3BC2">
            <w:pPr>
              <w:spacing w:line="360" w:lineRule="auto"/>
              <w:rPr>
                <w:rFonts w:ascii="宋体" w:hAnsi="宋体" w:cs="Arial"/>
                <w:szCs w:val="21"/>
              </w:rPr>
            </w:pPr>
            <w:r w:rsidRPr="00CE3BC2">
              <w:rPr>
                <w:rFonts w:ascii="宋体" w:hAnsi="宋体" w:cs="Arial" w:hint="eastAsia"/>
                <w:szCs w:val="21"/>
              </w:rPr>
              <w:t>陈寒梦</w:t>
            </w:r>
          </w:p>
        </w:tc>
      </w:tr>
    </w:tbl>
    <w:p w:rsidR="008711D3" w:rsidRDefault="004479D9">
      <w:pPr>
        <w:spacing w:line="360" w:lineRule="auto"/>
        <w:ind w:firstLineChars="250" w:firstLine="525"/>
        <w:rPr>
          <w:rFonts w:ascii="宋体" w:hAnsi="宋体" w:cs="Arial"/>
          <w:szCs w:val="21"/>
        </w:rPr>
      </w:pPr>
      <w:r>
        <w:rPr>
          <w:rFonts w:ascii="宋体" w:hAnsi="宋体" w:cs="Arial"/>
          <w:szCs w:val="21"/>
        </w:rPr>
        <w:t>（8）嘉实基金管理有限公司南京分公司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192"/>
      </w:tblGrid>
      <w:tr w:rsidR="008711D3">
        <w:tc>
          <w:tcPr>
            <w:tcW w:w="1368" w:type="dxa"/>
          </w:tcPr>
          <w:p w:rsidR="008711D3" w:rsidRDefault="004479D9">
            <w:pPr>
              <w:spacing w:line="360" w:lineRule="auto"/>
              <w:rPr>
                <w:rFonts w:ascii="宋体" w:hAnsi="宋体" w:cs="Arial"/>
                <w:szCs w:val="21"/>
              </w:rPr>
            </w:pPr>
            <w:r>
              <w:rPr>
                <w:rFonts w:ascii="宋体" w:hAnsi="宋体" w:cs="Arial"/>
                <w:szCs w:val="21"/>
              </w:rPr>
              <w:t>办公地址</w:t>
            </w:r>
          </w:p>
        </w:tc>
        <w:tc>
          <w:tcPr>
            <w:tcW w:w="6192" w:type="dxa"/>
          </w:tcPr>
          <w:p w:rsidR="008711D3" w:rsidRDefault="00CE3BC2">
            <w:pPr>
              <w:spacing w:line="360" w:lineRule="auto"/>
              <w:rPr>
                <w:rFonts w:ascii="宋体" w:hAnsi="宋体" w:cs="Arial"/>
                <w:szCs w:val="21"/>
              </w:rPr>
            </w:pPr>
            <w:r w:rsidRPr="00CE3BC2">
              <w:rPr>
                <w:rFonts w:ascii="宋体" w:hAnsi="宋体" w:cs="Arial" w:hint="eastAsia"/>
                <w:szCs w:val="21"/>
              </w:rPr>
              <w:t>南京市新街口汉中路2号亚太商务楼23层B区</w:t>
            </w:r>
          </w:p>
        </w:tc>
      </w:tr>
      <w:tr w:rsidR="00CE3BC2" w:rsidTr="004F2C94">
        <w:tc>
          <w:tcPr>
            <w:tcW w:w="1368" w:type="dxa"/>
          </w:tcPr>
          <w:p w:rsidR="00CE3BC2" w:rsidRDefault="00CE3BC2">
            <w:pPr>
              <w:spacing w:line="360" w:lineRule="auto"/>
              <w:rPr>
                <w:rFonts w:ascii="宋体" w:hAnsi="宋体" w:cs="Arial"/>
                <w:szCs w:val="21"/>
              </w:rPr>
            </w:pPr>
            <w:r>
              <w:rPr>
                <w:rFonts w:ascii="宋体" w:hAnsi="宋体" w:cs="Arial"/>
                <w:szCs w:val="21"/>
              </w:rPr>
              <w:t>电话</w:t>
            </w:r>
          </w:p>
        </w:tc>
        <w:tc>
          <w:tcPr>
            <w:tcW w:w="6192" w:type="dxa"/>
          </w:tcPr>
          <w:p w:rsidR="00CE3BC2" w:rsidRDefault="00CE3BC2">
            <w:pPr>
              <w:spacing w:line="360" w:lineRule="auto"/>
              <w:rPr>
                <w:rFonts w:ascii="宋体" w:hAnsi="宋体" w:cs="Arial"/>
                <w:szCs w:val="21"/>
              </w:rPr>
            </w:pPr>
            <w:r w:rsidRPr="00CE3BC2">
              <w:rPr>
                <w:rFonts w:ascii="宋体" w:hAnsi="宋体" w:cs="Arial" w:hint="eastAsia"/>
                <w:szCs w:val="21"/>
              </w:rPr>
              <w:t>（025）66671118</w:t>
            </w:r>
          </w:p>
        </w:tc>
      </w:tr>
      <w:tr w:rsidR="008711D3">
        <w:tc>
          <w:tcPr>
            <w:tcW w:w="1368" w:type="dxa"/>
          </w:tcPr>
          <w:p w:rsidR="008711D3" w:rsidRDefault="004479D9">
            <w:pPr>
              <w:spacing w:line="360" w:lineRule="auto"/>
              <w:rPr>
                <w:rFonts w:ascii="宋体" w:hAnsi="宋体" w:cs="Arial"/>
                <w:szCs w:val="21"/>
              </w:rPr>
            </w:pPr>
            <w:r>
              <w:rPr>
                <w:rFonts w:ascii="宋体" w:hAnsi="宋体" w:cs="Arial"/>
                <w:szCs w:val="21"/>
              </w:rPr>
              <w:t>联系人</w:t>
            </w:r>
          </w:p>
        </w:tc>
        <w:tc>
          <w:tcPr>
            <w:tcW w:w="6192" w:type="dxa"/>
          </w:tcPr>
          <w:p w:rsidR="008711D3" w:rsidRDefault="00CE3BC2">
            <w:pPr>
              <w:spacing w:line="360" w:lineRule="auto"/>
              <w:rPr>
                <w:rFonts w:ascii="宋体" w:hAnsi="宋体" w:cs="Arial"/>
                <w:szCs w:val="21"/>
              </w:rPr>
            </w:pPr>
            <w:r w:rsidRPr="00CE3BC2">
              <w:rPr>
                <w:rFonts w:ascii="宋体" w:hAnsi="宋体" w:cs="Arial" w:hint="eastAsia"/>
                <w:szCs w:val="21"/>
              </w:rPr>
              <w:t>潘曙晖</w:t>
            </w:r>
          </w:p>
        </w:tc>
      </w:tr>
    </w:tbl>
    <w:p w:rsidR="008711D3" w:rsidRDefault="004479D9">
      <w:pPr>
        <w:spacing w:line="360" w:lineRule="auto"/>
        <w:ind w:firstLineChars="250" w:firstLine="525"/>
        <w:rPr>
          <w:rFonts w:ascii="宋体" w:hAnsi="宋体" w:cs="Arial"/>
          <w:szCs w:val="21"/>
        </w:rPr>
      </w:pPr>
      <w:r>
        <w:rPr>
          <w:rFonts w:ascii="宋体" w:hAnsi="宋体" w:cs="Arial"/>
          <w:szCs w:val="21"/>
        </w:rPr>
        <w:t>（</w:t>
      </w:r>
      <w:r>
        <w:rPr>
          <w:rFonts w:ascii="宋体" w:hAnsi="宋体" w:cs="Arial" w:hint="eastAsia"/>
          <w:szCs w:val="21"/>
        </w:rPr>
        <w:t>9</w:t>
      </w:r>
      <w:r>
        <w:rPr>
          <w:rFonts w:ascii="宋体" w:hAnsi="宋体" w:cs="Arial"/>
          <w:szCs w:val="21"/>
        </w:rPr>
        <w:t>）嘉实基金管理有限公司</w:t>
      </w:r>
      <w:r>
        <w:rPr>
          <w:rFonts w:ascii="宋体" w:hAnsi="宋体" w:cs="Arial" w:hint="eastAsia"/>
          <w:szCs w:val="21"/>
        </w:rPr>
        <w:t>广州</w:t>
      </w:r>
      <w:r>
        <w:rPr>
          <w:rFonts w:ascii="宋体" w:hAnsi="宋体" w:cs="Arial"/>
          <w:szCs w:val="21"/>
        </w:rPr>
        <w:t>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8711D3">
        <w:tc>
          <w:tcPr>
            <w:tcW w:w="1368" w:type="dxa"/>
          </w:tcPr>
          <w:p w:rsidR="008711D3" w:rsidRDefault="004479D9">
            <w:pPr>
              <w:spacing w:line="360" w:lineRule="auto"/>
              <w:rPr>
                <w:rFonts w:ascii="宋体" w:hAnsi="宋体" w:cs="Arial"/>
                <w:szCs w:val="21"/>
              </w:rPr>
            </w:pPr>
            <w:r>
              <w:rPr>
                <w:rFonts w:ascii="宋体" w:hAnsi="宋体" w:cs="Arial"/>
                <w:szCs w:val="21"/>
              </w:rPr>
              <w:t>办公地址</w:t>
            </w:r>
          </w:p>
        </w:tc>
        <w:tc>
          <w:tcPr>
            <w:tcW w:w="6192" w:type="dxa"/>
            <w:gridSpan w:val="3"/>
          </w:tcPr>
          <w:p w:rsidR="008711D3" w:rsidRDefault="00CE3BC2">
            <w:pPr>
              <w:spacing w:line="360" w:lineRule="auto"/>
              <w:rPr>
                <w:rFonts w:ascii="宋体" w:hAnsi="宋体" w:cs="Arial"/>
                <w:szCs w:val="21"/>
              </w:rPr>
            </w:pPr>
            <w:r w:rsidRPr="00CE3BC2">
              <w:rPr>
                <w:rFonts w:ascii="宋体" w:hAnsi="宋体" w:cs="Arial" w:hint="eastAsia"/>
                <w:szCs w:val="21"/>
              </w:rPr>
              <w:t>广东省广州市天河区冼村路5号凯华国际金融中心36层05-06单元</w:t>
            </w:r>
          </w:p>
        </w:tc>
      </w:tr>
      <w:tr w:rsidR="008711D3">
        <w:tc>
          <w:tcPr>
            <w:tcW w:w="1368" w:type="dxa"/>
          </w:tcPr>
          <w:p w:rsidR="008711D3" w:rsidRDefault="004479D9">
            <w:pPr>
              <w:spacing w:line="360" w:lineRule="auto"/>
              <w:rPr>
                <w:rFonts w:ascii="宋体" w:hAnsi="宋体" w:cs="Arial"/>
                <w:szCs w:val="21"/>
              </w:rPr>
            </w:pPr>
            <w:r>
              <w:rPr>
                <w:rFonts w:ascii="宋体" w:hAnsi="宋体" w:cs="Arial"/>
                <w:szCs w:val="21"/>
              </w:rPr>
              <w:t>电话</w:t>
            </w:r>
          </w:p>
        </w:tc>
        <w:tc>
          <w:tcPr>
            <w:tcW w:w="2592" w:type="dxa"/>
          </w:tcPr>
          <w:p w:rsidR="008711D3" w:rsidRDefault="004479D9">
            <w:pPr>
              <w:spacing w:line="360" w:lineRule="auto"/>
              <w:rPr>
                <w:rFonts w:ascii="宋体" w:hAnsi="宋体" w:cs="Arial"/>
                <w:szCs w:val="21"/>
              </w:rPr>
            </w:pPr>
            <w:r>
              <w:rPr>
                <w:rFonts w:ascii="宋体" w:hAnsi="宋体" w:cs="Arial" w:hint="eastAsia"/>
                <w:szCs w:val="21"/>
              </w:rPr>
              <w:t>（020）29141918</w:t>
            </w:r>
          </w:p>
        </w:tc>
        <w:tc>
          <w:tcPr>
            <w:tcW w:w="1080" w:type="dxa"/>
          </w:tcPr>
          <w:p w:rsidR="008711D3" w:rsidRDefault="004479D9">
            <w:pPr>
              <w:spacing w:line="360" w:lineRule="auto"/>
              <w:rPr>
                <w:rFonts w:ascii="宋体" w:hAnsi="宋体" w:cs="Arial"/>
                <w:szCs w:val="21"/>
              </w:rPr>
            </w:pPr>
            <w:r>
              <w:rPr>
                <w:rFonts w:ascii="宋体" w:hAnsi="宋体" w:cs="Arial"/>
                <w:szCs w:val="21"/>
              </w:rPr>
              <w:t>传真</w:t>
            </w:r>
          </w:p>
        </w:tc>
        <w:tc>
          <w:tcPr>
            <w:tcW w:w="2520" w:type="dxa"/>
          </w:tcPr>
          <w:p w:rsidR="008711D3" w:rsidRDefault="004479D9">
            <w:pPr>
              <w:spacing w:line="360" w:lineRule="auto"/>
              <w:rPr>
                <w:rFonts w:ascii="宋体" w:hAnsi="宋体" w:cs="Arial"/>
                <w:szCs w:val="21"/>
              </w:rPr>
            </w:pPr>
            <w:r>
              <w:rPr>
                <w:rFonts w:ascii="宋体" w:hAnsi="宋体" w:cs="Arial" w:hint="eastAsia"/>
                <w:szCs w:val="21"/>
              </w:rPr>
              <w:t>（020）</w:t>
            </w:r>
            <w:r w:rsidR="004F2C94">
              <w:rPr>
                <w:rFonts w:ascii="宋体" w:hAnsi="宋体" w:cs="Arial" w:hint="eastAsia"/>
                <w:szCs w:val="21"/>
              </w:rPr>
              <w:t>29141914</w:t>
            </w:r>
            <w:bookmarkStart w:id="60" w:name="_GoBack"/>
            <w:bookmarkEnd w:id="60"/>
          </w:p>
        </w:tc>
      </w:tr>
      <w:tr w:rsidR="008711D3">
        <w:tc>
          <w:tcPr>
            <w:tcW w:w="1368" w:type="dxa"/>
          </w:tcPr>
          <w:p w:rsidR="008711D3" w:rsidRDefault="004479D9">
            <w:pPr>
              <w:spacing w:line="360" w:lineRule="auto"/>
              <w:rPr>
                <w:rFonts w:ascii="宋体" w:hAnsi="宋体" w:cs="Arial"/>
                <w:szCs w:val="21"/>
              </w:rPr>
            </w:pPr>
            <w:r>
              <w:rPr>
                <w:rFonts w:ascii="宋体" w:hAnsi="宋体" w:cs="Arial"/>
                <w:szCs w:val="21"/>
              </w:rPr>
              <w:t>联系人</w:t>
            </w:r>
          </w:p>
        </w:tc>
        <w:tc>
          <w:tcPr>
            <w:tcW w:w="6192" w:type="dxa"/>
            <w:gridSpan w:val="3"/>
          </w:tcPr>
          <w:p w:rsidR="008711D3" w:rsidRDefault="004479D9">
            <w:pPr>
              <w:pStyle w:val="Default"/>
              <w:spacing w:line="360" w:lineRule="auto"/>
              <w:jc w:val="both"/>
              <w:rPr>
                <w:rFonts w:ascii="宋体" w:hAnsi="宋体"/>
                <w:sz w:val="21"/>
                <w:szCs w:val="21"/>
              </w:rPr>
            </w:pPr>
            <w:r>
              <w:rPr>
                <w:rFonts w:ascii="宋体" w:hAnsi="宋体" w:hint="eastAsia"/>
                <w:sz w:val="21"/>
                <w:szCs w:val="21"/>
              </w:rPr>
              <w:t>陈寒梦</w:t>
            </w:r>
          </w:p>
        </w:tc>
      </w:tr>
    </w:tbl>
    <w:p w:rsidR="008711D3" w:rsidRDefault="004479D9">
      <w:pPr>
        <w:spacing w:line="360" w:lineRule="auto"/>
        <w:ind w:firstLine="420"/>
        <w:rPr>
          <w:rFonts w:ascii="宋体" w:hAnsi="宋体"/>
          <w:szCs w:val="21"/>
        </w:rPr>
      </w:pPr>
      <w:r>
        <w:rPr>
          <w:rFonts w:ascii="宋体" w:hAnsi="宋体"/>
          <w:szCs w:val="21"/>
        </w:rPr>
        <w:t>2</w:t>
      </w:r>
      <w:r>
        <w:rPr>
          <w:rFonts w:ascii="宋体" w:hAnsi="宋体" w:hint="eastAsia"/>
          <w:szCs w:val="21"/>
        </w:rPr>
        <w:t>、代销机构</w:t>
      </w:r>
    </w:p>
    <w:p w:rsidR="008711D3" w:rsidRDefault="004479D9">
      <w:pPr>
        <w:spacing w:line="360" w:lineRule="auto"/>
        <w:ind w:firstLine="359"/>
        <w:rPr>
          <w:rFonts w:ascii="宋体" w:hAnsi="宋体"/>
          <w:szCs w:val="21"/>
        </w:rPr>
      </w:pPr>
      <w:r>
        <w:rPr>
          <w:rFonts w:ascii="宋体" w:hAnsi="宋体" w:hint="eastAsia"/>
          <w:szCs w:val="21"/>
        </w:rPr>
        <w:t>基金管理人可根据有关法律、法规的要求，选择符合要求的机构代理销售本基金，并在基金管理人网站公示。</w:t>
      </w:r>
    </w:p>
    <w:p w:rsidR="008711D3" w:rsidRDefault="004479D9">
      <w:pPr>
        <w:spacing w:line="360" w:lineRule="auto"/>
        <w:rPr>
          <w:rFonts w:ascii="宋体" w:hAnsi="宋体"/>
          <w:b/>
          <w:bCs/>
          <w:szCs w:val="21"/>
        </w:rPr>
      </w:pPr>
      <w:r>
        <w:rPr>
          <w:rFonts w:ascii="宋体" w:hAnsi="宋体" w:hint="eastAsia"/>
          <w:b/>
          <w:bCs/>
          <w:szCs w:val="21"/>
        </w:rPr>
        <w:t>（二）登记机构</w:t>
      </w:r>
    </w:p>
    <w:tbl>
      <w:tblPr>
        <w:tblpPr w:leftFromText="180" w:rightFromText="180" w:vertAnchor="text" w:horzAnchor="margin" w:tblpXSpec="center" w:tblpY="202"/>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237"/>
      </w:tblGrid>
      <w:tr w:rsidR="008711D3">
        <w:tc>
          <w:tcPr>
            <w:tcW w:w="1384" w:type="dxa"/>
          </w:tcPr>
          <w:p w:rsidR="008711D3" w:rsidRDefault="004479D9">
            <w:pPr>
              <w:spacing w:line="360" w:lineRule="auto"/>
              <w:rPr>
                <w:rFonts w:ascii="宋体" w:hAnsi="宋体" w:cs="Arial"/>
                <w:szCs w:val="21"/>
              </w:rPr>
            </w:pPr>
            <w:r>
              <w:rPr>
                <w:rFonts w:ascii="宋体" w:hAnsi="宋体" w:cs="Arial"/>
                <w:szCs w:val="21"/>
              </w:rPr>
              <w:t>名称</w:t>
            </w:r>
          </w:p>
        </w:tc>
        <w:tc>
          <w:tcPr>
            <w:tcW w:w="6237" w:type="dxa"/>
          </w:tcPr>
          <w:p w:rsidR="008711D3" w:rsidRDefault="004479D9">
            <w:pPr>
              <w:spacing w:line="360" w:lineRule="auto"/>
              <w:rPr>
                <w:rFonts w:ascii="宋体" w:hAnsi="宋体" w:cs="Arial"/>
                <w:szCs w:val="21"/>
              </w:rPr>
            </w:pPr>
            <w:r>
              <w:rPr>
                <w:rFonts w:ascii="宋体" w:hAnsi="宋体" w:hint="eastAsia"/>
                <w:szCs w:val="21"/>
              </w:rPr>
              <w:t>嘉实基金管理有限公司</w:t>
            </w:r>
          </w:p>
        </w:tc>
      </w:tr>
      <w:tr w:rsidR="008711D3">
        <w:tc>
          <w:tcPr>
            <w:tcW w:w="1384" w:type="dxa"/>
          </w:tcPr>
          <w:p w:rsidR="008711D3" w:rsidRDefault="004479D9">
            <w:pPr>
              <w:spacing w:line="360" w:lineRule="auto"/>
              <w:rPr>
                <w:rFonts w:ascii="宋体" w:hAnsi="宋体" w:cs="Arial"/>
                <w:szCs w:val="21"/>
              </w:rPr>
            </w:pPr>
            <w:r>
              <w:rPr>
                <w:rFonts w:ascii="宋体" w:hAnsi="宋体" w:cs="Arial"/>
                <w:szCs w:val="21"/>
              </w:rPr>
              <w:t>住所</w:t>
            </w:r>
          </w:p>
        </w:tc>
        <w:tc>
          <w:tcPr>
            <w:tcW w:w="6237" w:type="dxa"/>
          </w:tcPr>
          <w:p w:rsidR="008711D3" w:rsidRDefault="004479D9">
            <w:pPr>
              <w:spacing w:line="360" w:lineRule="auto"/>
              <w:rPr>
                <w:rFonts w:ascii="宋体" w:hAnsi="宋体"/>
                <w:szCs w:val="21"/>
              </w:rPr>
            </w:pPr>
            <w:r>
              <w:rPr>
                <w:rFonts w:ascii="宋体" w:hAnsi="宋体" w:hint="eastAsia"/>
                <w:bCs/>
                <w:szCs w:val="21"/>
              </w:rPr>
              <w:t>中国（上海）自由贸易试验区世纪大道8号上海国金中心二期27楼09-14单元</w:t>
            </w:r>
          </w:p>
        </w:tc>
      </w:tr>
      <w:tr w:rsidR="008711D3">
        <w:tc>
          <w:tcPr>
            <w:tcW w:w="1384" w:type="dxa"/>
          </w:tcPr>
          <w:p w:rsidR="008711D3" w:rsidRDefault="004479D9">
            <w:pPr>
              <w:spacing w:line="360" w:lineRule="auto"/>
              <w:rPr>
                <w:rFonts w:ascii="宋体" w:hAnsi="宋体" w:cs="Arial"/>
                <w:szCs w:val="21"/>
              </w:rPr>
            </w:pPr>
            <w:r>
              <w:rPr>
                <w:rFonts w:ascii="宋体" w:hAnsi="宋体" w:cs="Arial"/>
                <w:szCs w:val="21"/>
              </w:rPr>
              <w:t>办公地址</w:t>
            </w:r>
          </w:p>
        </w:tc>
        <w:tc>
          <w:tcPr>
            <w:tcW w:w="6237" w:type="dxa"/>
          </w:tcPr>
          <w:p w:rsidR="008711D3" w:rsidRDefault="004479D9">
            <w:pPr>
              <w:spacing w:line="360" w:lineRule="auto"/>
              <w:rPr>
                <w:rFonts w:ascii="宋体" w:hAnsi="宋体" w:cs="Arial"/>
                <w:szCs w:val="21"/>
              </w:rPr>
            </w:pPr>
            <w:r>
              <w:rPr>
                <w:rFonts w:ascii="宋体" w:hAnsi="宋体" w:hint="eastAsia"/>
                <w:szCs w:val="21"/>
              </w:rPr>
              <w:t>北京市朝阳区建国门外大街21号北京国际俱乐部C座写字楼12A层</w:t>
            </w:r>
          </w:p>
        </w:tc>
      </w:tr>
      <w:tr w:rsidR="008711D3">
        <w:tc>
          <w:tcPr>
            <w:tcW w:w="1384" w:type="dxa"/>
          </w:tcPr>
          <w:p w:rsidR="008711D3" w:rsidRDefault="004479D9">
            <w:pPr>
              <w:spacing w:line="360" w:lineRule="auto"/>
              <w:rPr>
                <w:rFonts w:ascii="宋体" w:hAnsi="宋体" w:cs="Arial"/>
                <w:szCs w:val="21"/>
              </w:rPr>
            </w:pPr>
            <w:r>
              <w:rPr>
                <w:rFonts w:ascii="宋体" w:hAnsi="宋体" w:hint="eastAsia"/>
                <w:szCs w:val="21"/>
              </w:rPr>
              <w:t>法定代表人</w:t>
            </w:r>
          </w:p>
        </w:tc>
        <w:tc>
          <w:tcPr>
            <w:tcW w:w="6237" w:type="dxa"/>
          </w:tcPr>
          <w:p w:rsidR="008711D3" w:rsidRDefault="004479D9">
            <w:pPr>
              <w:spacing w:line="360" w:lineRule="auto"/>
              <w:rPr>
                <w:rFonts w:ascii="宋体" w:hAnsi="宋体"/>
                <w:szCs w:val="21"/>
              </w:rPr>
            </w:pPr>
            <w:r>
              <w:rPr>
                <w:rFonts w:ascii="宋体" w:hAnsi="宋体" w:hint="eastAsia"/>
                <w:szCs w:val="21"/>
              </w:rPr>
              <w:t>经</w:t>
            </w:r>
            <w:r>
              <w:rPr>
                <w:rFonts w:ascii="宋体" w:hAnsi="宋体"/>
                <w:szCs w:val="21"/>
              </w:rPr>
              <w:t>雷</w:t>
            </w:r>
          </w:p>
        </w:tc>
      </w:tr>
      <w:tr w:rsidR="008711D3">
        <w:tc>
          <w:tcPr>
            <w:tcW w:w="1384" w:type="dxa"/>
          </w:tcPr>
          <w:p w:rsidR="008711D3" w:rsidRDefault="004479D9">
            <w:pPr>
              <w:spacing w:line="360" w:lineRule="auto"/>
              <w:rPr>
                <w:rFonts w:ascii="宋体" w:hAnsi="宋体" w:cs="Arial"/>
                <w:szCs w:val="21"/>
              </w:rPr>
            </w:pPr>
            <w:r>
              <w:rPr>
                <w:rFonts w:ascii="宋体" w:hAnsi="宋体" w:cs="Arial"/>
                <w:szCs w:val="21"/>
              </w:rPr>
              <w:t>联系人</w:t>
            </w:r>
          </w:p>
        </w:tc>
        <w:tc>
          <w:tcPr>
            <w:tcW w:w="6237" w:type="dxa"/>
          </w:tcPr>
          <w:p w:rsidR="008711D3" w:rsidRDefault="004479D9">
            <w:pPr>
              <w:spacing w:line="360" w:lineRule="auto"/>
              <w:rPr>
                <w:rFonts w:ascii="宋体" w:hAnsi="宋体" w:cs="Arial"/>
                <w:szCs w:val="21"/>
              </w:rPr>
            </w:pPr>
            <w:r>
              <w:rPr>
                <w:rFonts w:ascii="宋体" w:hAnsi="宋体" w:hint="eastAsia"/>
                <w:szCs w:val="21"/>
              </w:rPr>
              <w:t>彭鑫</w:t>
            </w:r>
          </w:p>
        </w:tc>
      </w:tr>
      <w:tr w:rsidR="008711D3">
        <w:tc>
          <w:tcPr>
            <w:tcW w:w="1384" w:type="dxa"/>
          </w:tcPr>
          <w:p w:rsidR="008711D3" w:rsidRDefault="004479D9">
            <w:pPr>
              <w:spacing w:line="360" w:lineRule="auto"/>
              <w:rPr>
                <w:rFonts w:ascii="宋体" w:hAnsi="宋体" w:cs="Arial"/>
                <w:szCs w:val="21"/>
              </w:rPr>
            </w:pPr>
            <w:r>
              <w:rPr>
                <w:rFonts w:ascii="宋体" w:hAnsi="宋体" w:cs="Arial"/>
                <w:szCs w:val="21"/>
              </w:rPr>
              <w:t>电话</w:t>
            </w:r>
          </w:p>
        </w:tc>
        <w:tc>
          <w:tcPr>
            <w:tcW w:w="6237" w:type="dxa"/>
          </w:tcPr>
          <w:p w:rsidR="008711D3" w:rsidRDefault="004479D9">
            <w:pPr>
              <w:spacing w:line="360" w:lineRule="auto"/>
              <w:rPr>
                <w:rFonts w:ascii="宋体" w:hAnsi="宋体" w:cs="Arial"/>
                <w:szCs w:val="21"/>
              </w:rPr>
            </w:pPr>
            <w:r>
              <w:rPr>
                <w:rFonts w:ascii="宋体" w:hAnsi="宋体"/>
                <w:szCs w:val="21"/>
              </w:rPr>
              <w:t>（010）6521558</w:t>
            </w:r>
            <w:r>
              <w:rPr>
                <w:rFonts w:ascii="宋体" w:hAnsi="宋体" w:hint="eastAsia"/>
                <w:szCs w:val="21"/>
              </w:rPr>
              <w:t>8</w:t>
            </w:r>
          </w:p>
        </w:tc>
      </w:tr>
      <w:tr w:rsidR="008711D3">
        <w:tc>
          <w:tcPr>
            <w:tcW w:w="1384" w:type="dxa"/>
          </w:tcPr>
          <w:p w:rsidR="008711D3" w:rsidRDefault="004479D9">
            <w:pPr>
              <w:spacing w:line="360" w:lineRule="auto"/>
              <w:rPr>
                <w:rFonts w:ascii="宋体" w:hAnsi="宋体" w:cs="Arial"/>
                <w:szCs w:val="21"/>
              </w:rPr>
            </w:pPr>
            <w:r>
              <w:rPr>
                <w:rFonts w:ascii="宋体" w:hAnsi="宋体" w:hint="eastAsia"/>
                <w:szCs w:val="21"/>
              </w:rPr>
              <w:t>传真</w:t>
            </w:r>
          </w:p>
        </w:tc>
        <w:tc>
          <w:tcPr>
            <w:tcW w:w="6237" w:type="dxa"/>
          </w:tcPr>
          <w:p w:rsidR="008711D3" w:rsidRDefault="004479D9">
            <w:pPr>
              <w:spacing w:line="360" w:lineRule="auto"/>
              <w:rPr>
                <w:rFonts w:ascii="宋体" w:hAnsi="宋体"/>
                <w:szCs w:val="21"/>
              </w:rPr>
            </w:pPr>
            <w:r>
              <w:rPr>
                <w:rFonts w:ascii="宋体" w:hAnsi="宋体"/>
                <w:szCs w:val="21"/>
              </w:rPr>
              <w:t>（010）65185678</w:t>
            </w:r>
          </w:p>
        </w:tc>
      </w:tr>
    </w:tbl>
    <w:p w:rsidR="008711D3" w:rsidRDefault="004479D9">
      <w:pPr>
        <w:spacing w:line="360" w:lineRule="auto"/>
        <w:rPr>
          <w:rFonts w:ascii="宋体" w:hAnsi="宋体"/>
          <w:b/>
          <w:bCs/>
          <w:szCs w:val="21"/>
        </w:rPr>
      </w:pPr>
      <w:r>
        <w:rPr>
          <w:rFonts w:ascii="宋体" w:hAnsi="宋体" w:hint="eastAsia"/>
          <w:b/>
          <w:bCs/>
          <w:szCs w:val="21"/>
        </w:rPr>
        <w:t>（三）出具法律意见书的律师事务所</w:t>
      </w:r>
    </w:p>
    <w:tbl>
      <w:tblPr>
        <w:tblpPr w:leftFromText="180" w:rightFromText="180" w:vertAnchor="text" w:horzAnchor="margin" w:tblpXSpec="center" w:tblpY="202"/>
        <w:tblW w:w="7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2265"/>
        <w:gridCol w:w="1096"/>
        <w:gridCol w:w="2619"/>
      </w:tblGrid>
      <w:tr w:rsidR="008711D3">
        <w:tc>
          <w:tcPr>
            <w:tcW w:w="1728" w:type="dxa"/>
          </w:tcPr>
          <w:p w:rsidR="008711D3" w:rsidRDefault="004479D9">
            <w:pPr>
              <w:spacing w:line="360" w:lineRule="auto"/>
              <w:rPr>
                <w:rFonts w:ascii="宋体" w:hAnsi="宋体" w:cs="Arial"/>
                <w:szCs w:val="21"/>
              </w:rPr>
            </w:pPr>
            <w:r>
              <w:rPr>
                <w:rFonts w:ascii="宋体" w:hAnsi="宋体" w:cs="Arial"/>
                <w:szCs w:val="21"/>
              </w:rPr>
              <w:lastRenderedPageBreak/>
              <w:t>名称</w:t>
            </w:r>
          </w:p>
        </w:tc>
        <w:tc>
          <w:tcPr>
            <w:tcW w:w="5893" w:type="dxa"/>
            <w:gridSpan w:val="3"/>
          </w:tcPr>
          <w:p w:rsidR="008711D3" w:rsidRDefault="004479D9">
            <w:pPr>
              <w:spacing w:line="360" w:lineRule="auto"/>
              <w:rPr>
                <w:rFonts w:ascii="宋体" w:hAnsi="宋体" w:cs="Arial"/>
                <w:szCs w:val="21"/>
              </w:rPr>
            </w:pPr>
            <w:r>
              <w:rPr>
                <w:rFonts w:ascii="宋体" w:hAnsi="宋体" w:hint="eastAsia"/>
                <w:szCs w:val="21"/>
              </w:rPr>
              <w:t>上海源泰律师事务所</w:t>
            </w:r>
          </w:p>
        </w:tc>
      </w:tr>
      <w:tr w:rsidR="008711D3">
        <w:tc>
          <w:tcPr>
            <w:tcW w:w="1728" w:type="dxa"/>
          </w:tcPr>
          <w:p w:rsidR="008711D3" w:rsidRDefault="004479D9">
            <w:pPr>
              <w:spacing w:line="360" w:lineRule="auto"/>
              <w:rPr>
                <w:rFonts w:ascii="宋体" w:hAnsi="宋体" w:cs="Arial"/>
                <w:szCs w:val="21"/>
              </w:rPr>
            </w:pPr>
            <w:r>
              <w:rPr>
                <w:rFonts w:ascii="宋体" w:hAnsi="宋体" w:cs="Arial"/>
                <w:szCs w:val="21"/>
              </w:rPr>
              <w:t>住所、办公地址</w:t>
            </w:r>
          </w:p>
        </w:tc>
        <w:tc>
          <w:tcPr>
            <w:tcW w:w="5893" w:type="dxa"/>
            <w:gridSpan w:val="3"/>
          </w:tcPr>
          <w:p w:rsidR="008711D3" w:rsidRDefault="004479D9">
            <w:pPr>
              <w:spacing w:line="360" w:lineRule="auto"/>
              <w:rPr>
                <w:rFonts w:ascii="宋体" w:hAnsi="宋体" w:cs="Arial"/>
                <w:szCs w:val="21"/>
              </w:rPr>
            </w:pPr>
            <w:r>
              <w:rPr>
                <w:rFonts w:ascii="宋体" w:hAnsi="宋体" w:hint="eastAsia"/>
                <w:szCs w:val="21"/>
              </w:rPr>
              <w:t>上海市浦东新区浦东南路256号华夏银行大厦14楼</w:t>
            </w:r>
          </w:p>
        </w:tc>
      </w:tr>
      <w:tr w:rsidR="008711D3">
        <w:tc>
          <w:tcPr>
            <w:tcW w:w="1728" w:type="dxa"/>
          </w:tcPr>
          <w:p w:rsidR="008711D3" w:rsidRDefault="004479D9">
            <w:pPr>
              <w:spacing w:line="360" w:lineRule="auto"/>
              <w:rPr>
                <w:rFonts w:ascii="宋体" w:hAnsi="宋体" w:cs="Arial"/>
                <w:szCs w:val="21"/>
              </w:rPr>
            </w:pPr>
            <w:r>
              <w:rPr>
                <w:rFonts w:ascii="宋体" w:hAnsi="宋体" w:cs="Arial"/>
                <w:szCs w:val="21"/>
              </w:rPr>
              <w:t>负责人</w:t>
            </w:r>
          </w:p>
        </w:tc>
        <w:tc>
          <w:tcPr>
            <w:tcW w:w="2232" w:type="dxa"/>
          </w:tcPr>
          <w:p w:rsidR="008711D3" w:rsidRDefault="004479D9">
            <w:pPr>
              <w:spacing w:line="360" w:lineRule="auto"/>
              <w:rPr>
                <w:rFonts w:ascii="宋体" w:hAnsi="宋体" w:cs="Arial"/>
                <w:szCs w:val="21"/>
              </w:rPr>
            </w:pPr>
            <w:r>
              <w:rPr>
                <w:rFonts w:ascii="宋体" w:hAnsi="宋体" w:hint="eastAsia"/>
                <w:szCs w:val="21"/>
              </w:rPr>
              <w:t>廖海</w:t>
            </w:r>
          </w:p>
        </w:tc>
        <w:tc>
          <w:tcPr>
            <w:tcW w:w="1080" w:type="dxa"/>
          </w:tcPr>
          <w:p w:rsidR="008711D3" w:rsidRDefault="004479D9">
            <w:pPr>
              <w:spacing w:line="360" w:lineRule="auto"/>
              <w:rPr>
                <w:rFonts w:ascii="宋体" w:hAnsi="宋体" w:cs="Arial"/>
                <w:szCs w:val="21"/>
              </w:rPr>
            </w:pPr>
            <w:r>
              <w:rPr>
                <w:rFonts w:ascii="宋体" w:hAnsi="宋体" w:cs="Arial"/>
                <w:szCs w:val="21"/>
              </w:rPr>
              <w:t>联系人</w:t>
            </w:r>
          </w:p>
        </w:tc>
        <w:tc>
          <w:tcPr>
            <w:tcW w:w="2581" w:type="dxa"/>
          </w:tcPr>
          <w:p w:rsidR="008711D3" w:rsidRDefault="004479D9">
            <w:pPr>
              <w:spacing w:line="360" w:lineRule="auto"/>
              <w:rPr>
                <w:rFonts w:ascii="宋体" w:hAnsi="宋体" w:cs="Arial"/>
                <w:szCs w:val="21"/>
              </w:rPr>
            </w:pPr>
            <w:r>
              <w:rPr>
                <w:rFonts w:ascii="宋体" w:hAnsi="宋体" w:hint="eastAsia"/>
                <w:color w:val="000000"/>
                <w:szCs w:val="21"/>
              </w:rPr>
              <w:t>范佳斐</w:t>
            </w:r>
          </w:p>
        </w:tc>
      </w:tr>
      <w:tr w:rsidR="008711D3">
        <w:tc>
          <w:tcPr>
            <w:tcW w:w="1728" w:type="dxa"/>
          </w:tcPr>
          <w:p w:rsidR="008711D3" w:rsidRDefault="004479D9">
            <w:pPr>
              <w:spacing w:line="360" w:lineRule="auto"/>
              <w:rPr>
                <w:rFonts w:ascii="宋体" w:hAnsi="宋体"/>
                <w:szCs w:val="21"/>
              </w:rPr>
            </w:pPr>
            <w:r>
              <w:rPr>
                <w:rFonts w:ascii="宋体" w:hAnsi="宋体" w:hint="eastAsia"/>
                <w:szCs w:val="21"/>
              </w:rPr>
              <w:t>电话</w:t>
            </w:r>
          </w:p>
        </w:tc>
        <w:tc>
          <w:tcPr>
            <w:tcW w:w="2232" w:type="dxa"/>
          </w:tcPr>
          <w:p w:rsidR="008711D3" w:rsidRDefault="004479D9">
            <w:pPr>
              <w:spacing w:line="360" w:lineRule="auto"/>
              <w:rPr>
                <w:rFonts w:ascii="宋体" w:hAnsi="宋体"/>
                <w:szCs w:val="21"/>
              </w:rPr>
            </w:pPr>
            <w:r>
              <w:rPr>
                <w:rFonts w:ascii="宋体" w:hAnsi="宋体" w:hint="eastAsia"/>
                <w:szCs w:val="21"/>
              </w:rPr>
              <w:t>（021）</w:t>
            </w:r>
            <w:r>
              <w:rPr>
                <w:rFonts w:ascii="宋体" w:hAnsi="宋体" w:hint="eastAsia"/>
                <w:color w:val="050505"/>
                <w:szCs w:val="21"/>
              </w:rPr>
              <w:t>51150298</w:t>
            </w:r>
          </w:p>
        </w:tc>
        <w:tc>
          <w:tcPr>
            <w:tcW w:w="1080" w:type="dxa"/>
          </w:tcPr>
          <w:p w:rsidR="008711D3" w:rsidRDefault="004479D9">
            <w:pPr>
              <w:spacing w:line="360" w:lineRule="auto"/>
              <w:rPr>
                <w:rFonts w:ascii="宋体" w:hAnsi="宋体"/>
                <w:szCs w:val="21"/>
              </w:rPr>
            </w:pPr>
            <w:r>
              <w:rPr>
                <w:rFonts w:ascii="宋体" w:hAnsi="宋体" w:hint="eastAsia"/>
                <w:szCs w:val="21"/>
              </w:rPr>
              <w:t>传真</w:t>
            </w:r>
          </w:p>
        </w:tc>
        <w:tc>
          <w:tcPr>
            <w:tcW w:w="2581" w:type="dxa"/>
          </w:tcPr>
          <w:p w:rsidR="008711D3" w:rsidRDefault="004479D9">
            <w:pPr>
              <w:spacing w:line="360" w:lineRule="auto"/>
              <w:rPr>
                <w:rFonts w:ascii="宋体" w:hAnsi="宋体"/>
                <w:szCs w:val="21"/>
              </w:rPr>
            </w:pPr>
            <w:r>
              <w:rPr>
                <w:rFonts w:ascii="宋体" w:hAnsi="宋体" w:hint="eastAsia"/>
                <w:szCs w:val="21"/>
              </w:rPr>
              <w:t>（021）</w:t>
            </w:r>
            <w:r>
              <w:rPr>
                <w:rFonts w:ascii="宋体" w:hAnsi="宋体" w:hint="eastAsia"/>
                <w:color w:val="050505"/>
                <w:szCs w:val="21"/>
              </w:rPr>
              <w:t xml:space="preserve"> 51150398</w:t>
            </w:r>
          </w:p>
        </w:tc>
      </w:tr>
      <w:tr w:rsidR="008711D3">
        <w:tc>
          <w:tcPr>
            <w:tcW w:w="1728" w:type="dxa"/>
          </w:tcPr>
          <w:p w:rsidR="008711D3" w:rsidRDefault="004479D9">
            <w:pPr>
              <w:spacing w:line="360" w:lineRule="auto"/>
              <w:rPr>
                <w:rFonts w:ascii="宋体" w:hAnsi="宋体" w:cs="Arial"/>
                <w:spacing w:val="6"/>
                <w:szCs w:val="21"/>
              </w:rPr>
            </w:pPr>
            <w:r>
              <w:rPr>
                <w:rFonts w:ascii="宋体" w:hAnsi="宋体" w:cs="Arial" w:hint="eastAsia"/>
                <w:spacing w:val="6"/>
                <w:szCs w:val="21"/>
              </w:rPr>
              <w:t>经办律师</w:t>
            </w:r>
          </w:p>
        </w:tc>
        <w:tc>
          <w:tcPr>
            <w:tcW w:w="5893" w:type="dxa"/>
            <w:gridSpan w:val="3"/>
          </w:tcPr>
          <w:p w:rsidR="008711D3" w:rsidRDefault="004479D9">
            <w:pPr>
              <w:spacing w:line="360" w:lineRule="auto"/>
              <w:rPr>
                <w:rFonts w:ascii="宋体" w:hAnsi="宋体"/>
                <w:szCs w:val="21"/>
              </w:rPr>
            </w:pPr>
            <w:r>
              <w:rPr>
                <w:rFonts w:ascii="宋体" w:hAnsi="宋体" w:hint="eastAsia"/>
                <w:color w:val="000000"/>
                <w:szCs w:val="21"/>
              </w:rPr>
              <w:t>刘佳、</w:t>
            </w:r>
            <w:r>
              <w:rPr>
                <w:rFonts w:ascii="宋体" w:hAnsi="宋体"/>
                <w:color w:val="000000"/>
                <w:szCs w:val="21"/>
              </w:rPr>
              <w:t>范佳斐</w:t>
            </w:r>
          </w:p>
        </w:tc>
      </w:tr>
    </w:tbl>
    <w:p w:rsidR="008711D3" w:rsidRDefault="004479D9">
      <w:pPr>
        <w:spacing w:line="360" w:lineRule="auto"/>
        <w:rPr>
          <w:rFonts w:ascii="宋体" w:hAnsi="宋体"/>
          <w:b/>
          <w:bCs/>
          <w:szCs w:val="21"/>
        </w:rPr>
      </w:pPr>
      <w:r>
        <w:rPr>
          <w:rFonts w:ascii="宋体" w:hAnsi="宋体" w:hint="eastAsia"/>
          <w:b/>
          <w:bCs/>
          <w:szCs w:val="21"/>
        </w:rPr>
        <w:t>（四）审计基金财产的会计师事务所</w:t>
      </w:r>
    </w:p>
    <w:tbl>
      <w:tblPr>
        <w:tblW w:w="0" w:type="auto"/>
        <w:jc w:val="center"/>
        <w:tblCellMar>
          <w:left w:w="0" w:type="dxa"/>
          <w:right w:w="0" w:type="dxa"/>
        </w:tblCellMar>
        <w:tblLook w:val="04A0" w:firstRow="1" w:lastRow="0" w:firstColumn="1" w:lastColumn="0" w:noHBand="0" w:noVBand="1"/>
      </w:tblPr>
      <w:tblGrid>
        <w:gridCol w:w="1996"/>
        <w:gridCol w:w="2667"/>
        <w:gridCol w:w="1315"/>
        <w:gridCol w:w="2308"/>
      </w:tblGrid>
      <w:tr w:rsidR="008711D3">
        <w:trPr>
          <w:trHeight w:val="357"/>
          <w:jc w:val="center"/>
        </w:trPr>
        <w:tc>
          <w:tcPr>
            <w:tcW w:w="23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711D3" w:rsidRDefault="004479D9">
            <w:pPr>
              <w:widowControl/>
              <w:spacing w:line="360" w:lineRule="auto"/>
              <w:ind w:left="31" w:right="-483"/>
              <w:rPr>
                <w:kern w:val="0"/>
                <w:szCs w:val="21"/>
              </w:rPr>
            </w:pPr>
            <w:r>
              <w:rPr>
                <w:rFonts w:ascii="宋体" w:hAnsi="宋体" w:hint="eastAsia"/>
                <w:kern w:val="0"/>
                <w:szCs w:val="21"/>
              </w:rPr>
              <w:t>名称</w:t>
            </w:r>
          </w:p>
        </w:tc>
        <w:tc>
          <w:tcPr>
            <w:tcW w:w="71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711D3" w:rsidRDefault="004479D9">
            <w:pPr>
              <w:widowControl/>
              <w:spacing w:line="360" w:lineRule="auto"/>
              <w:ind w:left="31" w:right="-483"/>
              <w:rPr>
                <w:kern w:val="0"/>
                <w:szCs w:val="21"/>
              </w:rPr>
            </w:pPr>
            <w:r>
              <w:rPr>
                <w:rFonts w:ascii="宋体" w:hAnsi="宋体" w:hint="eastAsia"/>
                <w:kern w:val="0"/>
                <w:szCs w:val="21"/>
              </w:rPr>
              <w:t>安永华明会计师事务所（特殊普通合伙）</w:t>
            </w:r>
          </w:p>
        </w:tc>
      </w:tr>
      <w:tr w:rsidR="008711D3">
        <w:trPr>
          <w:trHeight w:val="714"/>
          <w:jc w:val="center"/>
        </w:trPr>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711D3" w:rsidRDefault="004479D9">
            <w:pPr>
              <w:widowControl/>
              <w:spacing w:line="360" w:lineRule="auto"/>
              <w:ind w:left="31" w:right="-483"/>
              <w:rPr>
                <w:kern w:val="0"/>
                <w:szCs w:val="21"/>
              </w:rPr>
            </w:pPr>
            <w:r>
              <w:rPr>
                <w:rFonts w:ascii="宋体" w:hAnsi="宋体" w:hint="eastAsia"/>
                <w:kern w:val="0"/>
                <w:szCs w:val="21"/>
              </w:rPr>
              <w:t>住所及办公地址</w:t>
            </w:r>
          </w:p>
        </w:tc>
        <w:tc>
          <w:tcPr>
            <w:tcW w:w="719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8711D3" w:rsidRDefault="004479D9">
            <w:pPr>
              <w:widowControl/>
              <w:spacing w:line="360" w:lineRule="auto"/>
              <w:ind w:left="31" w:right="-483"/>
              <w:rPr>
                <w:kern w:val="0"/>
                <w:szCs w:val="21"/>
              </w:rPr>
            </w:pPr>
            <w:r>
              <w:rPr>
                <w:rFonts w:ascii="宋体" w:hAnsi="宋体" w:hint="eastAsia"/>
                <w:kern w:val="0"/>
                <w:szCs w:val="21"/>
              </w:rPr>
              <w:t>北京市东城区东长安街</w:t>
            </w:r>
            <w:r>
              <w:rPr>
                <w:kern w:val="0"/>
                <w:szCs w:val="21"/>
              </w:rPr>
              <w:t>1</w:t>
            </w:r>
            <w:r>
              <w:rPr>
                <w:rFonts w:ascii="宋体" w:hAnsi="宋体" w:hint="eastAsia"/>
                <w:kern w:val="0"/>
                <w:szCs w:val="21"/>
              </w:rPr>
              <w:t>号东方广场安永大楼</w:t>
            </w:r>
            <w:r>
              <w:rPr>
                <w:kern w:val="0"/>
                <w:szCs w:val="21"/>
              </w:rPr>
              <w:t>17</w:t>
            </w:r>
            <w:r>
              <w:rPr>
                <w:rFonts w:ascii="宋体" w:hAnsi="宋体" w:hint="eastAsia"/>
                <w:kern w:val="0"/>
                <w:szCs w:val="21"/>
              </w:rPr>
              <w:t>层</w:t>
            </w:r>
            <w:r>
              <w:rPr>
                <w:kern w:val="0"/>
                <w:szCs w:val="21"/>
              </w:rPr>
              <w:t>01-12</w:t>
            </w:r>
            <w:r>
              <w:rPr>
                <w:rFonts w:ascii="宋体" w:hAnsi="宋体" w:hint="eastAsia"/>
                <w:kern w:val="0"/>
                <w:szCs w:val="21"/>
              </w:rPr>
              <w:t>室</w:t>
            </w:r>
          </w:p>
        </w:tc>
      </w:tr>
      <w:tr w:rsidR="008711D3">
        <w:trPr>
          <w:trHeight w:val="357"/>
          <w:jc w:val="center"/>
        </w:trPr>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711D3" w:rsidRDefault="004479D9">
            <w:pPr>
              <w:widowControl/>
              <w:spacing w:line="360" w:lineRule="auto"/>
              <w:ind w:left="31" w:right="-483"/>
              <w:rPr>
                <w:kern w:val="0"/>
                <w:szCs w:val="21"/>
              </w:rPr>
            </w:pPr>
            <w:r>
              <w:rPr>
                <w:rFonts w:ascii="宋体" w:hAnsi="宋体" w:hint="eastAsia"/>
                <w:kern w:val="0"/>
                <w:szCs w:val="21"/>
              </w:rPr>
              <w:t>法定代表人</w:t>
            </w:r>
          </w:p>
        </w:tc>
        <w:tc>
          <w:tcPr>
            <w:tcW w:w="3057" w:type="dxa"/>
            <w:tcBorders>
              <w:top w:val="nil"/>
              <w:left w:val="nil"/>
              <w:bottom w:val="single" w:sz="8" w:space="0" w:color="auto"/>
              <w:right w:val="single" w:sz="8" w:space="0" w:color="auto"/>
            </w:tcBorders>
            <w:tcMar>
              <w:top w:w="0" w:type="dxa"/>
              <w:left w:w="108" w:type="dxa"/>
              <w:bottom w:w="0" w:type="dxa"/>
              <w:right w:w="108" w:type="dxa"/>
            </w:tcMar>
            <w:vAlign w:val="center"/>
          </w:tcPr>
          <w:p w:rsidR="008711D3" w:rsidRDefault="004479D9">
            <w:pPr>
              <w:widowControl/>
              <w:spacing w:line="360" w:lineRule="auto"/>
              <w:ind w:left="31" w:right="-483"/>
              <w:rPr>
                <w:kern w:val="0"/>
                <w:szCs w:val="21"/>
              </w:rPr>
            </w:pPr>
            <w:r>
              <w:rPr>
                <w:rFonts w:ascii="宋体" w:hAnsi="宋体" w:hint="eastAsia"/>
                <w:kern w:val="0"/>
                <w:szCs w:val="21"/>
              </w:rPr>
              <w:t>毛鞍宁</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tcPr>
          <w:p w:rsidR="008711D3" w:rsidRDefault="004479D9">
            <w:pPr>
              <w:widowControl/>
              <w:spacing w:line="360" w:lineRule="auto"/>
              <w:ind w:left="31" w:right="-483"/>
              <w:rPr>
                <w:kern w:val="0"/>
                <w:szCs w:val="21"/>
              </w:rPr>
            </w:pPr>
            <w:r>
              <w:rPr>
                <w:rFonts w:ascii="宋体" w:hAnsi="宋体" w:hint="eastAsia"/>
                <w:kern w:val="0"/>
                <w:szCs w:val="21"/>
              </w:rPr>
              <w:t>联系人</w:t>
            </w:r>
          </w:p>
        </w:tc>
        <w:tc>
          <w:tcPr>
            <w:tcW w:w="2608" w:type="dxa"/>
            <w:tcBorders>
              <w:top w:val="nil"/>
              <w:left w:val="nil"/>
              <w:bottom w:val="single" w:sz="8" w:space="0" w:color="auto"/>
              <w:right w:val="single" w:sz="8" w:space="0" w:color="auto"/>
            </w:tcBorders>
            <w:tcMar>
              <w:top w:w="0" w:type="dxa"/>
              <w:left w:w="108" w:type="dxa"/>
              <w:bottom w:w="0" w:type="dxa"/>
              <w:right w:w="108" w:type="dxa"/>
            </w:tcMar>
            <w:vAlign w:val="center"/>
          </w:tcPr>
          <w:p w:rsidR="008711D3" w:rsidRDefault="004479D9">
            <w:pPr>
              <w:widowControl/>
              <w:spacing w:line="360" w:lineRule="auto"/>
              <w:ind w:left="31" w:right="-483"/>
              <w:rPr>
                <w:kern w:val="0"/>
                <w:szCs w:val="21"/>
              </w:rPr>
            </w:pPr>
            <w:r>
              <w:rPr>
                <w:rFonts w:ascii="宋体" w:hAnsi="宋体" w:hint="eastAsia"/>
                <w:kern w:val="0"/>
                <w:szCs w:val="21"/>
              </w:rPr>
              <w:t>王珊珊</w:t>
            </w:r>
          </w:p>
        </w:tc>
      </w:tr>
      <w:tr w:rsidR="008711D3">
        <w:trPr>
          <w:trHeight w:val="357"/>
          <w:jc w:val="center"/>
        </w:trPr>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711D3" w:rsidRDefault="004479D9">
            <w:pPr>
              <w:widowControl/>
              <w:spacing w:line="360" w:lineRule="auto"/>
              <w:ind w:left="31" w:right="-483"/>
              <w:rPr>
                <w:kern w:val="0"/>
                <w:szCs w:val="21"/>
              </w:rPr>
            </w:pPr>
            <w:r>
              <w:rPr>
                <w:rFonts w:ascii="宋体" w:hAnsi="宋体" w:hint="eastAsia"/>
                <w:kern w:val="0"/>
                <w:szCs w:val="21"/>
              </w:rPr>
              <w:t>电话</w:t>
            </w:r>
          </w:p>
        </w:tc>
        <w:tc>
          <w:tcPr>
            <w:tcW w:w="3057" w:type="dxa"/>
            <w:tcBorders>
              <w:top w:val="nil"/>
              <w:left w:val="nil"/>
              <w:bottom w:val="single" w:sz="8" w:space="0" w:color="auto"/>
              <w:right w:val="single" w:sz="8" w:space="0" w:color="auto"/>
            </w:tcBorders>
            <w:tcMar>
              <w:top w:w="0" w:type="dxa"/>
              <w:left w:w="108" w:type="dxa"/>
              <w:bottom w:w="0" w:type="dxa"/>
              <w:right w:w="108" w:type="dxa"/>
            </w:tcMar>
            <w:vAlign w:val="center"/>
          </w:tcPr>
          <w:p w:rsidR="008711D3" w:rsidRDefault="004479D9">
            <w:pPr>
              <w:widowControl/>
              <w:spacing w:line="360" w:lineRule="auto"/>
              <w:ind w:left="31" w:right="-483"/>
              <w:rPr>
                <w:kern w:val="0"/>
                <w:szCs w:val="21"/>
              </w:rPr>
            </w:pPr>
            <w:r>
              <w:rPr>
                <w:rFonts w:ascii="宋体" w:hAnsi="宋体" w:hint="eastAsia"/>
                <w:kern w:val="0"/>
                <w:szCs w:val="21"/>
              </w:rPr>
              <w:t>（</w:t>
            </w:r>
            <w:r>
              <w:rPr>
                <w:kern w:val="0"/>
                <w:szCs w:val="21"/>
              </w:rPr>
              <w:t>010</w:t>
            </w:r>
            <w:r>
              <w:rPr>
                <w:rFonts w:ascii="宋体" w:hAnsi="宋体" w:hint="eastAsia"/>
                <w:kern w:val="0"/>
                <w:szCs w:val="21"/>
              </w:rPr>
              <w:t>）</w:t>
            </w:r>
            <w:r>
              <w:rPr>
                <w:kern w:val="0"/>
                <w:szCs w:val="21"/>
              </w:rPr>
              <w:t>58152145</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tcPr>
          <w:p w:rsidR="008711D3" w:rsidRDefault="004479D9">
            <w:pPr>
              <w:widowControl/>
              <w:spacing w:line="360" w:lineRule="auto"/>
              <w:ind w:left="31" w:right="-483"/>
              <w:rPr>
                <w:kern w:val="0"/>
                <w:szCs w:val="21"/>
              </w:rPr>
            </w:pPr>
            <w:r>
              <w:rPr>
                <w:rFonts w:ascii="宋体" w:hAnsi="宋体" w:hint="eastAsia"/>
                <w:kern w:val="0"/>
                <w:szCs w:val="21"/>
              </w:rPr>
              <w:t>传真</w:t>
            </w:r>
          </w:p>
        </w:tc>
        <w:tc>
          <w:tcPr>
            <w:tcW w:w="2608" w:type="dxa"/>
            <w:tcBorders>
              <w:top w:val="nil"/>
              <w:left w:val="nil"/>
              <w:bottom w:val="single" w:sz="8" w:space="0" w:color="auto"/>
              <w:right w:val="single" w:sz="8" w:space="0" w:color="auto"/>
            </w:tcBorders>
            <w:tcMar>
              <w:top w:w="0" w:type="dxa"/>
              <w:left w:w="108" w:type="dxa"/>
              <w:bottom w:w="0" w:type="dxa"/>
              <w:right w:w="108" w:type="dxa"/>
            </w:tcMar>
            <w:vAlign w:val="center"/>
          </w:tcPr>
          <w:p w:rsidR="008711D3" w:rsidRDefault="004479D9">
            <w:pPr>
              <w:widowControl/>
              <w:spacing w:line="360" w:lineRule="auto"/>
              <w:ind w:left="31" w:right="-483"/>
              <w:rPr>
                <w:kern w:val="0"/>
                <w:szCs w:val="21"/>
              </w:rPr>
            </w:pPr>
            <w:r>
              <w:rPr>
                <w:rFonts w:ascii="宋体" w:hAnsi="宋体" w:hint="eastAsia"/>
                <w:kern w:val="0"/>
                <w:szCs w:val="21"/>
              </w:rPr>
              <w:t>（</w:t>
            </w:r>
            <w:r>
              <w:rPr>
                <w:kern w:val="0"/>
                <w:szCs w:val="21"/>
              </w:rPr>
              <w:t>010</w:t>
            </w:r>
            <w:r>
              <w:rPr>
                <w:rFonts w:ascii="宋体" w:hAnsi="宋体" w:hint="eastAsia"/>
                <w:kern w:val="0"/>
                <w:szCs w:val="21"/>
              </w:rPr>
              <w:t>）</w:t>
            </w:r>
            <w:r>
              <w:rPr>
                <w:kern w:val="0"/>
                <w:szCs w:val="21"/>
              </w:rPr>
              <w:t>85188298</w:t>
            </w:r>
          </w:p>
        </w:tc>
      </w:tr>
      <w:tr w:rsidR="008711D3">
        <w:trPr>
          <w:trHeight w:val="357"/>
          <w:jc w:val="center"/>
        </w:trPr>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711D3" w:rsidRDefault="004479D9">
            <w:pPr>
              <w:widowControl/>
              <w:spacing w:line="360" w:lineRule="auto"/>
              <w:ind w:left="31" w:right="-483"/>
              <w:rPr>
                <w:kern w:val="0"/>
                <w:szCs w:val="21"/>
              </w:rPr>
            </w:pPr>
            <w:r>
              <w:rPr>
                <w:rFonts w:ascii="宋体" w:hAnsi="宋体" w:hint="eastAsia"/>
                <w:kern w:val="0"/>
                <w:szCs w:val="21"/>
              </w:rPr>
              <w:t>经办注册会计师</w:t>
            </w:r>
          </w:p>
        </w:tc>
        <w:tc>
          <w:tcPr>
            <w:tcW w:w="719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8711D3" w:rsidRDefault="004479D9">
            <w:pPr>
              <w:widowControl/>
              <w:spacing w:line="360" w:lineRule="auto"/>
              <w:ind w:left="31" w:right="-483"/>
              <w:rPr>
                <w:kern w:val="0"/>
                <w:szCs w:val="21"/>
              </w:rPr>
            </w:pPr>
            <w:r>
              <w:rPr>
                <w:rFonts w:ascii="宋体" w:hAnsi="宋体" w:hint="eastAsia"/>
                <w:kern w:val="0"/>
                <w:szCs w:val="21"/>
              </w:rPr>
              <w:t>王珊珊、贺耀</w:t>
            </w:r>
          </w:p>
        </w:tc>
      </w:tr>
    </w:tbl>
    <w:p w:rsidR="008711D3" w:rsidRDefault="008711D3">
      <w:pPr>
        <w:spacing w:line="360" w:lineRule="auto"/>
        <w:rPr>
          <w:rFonts w:ascii="宋体" w:hAnsi="宋体"/>
          <w:b/>
          <w:bCs/>
          <w:szCs w:val="21"/>
        </w:rPr>
      </w:pPr>
    </w:p>
    <w:p w:rsidR="008711D3" w:rsidRDefault="004479D9">
      <w:pPr>
        <w:pStyle w:val="1"/>
        <w:spacing w:before="340" w:after="330"/>
        <w:jc w:val="center"/>
        <w:rPr>
          <w:rFonts w:hAnsi="宋体"/>
          <w:bCs/>
          <w:color w:val="auto"/>
          <w:kern w:val="44"/>
          <w:sz w:val="21"/>
          <w:szCs w:val="21"/>
          <w:lang w:val="en-US"/>
        </w:rPr>
      </w:pPr>
      <w:r>
        <w:rPr>
          <w:rFonts w:hAnsi="宋体"/>
          <w:sz w:val="21"/>
          <w:szCs w:val="21"/>
          <w:lang w:val="en-US"/>
        </w:rPr>
        <w:br w:type="page"/>
      </w:r>
      <w:bookmarkStart w:id="61" w:name="_Toc71748064"/>
      <w:r>
        <w:rPr>
          <w:rFonts w:hAnsi="宋体" w:hint="eastAsia"/>
          <w:bCs/>
          <w:color w:val="auto"/>
          <w:kern w:val="44"/>
          <w:sz w:val="21"/>
          <w:szCs w:val="21"/>
        </w:rPr>
        <w:lastRenderedPageBreak/>
        <w:t>六、</w:t>
      </w:r>
      <w:bookmarkStart w:id="62" w:name="_Toc334542638"/>
      <w:bookmarkStart w:id="63" w:name="_Toc16920828"/>
      <w:bookmarkStart w:id="64" w:name="_Toc334542955"/>
      <w:bookmarkStart w:id="65" w:name="_Toc329187116"/>
      <w:bookmarkEnd w:id="58"/>
      <w:bookmarkEnd w:id="59"/>
      <w:r>
        <w:rPr>
          <w:rFonts w:hAnsi="宋体" w:hint="eastAsia"/>
          <w:bCs/>
          <w:color w:val="auto"/>
          <w:kern w:val="44"/>
          <w:sz w:val="21"/>
          <w:szCs w:val="21"/>
        </w:rPr>
        <w:t>基金的募集</w:t>
      </w:r>
      <w:bookmarkEnd w:id="61"/>
      <w:bookmarkEnd w:id="62"/>
      <w:bookmarkEnd w:id="63"/>
      <w:bookmarkEnd w:id="64"/>
      <w:bookmarkEnd w:id="65"/>
    </w:p>
    <w:p w:rsidR="008711D3" w:rsidRDefault="004479D9">
      <w:pPr>
        <w:spacing w:line="360" w:lineRule="auto"/>
        <w:rPr>
          <w:rFonts w:ascii="宋体" w:hAnsi="宋体"/>
          <w:b/>
          <w:bCs/>
          <w:szCs w:val="21"/>
        </w:rPr>
      </w:pPr>
      <w:r>
        <w:rPr>
          <w:rFonts w:ascii="宋体" w:hAnsi="宋体" w:hint="eastAsia"/>
          <w:b/>
          <w:bCs/>
          <w:szCs w:val="21"/>
        </w:rPr>
        <w:t>（一）基金募集的依据</w:t>
      </w:r>
    </w:p>
    <w:p w:rsidR="008711D3" w:rsidRDefault="004479D9">
      <w:pPr>
        <w:spacing w:line="360" w:lineRule="auto"/>
        <w:ind w:firstLineChars="200" w:firstLine="420"/>
        <w:rPr>
          <w:rFonts w:ascii="宋体" w:hAnsi="宋体"/>
          <w:szCs w:val="21"/>
        </w:rPr>
      </w:pPr>
      <w:r>
        <w:rPr>
          <w:rFonts w:ascii="宋体" w:hAnsi="宋体" w:hint="eastAsia"/>
          <w:szCs w:val="21"/>
        </w:rPr>
        <w:t>本基金由基金管理人依照《基金法》、《运作办法》、《销售办法》、基金合同及其他有关规定募集。本基金募集申请已经中国证监会</w:t>
      </w:r>
      <w:r w:rsidR="00CE3BC2">
        <w:rPr>
          <w:rFonts w:ascii="宋体" w:hAnsi="宋体"/>
          <w:szCs w:val="21"/>
        </w:rPr>
        <w:t>2021</w:t>
      </w:r>
      <w:r>
        <w:rPr>
          <w:rFonts w:ascii="宋体" w:hAnsi="宋体" w:hint="eastAsia"/>
          <w:szCs w:val="21"/>
        </w:rPr>
        <w:t>年</w:t>
      </w:r>
      <w:r w:rsidR="00CE3BC2">
        <w:rPr>
          <w:rFonts w:ascii="宋体" w:hAnsi="宋体"/>
          <w:szCs w:val="21"/>
        </w:rPr>
        <w:t>4</w:t>
      </w:r>
      <w:r>
        <w:rPr>
          <w:rFonts w:ascii="宋体" w:hAnsi="宋体" w:hint="eastAsia"/>
          <w:szCs w:val="21"/>
        </w:rPr>
        <w:t>月</w:t>
      </w:r>
      <w:r w:rsidR="00CE3BC2">
        <w:rPr>
          <w:rFonts w:ascii="宋体" w:hAnsi="宋体"/>
          <w:szCs w:val="21"/>
        </w:rPr>
        <w:t>26</w:t>
      </w:r>
      <w:r>
        <w:rPr>
          <w:rFonts w:ascii="宋体" w:hAnsi="宋体" w:hint="eastAsia"/>
          <w:szCs w:val="21"/>
        </w:rPr>
        <w:t>日证监许可</w:t>
      </w:r>
      <w:r w:rsidR="00CE3BC2">
        <w:rPr>
          <w:rFonts w:ascii="宋体" w:hAnsi="宋体"/>
          <w:szCs w:val="21"/>
        </w:rPr>
        <w:t>[2021]1461</w:t>
      </w:r>
      <w:r>
        <w:rPr>
          <w:rFonts w:ascii="宋体" w:hAnsi="宋体" w:hint="eastAsia"/>
          <w:szCs w:val="21"/>
        </w:rPr>
        <w:t>号文注册。</w:t>
      </w:r>
    </w:p>
    <w:p w:rsidR="008711D3" w:rsidRDefault="004479D9">
      <w:pPr>
        <w:spacing w:line="360" w:lineRule="auto"/>
        <w:rPr>
          <w:rFonts w:ascii="宋体" w:hAnsi="宋体"/>
          <w:b/>
          <w:bCs/>
          <w:szCs w:val="21"/>
        </w:rPr>
      </w:pPr>
      <w:r>
        <w:rPr>
          <w:rFonts w:ascii="宋体" w:hAnsi="宋体" w:hint="eastAsia"/>
          <w:b/>
          <w:bCs/>
          <w:szCs w:val="21"/>
        </w:rPr>
        <w:t>（二）基金类型和存续期间</w:t>
      </w:r>
    </w:p>
    <w:p w:rsidR="008711D3" w:rsidRDefault="004479D9">
      <w:pPr>
        <w:autoSpaceDE w:val="0"/>
        <w:autoSpaceDN w:val="0"/>
        <w:adjustRightIn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、基金的类别：混合型证券投资基金。</w:t>
      </w:r>
    </w:p>
    <w:p w:rsidR="008711D3" w:rsidRDefault="004479D9">
      <w:pPr>
        <w:autoSpaceDE w:val="0"/>
        <w:autoSpaceDN w:val="0"/>
        <w:adjustRightInd w:val="0"/>
        <w:spacing w:line="360" w:lineRule="auto"/>
        <w:ind w:firstLineChars="200" w:firstLine="420"/>
        <w:rPr>
          <w:rFonts w:ascii="宋体" w:hAnsi="宋体"/>
          <w:szCs w:val="21"/>
        </w:rPr>
      </w:pPr>
      <w:r>
        <w:rPr>
          <w:rFonts w:ascii="宋体" w:hAnsi="宋体"/>
          <w:szCs w:val="21"/>
        </w:rPr>
        <w:t>2</w:t>
      </w:r>
      <w:r>
        <w:rPr>
          <w:rFonts w:ascii="宋体" w:hAnsi="宋体" w:hint="eastAsia"/>
          <w:szCs w:val="21"/>
        </w:rPr>
        <w:t>、基金的运作方式：契约型开放式。</w:t>
      </w:r>
    </w:p>
    <w:p w:rsidR="008711D3" w:rsidRDefault="004479D9">
      <w:pPr>
        <w:autoSpaceDE w:val="0"/>
        <w:autoSpaceDN w:val="0"/>
        <w:adjustRightInd w:val="0"/>
        <w:spacing w:line="360" w:lineRule="auto"/>
        <w:ind w:firstLineChars="200" w:firstLine="420"/>
        <w:rPr>
          <w:rFonts w:ascii="宋体" w:hAnsi="宋体"/>
          <w:szCs w:val="21"/>
        </w:rPr>
      </w:pPr>
      <w:r>
        <w:rPr>
          <w:rFonts w:ascii="宋体" w:hAnsi="宋体"/>
          <w:szCs w:val="21"/>
        </w:rPr>
        <w:t>3</w:t>
      </w:r>
      <w:r>
        <w:rPr>
          <w:rFonts w:ascii="宋体" w:hAnsi="宋体" w:hint="eastAsia"/>
          <w:szCs w:val="21"/>
        </w:rPr>
        <w:t>、基金存续期间：不定期。</w:t>
      </w:r>
    </w:p>
    <w:p w:rsidR="008711D3" w:rsidRDefault="004479D9">
      <w:pPr>
        <w:autoSpaceDE w:val="0"/>
        <w:autoSpaceDN w:val="0"/>
        <w:adjustRightInd w:val="0"/>
        <w:spacing w:line="360" w:lineRule="auto"/>
        <w:rPr>
          <w:rFonts w:ascii="宋体" w:hAnsi="宋体"/>
          <w:b/>
          <w:szCs w:val="21"/>
        </w:rPr>
      </w:pPr>
      <w:r>
        <w:rPr>
          <w:rFonts w:ascii="宋体" w:hAnsi="宋体" w:hint="eastAsia"/>
          <w:b/>
          <w:szCs w:val="21"/>
        </w:rPr>
        <w:t>（三）基金份额类别</w:t>
      </w:r>
    </w:p>
    <w:p w:rsidR="008711D3" w:rsidRDefault="004479D9">
      <w:pPr>
        <w:autoSpaceDE w:val="0"/>
        <w:autoSpaceDN w:val="0"/>
        <w:adjustRightInd w:val="0"/>
        <w:spacing w:line="360" w:lineRule="auto"/>
        <w:ind w:firstLine="420"/>
        <w:rPr>
          <w:rFonts w:ascii="宋体" w:hAnsi="宋体"/>
          <w:bCs/>
          <w:szCs w:val="21"/>
        </w:rPr>
      </w:pPr>
      <w:r>
        <w:rPr>
          <w:rFonts w:ascii="宋体" w:hAnsi="宋体" w:hint="eastAsia"/>
          <w:bCs/>
          <w:szCs w:val="21"/>
        </w:rPr>
        <w:t>本基金根据认购/申购费用、销售服务费用收取方式的不同，将基金份额分为不同的类别。在投资人认购/申购基金份额时收取认购/申购费用，并不再从本类别基金资产中计提销售服务费的基金份额，称为A类基金份额；从本类别基金资产中计提销售服务费，并不收取认购/申购费用的基金份额，称为C类基金份额。相关费率的设置及费率水平在本基金招募说明书或相关公告中列示。</w:t>
      </w:r>
    </w:p>
    <w:p w:rsidR="008711D3" w:rsidRDefault="004479D9">
      <w:pPr>
        <w:autoSpaceDE w:val="0"/>
        <w:autoSpaceDN w:val="0"/>
        <w:adjustRightInd w:val="0"/>
        <w:spacing w:line="360" w:lineRule="auto"/>
        <w:ind w:firstLine="420"/>
        <w:rPr>
          <w:rFonts w:ascii="宋体" w:hAnsi="宋体"/>
          <w:bCs/>
          <w:szCs w:val="21"/>
        </w:rPr>
      </w:pPr>
      <w:r>
        <w:rPr>
          <w:rFonts w:ascii="宋体" w:hAnsi="宋体" w:hint="eastAsia"/>
          <w:bCs/>
          <w:szCs w:val="21"/>
        </w:rPr>
        <w:t>本基金各类基金份额分别设置代码，合并投资运作，分别计算和公告各类基金份额净值和基金份额累计净值。</w:t>
      </w:r>
    </w:p>
    <w:p w:rsidR="008711D3" w:rsidRDefault="004479D9">
      <w:pPr>
        <w:autoSpaceDE w:val="0"/>
        <w:autoSpaceDN w:val="0"/>
        <w:adjustRightInd w:val="0"/>
        <w:spacing w:line="360" w:lineRule="auto"/>
        <w:ind w:firstLine="420"/>
        <w:rPr>
          <w:rFonts w:ascii="宋体" w:hAnsi="宋体"/>
          <w:bCs/>
          <w:szCs w:val="21"/>
        </w:rPr>
      </w:pPr>
      <w:r>
        <w:rPr>
          <w:rFonts w:ascii="宋体" w:hAnsi="宋体" w:hint="eastAsia"/>
          <w:bCs/>
          <w:szCs w:val="21"/>
        </w:rPr>
        <w:t>投资人在认购/申购基金份额时可自行选择认购/申购的基金份额类别。本基金不同基金份额类别之间不得相互转换。</w:t>
      </w:r>
    </w:p>
    <w:p w:rsidR="008711D3" w:rsidRDefault="004479D9">
      <w:pPr>
        <w:spacing w:line="360" w:lineRule="auto"/>
        <w:ind w:firstLineChars="202" w:firstLine="424"/>
        <w:rPr>
          <w:rFonts w:ascii="宋体" w:hAnsi="宋体"/>
          <w:szCs w:val="21"/>
        </w:rPr>
      </w:pPr>
      <w:r>
        <w:rPr>
          <w:rFonts w:ascii="宋体" w:hAnsi="宋体" w:hint="eastAsia"/>
          <w:szCs w:val="21"/>
        </w:rPr>
        <w:t>在不违反法律法规规定且对基金份额持有人利益无实质不利影响的前提下，基金管理人可为本基金增设新的基金份额类别并设置相应费率、减少或调整基金份额类别设置、对基金份额分类办法及规则进行调整，无需召开基金份额持有人大会审议决定。基金管理人应在调整实施日前依照《信息披露办法》的有关规定在规定媒介上公告。</w:t>
      </w:r>
    </w:p>
    <w:p w:rsidR="008711D3" w:rsidRDefault="004479D9">
      <w:pPr>
        <w:spacing w:line="360" w:lineRule="auto"/>
        <w:rPr>
          <w:rFonts w:ascii="宋体" w:hAnsi="宋体"/>
          <w:b/>
          <w:bCs/>
          <w:szCs w:val="21"/>
        </w:rPr>
      </w:pPr>
      <w:r>
        <w:rPr>
          <w:rFonts w:ascii="宋体" w:hAnsi="宋体" w:hint="eastAsia"/>
          <w:b/>
          <w:bCs/>
          <w:szCs w:val="21"/>
        </w:rPr>
        <w:t>（四）基金份额的募集期限、募集方式及场所、募集对象、募集目标</w:t>
      </w:r>
    </w:p>
    <w:p w:rsidR="008711D3" w:rsidRDefault="004479D9">
      <w:pPr>
        <w:autoSpaceDE w:val="0"/>
        <w:autoSpaceDN w:val="0"/>
        <w:adjustRightInd w:val="0"/>
        <w:spacing w:line="360" w:lineRule="auto"/>
        <w:ind w:firstLineChars="194" w:firstLine="407"/>
        <w:rPr>
          <w:rFonts w:ascii="宋体" w:hAnsi="宋体"/>
          <w:color w:val="000000"/>
          <w:kern w:val="0"/>
          <w:szCs w:val="21"/>
        </w:rPr>
      </w:pPr>
      <w:r>
        <w:rPr>
          <w:rFonts w:ascii="宋体" w:hAnsi="宋体" w:hint="eastAsia"/>
          <w:color w:val="000000"/>
          <w:kern w:val="0"/>
          <w:szCs w:val="21"/>
        </w:rPr>
        <w:t>1、募集期限：具体发售时间由基金管理人根据相关法律法规以及基金合同的规定确定，并在基金份额发售公告中披露。</w:t>
      </w:r>
    </w:p>
    <w:p w:rsidR="008711D3" w:rsidRDefault="004479D9">
      <w:pPr>
        <w:autoSpaceDE w:val="0"/>
        <w:autoSpaceDN w:val="0"/>
        <w:adjustRightInd w:val="0"/>
        <w:spacing w:line="360" w:lineRule="auto"/>
        <w:ind w:firstLineChars="194" w:firstLine="407"/>
        <w:rPr>
          <w:rFonts w:ascii="宋体" w:hAnsi="宋体"/>
          <w:color w:val="000000"/>
          <w:kern w:val="0"/>
          <w:szCs w:val="21"/>
        </w:rPr>
      </w:pPr>
      <w:r>
        <w:rPr>
          <w:rFonts w:ascii="宋体" w:hAnsi="宋体" w:hint="eastAsia"/>
          <w:color w:val="000000"/>
          <w:kern w:val="0"/>
          <w:szCs w:val="21"/>
        </w:rPr>
        <w:t>根据《运作办法》的规定，如果本基金在上述时间段内未达到基金合同生效的法定条件、或基金管理人根据市场情况需要延长基金份额发售的时间，本基金可延长募集时间，但募集期限自基金份额发售之日起最长不超过</w:t>
      </w:r>
      <w:r>
        <w:rPr>
          <w:rFonts w:ascii="宋体" w:hAnsi="宋体"/>
          <w:color w:val="000000"/>
          <w:kern w:val="0"/>
          <w:szCs w:val="21"/>
        </w:rPr>
        <w:t>3</w:t>
      </w:r>
      <w:r>
        <w:rPr>
          <w:rFonts w:ascii="宋体" w:hAnsi="宋体" w:hint="eastAsia"/>
          <w:color w:val="000000"/>
          <w:kern w:val="0"/>
          <w:szCs w:val="21"/>
        </w:rPr>
        <w:t>个月。</w:t>
      </w:r>
    </w:p>
    <w:p w:rsidR="008711D3" w:rsidRDefault="004479D9">
      <w:pPr>
        <w:spacing w:line="360" w:lineRule="auto"/>
        <w:ind w:firstLineChars="200" w:firstLine="420"/>
        <w:rPr>
          <w:rFonts w:ascii="宋体" w:hAnsi="宋体"/>
          <w:szCs w:val="21"/>
        </w:rPr>
      </w:pPr>
      <w:r>
        <w:rPr>
          <w:rFonts w:ascii="宋体" w:hAnsi="宋体" w:hint="eastAsia"/>
          <w:szCs w:val="21"/>
        </w:rPr>
        <w:lastRenderedPageBreak/>
        <w:t>2、募集方式及场所</w:t>
      </w:r>
    </w:p>
    <w:p w:rsidR="008711D3" w:rsidRDefault="004479D9">
      <w:pPr>
        <w:spacing w:line="360" w:lineRule="auto"/>
        <w:ind w:firstLineChars="200" w:firstLine="420"/>
        <w:rPr>
          <w:rFonts w:ascii="宋体" w:hAnsi="宋体"/>
          <w:bCs/>
          <w:szCs w:val="21"/>
        </w:rPr>
      </w:pPr>
      <w:r>
        <w:rPr>
          <w:rFonts w:ascii="宋体" w:hAnsi="宋体" w:hint="eastAsia"/>
          <w:bCs/>
          <w:szCs w:val="21"/>
        </w:rPr>
        <w:t>本基金通过销售机构公开发售。销售机构的具体名单见基金份额发售公告或基金管理人网站列明。基金管理人可不时变更或增减销售机构，并在基金管理人网站公示。</w:t>
      </w:r>
    </w:p>
    <w:p w:rsidR="008711D3" w:rsidRDefault="004479D9">
      <w:pPr>
        <w:spacing w:line="360" w:lineRule="auto"/>
        <w:ind w:firstLineChars="200" w:firstLine="420"/>
        <w:rPr>
          <w:rFonts w:ascii="宋体" w:hAnsi="宋体"/>
          <w:bCs/>
          <w:szCs w:val="21"/>
        </w:rPr>
      </w:pPr>
      <w:r>
        <w:rPr>
          <w:rFonts w:ascii="宋体" w:hAnsi="宋体" w:hint="eastAsia"/>
          <w:bCs/>
          <w:szCs w:val="21"/>
        </w:rPr>
        <w:t>3、募集对象</w:t>
      </w:r>
    </w:p>
    <w:p w:rsidR="008711D3" w:rsidRDefault="004479D9">
      <w:pPr>
        <w:spacing w:line="360" w:lineRule="auto"/>
        <w:ind w:firstLineChars="200" w:firstLine="420"/>
        <w:rPr>
          <w:rFonts w:ascii="宋体" w:hAnsi="宋体"/>
          <w:bCs/>
          <w:szCs w:val="21"/>
        </w:rPr>
      </w:pPr>
      <w:r>
        <w:rPr>
          <w:rFonts w:ascii="宋体" w:hAnsi="宋体" w:hint="eastAsia"/>
          <w:bCs/>
          <w:szCs w:val="21"/>
        </w:rPr>
        <w:t>符合法律法规规定的可投资于证券投资基金的个人投资者、机构投资者、合格境外投资者以及法律法规或中国证监会允许购买证券投资基金的其他投资人。</w:t>
      </w:r>
    </w:p>
    <w:p w:rsidR="008711D3" w:rsidRDefault="004479D9">
      <w:pPr>
        <w:spacing w:line="360" w:lineRule="auto"/>
        <w:ind w:firstLineChars="200" w:firstLine="420"/>
        <w:rPr>
          <w:rFonts w:ascii="宋体" w:hAnsi="宋体"/>
          <w:bCs/>
          <w:szCs w:val="21"/>
        </w:rPr>
      </w:pPr>
      <w:r>
        <w:rPr>
          <w:rFonts w:ascii="宋体" w:hAnsi="宋体" w:hint="eastAsia"/>
          <w:bCs/>
          <w:szCs w:val="21"/>
        </w:rPr>
        <w:t>4、募集目标</w:t>
      </w:r>
    </w:p>
    <w:p w:rsidR="008711D3" w:rsidRDefault="004479D9">
      <w:pPr>
        <w:spacing w:line="360" w:lineRule="auto"/>
        <w:ind w:firstLineChars="200" w:firstLine="420"/>
        <w:rPr>
          <w:rFonts w:ascii="宋体" w:hAnsi="宋体"/>
          <w:bCs/>
          <w:szCs w:val="21"/>
        </w:rPr>
      </w:pPr>
      <w:r>
        <w:rPr>
          <w:rFonts w:ascii="宋体" w:hAnsi="宋体" w:hint="eastAsia"/>
          <w:bCs/>
          <w:szCs w:val="21"/>
        </w:rPr>
        <w:t>本基金不设募集目标。</w:t>
      </w:r>
    </w:p>
    <w:p w:rsidR="008711D3" w:rsidRDefault="004479D9">
      <w:pPr>
        <w:spacing w:line="360" w:lineRule="auto"/>
        <w:ind w:firstLineChars="200" w:firstLine="420"/>
        <w:rPr>
          <w:rFonts w:ascii="宋体" w:hAnsi="宋体"/>
          <w:bCs/>
          <w:szCs w:val="21"/>
        </w:rPr>
      </w:pPr>
      <w:r>
        <w:rPr>
          <w:rFonts w:ascii="宋体" w:hAnsi="宋体" w:hint="eastAsia"/>
          <w:bCs/>
        </w:rPr>
        <w:t>基金管理人可以对募集期间的本基金募集规模设置上限。募集期内超过募集规模上限时，基金管理人可以采用比例确认或其他方式进行确认，具体办法参见基金份额发售公告。</w:t>
      </w:r>
    </w:p>
    <w:p w:rsidR="008711D3" w:rsidRDefault="004479D9">
      <w:pPr>
        <w:spacing w:line="360" w:lineRule="auto"/>
        <w:rPr>
          <w:rFonts w:ascii="宋体" w:hAnsi="宋体"/>
          <w:b/>
          <w:bCs/>
          <w:szCs w:val="21"/>
        </w:rPr>
      </w:pPr>
      <w:r>
        <w:rPr>
          <w:rFonts w:ascii="宋体" w:hAnsi="宋体" w:hint="eastAsia"/>
          <w:b/>
          <w:bCs/>
          <w:szCs w:val="21"/>
        </w:rPr>
        <w:t>（五）基金的认购</w:t>
      </w:r>
    </w:p>
    <w:p w:rsidR="008711D3" w:rsidRDefault="004479D9">
      <w:pPr>
        <w:spacing w:line="360" w:lineRule="auto"/>
        <w:ind w:firstLineChars="200" w:firstLine="420"/>
        <w:rPr>
          <w:rFonts w:ascii="宋体" w:hAnsi="宋体"/>
          <w:bCs/>
          <w:szCs w:val="21"/>
        </w:rPr>
      </w:pPr>
      <w:r>
        <w:rPr>
          <w:rFonts w:ascii="宋体" w:hAnsi="宋体" w:hint="eastAsia"/>
          <w:bCs/>
          <w:szCs w:val="21"/>
        </w:rPr>
        <w:t>1、认购程序：投资者认购时间安排、认购时应提交的文件和办理的手续，详见本基金的基金份额发售公告。</w:t>
      </w:r>
    </w:p>
    <w:p w:rsidR="008711D3" w:rsidRDefault="004479D9">
      <w:pPr>
        <w:spacing w:line="360" w:lineRule="auto"/>
        <w:ind w:firstLineChars="200" w:firstLine="420"/>
        <w:rPr>
          <w:rFonts w:ascii="宋体" w:hAnsi="宋体"/>
          <w:bCs/>
          <w:szCs w:val="21"/>
        </w:rPr>
      </w:pPr>
      <w:r>
        <w:rPr>
          <w:rFonts w:ascii="宋体" w:hAnsi="宋体" w:hint="eastAsia"/>
          <w:bCs/>
          <w:szCs w:val="21"/>
        </w:rPr>
        <w:t>2、认购方式及确认：</w:t>
      </w:r>
    </w:p>
    <w:p w:rsidR="008711D3" w:rsidRDefault="004479D9">
      <w:pPr>
        <w:spacing w:line="360" w:lineRule="auto"/>
        <w:ind w:firstLineChars="200" w:firstLine="420"/>
        <w:rPr>
          <w:rFonts w:ascii="宋体" w:hAnsi="宋体"/>
          <w:bCs/>
          <w:szCs w:val="21"/>
        </w:rPr>
      </w:pPr>
      <w:r>
        <w:rPr>
          <w:rFonts w:ascii="宋体" w:hAnsi="宋体" w:hint="eastAsia"/>
          <w:bCs/>
          <w:szCs w:val="21"/>
        </w:rPr>
        <w:t>（1）本基金认购采取金额认购的方式。</w:t>
      </w:r>
    </w:p>
    <w:p w:rsidR="008711D3" w:rsidRDefault="004479D9">
      <w:pPr>
        <w:spacing w:line="360" w:lineRule="auto"/>
        <w:ind w:firstLineChars="200" w:firstLine="420"/>
        <w:rPr>
          <w:rFonts w:ascii="宋体" w:hAnsi="宋体"/>
          <w:bCs/>
          <w:szCs w:val="21"/>
        </w:rPr>
      </w:pPr>
      <w:r>
        <w:rPr>
          <w:rFonts w:ascii="宋体" w:hAnsi="宋体" w:hint="eastAsia"/>
          <w:bCs/>
          <w:szCs w:val="21"/>
        </w:rPr>
        <w:t>（2）投资者按照基金合同的约定提交认购申请并交纳认购基金份额的款项时，基金合同成立，基金管理人按照规定办理完毕基金募集的备案手续并获中国证监会书面确认之日起，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rsidR="008711D3" w:rsidRDefault="004479D9">
      <w:pPr>
        <w:spacing w:line="360" w:lineRule="auto"/>
        <w:ind w:firstLineChars="200" w:firstLine="420"/>
        <w:rPr>
          <w:rFonts w:ascii="宋体" w:hAnsi="宋体"/>
          <w:bCs/>
          <w:szCs w:val="21"/>
        </w:rPr>
      </w:pPr>
      <w:r>
        <w:rPr>
          <w:rFonts w:ascii="宋体" w:hAnsi="宋体" w:hint="eastAsia"/>
          <w:bCs/>
          <w:szCs w:val="21"/>
        </w:rPr>
        <w:t>（3）投资人在募集期内可以多次认购基金份额，但已受理的认购申请非经登记机构同意不得撤销。</w:t>
      </w:r>
    </w:p>
    <w:p w:rsidR="008711D3" w:rsidRDefault="004479D9">
      <w:pPr>
        <w:spacing w:line="360" w:lineRule="auto"/>
        <w:ind w:firstLineChars="200" w:firstLine="420"/>
        <w:rPr>
          <w:rFonts w:ascii="宋体" w:hAnsi="宋体"/>
          <w:bCs/>
          <w:szCs w:val="21"/>
        </w:rPr>
      </w:pPr>
      <w:r>
        <w:rPr>
          <w:rFonts w:ascii="宋体" w:hAnsi="宋体"/>
          <w:bCs/>
          <w:szCs w:val="21"/>
        </w:rPr>
        <w:t>3、基金认购金额的限制：</w:t>
      </w:r>
    </w:p>
    <w:p w:rsidR="008711D3" w:rsidRDefault="004479D9">
      <w:pPr>
        <w:pStyle w:val="a3"/>
        <w:spacing w:line="360" w:lineRule="auto"/>
        <w:rPr>
          <w:rFonts w:ascii="宋体" w:hAnsi="宋体"/>
          <w:bCs/>
          <w:szCs w:val="21"/>
        </w:rPr>
      </w:pPr>
      <w:r>
        <w:rPr>
          <w:rFonts w:ascii="宋体" w:hAnsi="宋体" w:hint="eastAsia"/>
          <w:bCs/>
          <w:szCs w:val="21"/>
        </w:rPr>
        <w:t>（1）在募集期内，投资者可多次认购，对单一投资者在认购期间累计认购份额不设上限，但单一投资者经登记机构确认的认购份额不得达到或者超过本基金确认总份额的50%，且不得变相规避50%集中度要求，对于超过部分的认购份额，登记机构不予确认。</w:t>
      </w:r>
    </w:p>
    <w:p w:rsidR="008711D3" w:rsidRDefault="004479D9">
      <w:pPr>
        <w:pStyle w:val="a3"/>
        <w:spacing w:line="360" w:lineRule="auto"/>
        <w:rPr>
          <w:rFonts w:ascii="宋体" w:hAnsi="宋体"/>
          <w:bCs/>
          <w:szCs w:val="21"/>
        </w:rPr>
      </w:pPr>
      <w:r>
        <w:rPr>
          <w:rFonts w:ascii="宋体" w:hAnsi="宋体" w:hint="eastAsia"/>
          <w:bCs/>
          <w:szCs w:val="21"/>
        </w:rPr>
        <w:t>（2）认购最低限额：在基金募集期内，投资者通过代销机构或嘉实基金管理有限公司网上直销首次认购单笔最低限额为人民币</w:t>
      </w:r>
      <w:r>
        <w:rPr>
          <w:rFonts w:ascii="宋体" w:hAnsi="宋体"/>
          <w:bCs/>
          <w:szCs w:val="21"/>
        </w:rPr>
        <w:t>1元（含认购费），追加认购单笔最低限额为人民币1元（含认购费）</w:t>
      </w:r>
      <w:r>
        <w:rPr>
          <w:rFonts w:ascii="宋体" w:hAnsi="宋体" w:hint="eastAsia"/>
          <w:bCs/>
          <w:szCs w:val="21"/>
        </w:rPr>
        <w:t>，投资者通过代销机构认购本基金的具体认购最低限额以各代销机构为准</w:t>
      </w:r>
      <w:r>
        <w:rPr>
          <w:rFonts w:ascii="宋体" w:hAnsi="宋体"/>
          <w:bCs/>
          <w:szCs w:val="21"/>
        </w:rPr>
        <w:t>；投资者通过直销中心柜台首次认购单笔最低限额为人民币20,000元（含认购费），追加</w:t>
      </w:r>
      <w:r>
        <w:rPr>
          <w:rFonts w:ascii="宋体" w:hAnsi="宋体"/>
          <w:bCs/>
          <w:szCs w:val="21"/>
        </w:rPr>
        <w:lastRenderedPageBreak/>
        <w:t>认购单笔最低限额为人民币1元（含认购费）。</w:t>
      </w:r>
    </w:p>
    <w:p w:rsidR="008711D3" w:rsidRDefault="004479D9">
      <w:pPr>
        <w:spacing w:line="360" w:lineRule="auto"/>
        <w:ind w:firstLineChars="200" w:firstLine="420"/>
        <w:rPr>
          <w:rFonts w:ascii="宋体" w:hAnsi="宋体"/>
          <w:bCs/>
          <w:szCs w:val="21"/>
        </w:rPr>
      </w:pPr>
      <w:r>
        <w:rPr>
          <w:rFonts w:ascii="宋体" w:hAnsi="宋体" w:hint="eastAsia"/>
          <w:bCs/>
          <w:szCs w:val="21"/>
        </w:rPr>
        <w:t>4、本基金A类基金份额收取认购费用，C类基金份额不收取认购费用。本基金A类份额采用前端收费模式收取基金认购费用。投资者在一天之内如果有多笔认购，适用费率按单笔分别计算。具体认购费率如下：</w:t>
      </w:r>
    </w:p>
    <w:tbl>
      <w:tblPr>
        <w:tblW w:w="5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tblGrid>
      <w:tr w:rsidR="008711D3">
        <w:trPr>
          <w:jc w:val="center"/>
        </w:trPr>
        <w:tc>
          <w:tcPr>
            <w:tcW w:w="2840" w:type="dxa"/>
          </w:tcPr>
          <w:p w:rsidR="008711D3" w:rsidRDefault="004479D9">
            <w:pPr>
              <w:spacing w:line="360" w:lineRule="auto"/>
              <w:ind w:firstLineChars="200" w:firstLine="422"/>
              <w:rPr>
                <w:rFonts w:ascii="宋体" w:hAnsi="宋体"/>
                <w:b/>
                <w:bCs/>
                <w:color w:val="000000"/>
                <w:kern w:val="0"/>
                <w:szCs w:val="21"/>
              </w:rPr>
            </w:pPr>
            <w:r>
              <w:rPr>
                <w:rFonts w:ascii="宋体" w:hAnsi="宋体" w:hint="eastAsia"/>
                <w:b/>
                <w:bCs/>
                <w:color w:val="000000"/>
                <w:kern w:val="0"/>
                <w:szCs w:val="21"/>
              </w:rPr>
              <w:t>认购金额（含认购费）</w:t>
            </w:r>
          </w:p>
        </w:tc>
        <w:tc>
          <w:tcPr>
            <w:tcW w:w="2841" w:type="dxa"/>
          </w:tcPr>
          <w:p w:rsidR="008711D3" w:rsidRDefault="004479D9">
            <w:pPr>
              <w:spacing w:line="360" w:lineRule="auto"/>
              <w:ind w:firstLineChars="200" w:firstLine="422"/>
              <w:rPr>
                <w:rFonts w:ascii="宋体" w:hAnsi="宋体"/>
                <w:b/>
                <w:bCs/>
                <w:color w:val="000000"/>
                <w:kern w:val="0"/>
                <w:szCs w:val="21"/>
              </w:rPr>
            </w:pPr>
            <w:r>
              <w:rPr>
                <w:rFonts w:ascii="宋体" w:hAnsi="宋体" w:hint="eastAsia"/>
                <w:b/>
                <w:bCs/>
                <w:color w:val="000000"/>
                <w:kern w:val="0"/>
                <w:szCs w:val="21"/>
              </w:rPr>
              <w:t>认购费率</w:t>
            </w:r>
          </w:p>
        </w:tc>
      </w:tr>
      <w:tr w:rsidR="008711D3">
        <w:trPr>
          <w:jc w:val="center"/>
        </w:trPr>
        <w:tc>
          <w:tcPr>
            <w:tcW w:w="2840" w:type="dxa"/>
          </w:tcPr>
          <w:p w:rsidR="008711D3" w:rsidRDefault="004479D9">
            <w:pPr>
              <w:spacing w:line="360" w:lineRule="auto"/>
              <w:ind w:firstLineChars="200" w:firstLine="420"/>
              <w:rPr>
                <w:rFonts w:ascii="宋体" w:hAnsi="宋体"/>
                <w:color w:val="000000"/>
                <w:kern w:val="0"/>
                <w:szCs w:val="21"/>
              </w:rPr>
            </w:pPr>
            <w:r>
              <w:rPr>
                <w:rFonts w:ascii="宋体" w:hAnsi="宋体"/>
                <w:color w:val="000000"/>
                <w:kern w:val="0"/>
                <w:szCs w:val="21"/>
              </w:rPr>
              <w:t>M</w:t>
            </w:r>
            <w:r>
              <w:rPr>
                <w:rFonts w:ascii="宋体" w:hAnsi="宋体" w:hint="eastAsia"/>
                <w:color w:val="000000"/>
                <w:kern w:val="0"/>
                <w:szCs w:val="21"/>
              </w:rPr>
              <w:t>＜</w:t>
            </w:r>
            <w:r>
              <w:rPr>
                <w:rFonts w:ascii="宋体" w:hAnsi="宋体"/>
                <w:color w:val="000000"/>
                <w:kern w:val="0"/>
                <w:szCs w:val="21"/>
              </w:rPr>
              <w:t>100</w:t>
            </w:r>
            <w:r>
              <w:rPr>
                <w:rFonts w:ascii="宋体" w:hAnsi="宋体" w:hint="eastAsia"/>
                <w:color w:val="000000"/>
                <w:kern w:val="0"/>
                <w:szCs w:val="21"/>
              </w:rPr>
              <w:t>万元</w:t>
            </w:r>
          </w:p>
        </w:tc>
        <w:tc>
          <w:tcPr>
            <w:tcW w:w="2841" w:type="dxa"/>
          </w:tcPr>
          <w:p w:rsidR="008711D3" w:rsidRDefault="004479D9">
            <w:pPr>
              <w:spacing w:line="360" w:lineRule="auto"/>
              <w:ind w:firstLineChars="200" w:firstLine="420"/>
              <w:rPr>
                <w:rFonts w:ascii="宋体" w:hAnsi="宋体"/>
                <w:color w:val="000000"/>
                <w:kern w:val="0"/>
                <w:szCs w:val="21"/>
              </w:rPr>
            </w:pPr>
            <w:r>
              <w:rPr>
                <w:rFonts w:ascii="宋体" w:hAnsi="宋体" w:hint="eastAsia"/>
                <w:color w:val="000000"/>
                <w:kern w:val="0"/>
                <w:szCs w:val="21"/>
              </w:rPr>
              <w:t>1.2</w:t>
            </w:r>
            <w:r>
              <w:rPr>
                <w:rFonts w:ascii="宋体" w:hAnsi="宋体"/>
                <w:color w:val="000000"/>
                <w:kern w:val="0"/>
                <w:szCs w:val="21"/>
              </w:rPr>
              <w:t>%</w:t>
            </w:r>
          </w:p>
        </w:tc>
      </w:tr>
      <w:tr w:rsidR="008711D3">
        <w:trPr>
          <w:jc w:val="center"/>
        </w:trPr>
        <w:tc>
          <w:tcPr>
            <w:tcW w:w="2840" w:type="dxa"/>
          </w:tcPr>
          <w:p w:rsidR="008711D3" w:rsidRDefault="004479D9">
            <w:pPr>
              <w:spacing w:line="360" w:lineRule="auto"/>
              <w:ind w:firstLineChars="200" w:firstLine="420"/>
              <w:rPr>
                <w:rFonts w:ascii="宋体" w:hAnsi="宋体"/>
                <w:color w:val="000000"/>
                <w:kern w:val="0"/>
                <w:szCs w:val="21"/>
              </w:rPr>
            </w:pPr>
            <w:r>
              <w:rPr>
                <w:rFonts w:ascii="宋体" w:hAnsi="宋体"/>
                <w:color w:val="000000"/>
                <w:kern w:val="0"/>
                <w:szCs w:val="21"/>
              </w:rPr>
              <w:t>100</w:t>
            </w:r>
            <w:r>
              <w:rPr>
                <w:rFonts w:ascii="宋体" w:hAnsi="宋体" w:hint="eastAsia"/>
                <w:color w:val="000000"/>
                <w:kern w:val="0"/>
                <w:szCs w:val="21"/>
              </w:rPr>
              <w:t>万元</w:t>
            </w:r>
            <w:r>
              <w:rPr>
                <w:rFonts w:ascii="宋体" w:hAnsi="宋体"/>
                <w:color w:val="000000"/>
                <w:kern w:val="0"/>
                <w:szCs w:val="21"/>
              </w:rPr>
              <w:t>≤M</w:t>
            </w:r>
            <w:r>
              <w:rPr>
                <w:rFonts w:ascii="宋体" w:hAnsi="宋体" w:hint="eastAsia"/>
                <w:color w:val="000000"/>
                <w:kern w:val="0"/>
                <w:szCs w:val="21"/>
              </w:rPr>
              <w:t>＜2</w:t>
            </w:r>
            <w:r>
              <w:rPr>
                <w:rFonts w:ascii="宋体" w:hAnsi="宋体"/>
                <w:color w:val="000000"/>
                <w:kern w:val="0"/>
                <w:szCs w:val="21"/>
              </w:rPr>
              <w:t>00</w:t>
            </w:r>
            <w:r>
              <w:rPr>
                <w:rFonts w:ascii="宋体" w:hAnsi="宋体" w:hint="eastAsia"/>
                <w:color w:val="000000"/>
                <w:kern w:val="0"/>
                <w:szCs w:val="21"/>
              </w:rPr>
              <w:t>万元</w:t>
            </w:r>
          </w:p>
        </w:tc>
        <w:tc>
          <w:tcPr>
            <w:tcW w:w="2841" w:type="dxa"/>
          </w:tcPr>
          <w:p w:rsidR="008711D3" w:rsidRDefault="004479D9">
            <w:pPr>
              <w:spacing w:line="360" w:lineRule="auto"/>
              <w:ind w:firstLineChars="200" w:firstLine="420"/>
              <w:rPr>
                <w:rFonts w:ascii="宋体" w:hAnsi="宋体"/>
                <w:color w:val="000000"/>
                <w:kern w:val="0"/>
                <w:szCs w:val="21"/>
              </w:rPr>
            </w:pPr>
            <w:r>
              <w:rPr>
                <w:rFonts w:ascii="宋体" w:hAnsi="宋体" w:hint="eastAsia"/>
                <w:color w:val="000000"/>
                <w:kern w:val="0"/>
                <w:szCs w:val="21"/>
              </w:rPr>
              <w:t>0.8</w:t>
            </w:r>
            <w:r>
              <w:rPr>
                <w:rFonts w:ascii="宋体" w:hAnsi="宋体"/>
                <w:color w:val="000000"/>
                <w:kern w:val="0"/>
                <w:szCs w:val="21"/>
              </w:rPr>
              <w:t>%</w:t>
            </w:r>
          </w:p>
        </w:tc>
      </w:tr>
      <w:tr w:rsidR="008711D3">
        <w:trPr>
          <w:jc w:val="center"/>
        </w:trPr>
        <w:tc>
          <w:tcPr>
            <w:tcW w:w="2840" w:type="dxa"/>
          </w:tcPr>
          <w:p w:rsidR="008711D3" w:rsidRDefault="004479D9">
            <w:pPr>
              <w:spacing w:line="360" w:lineRule="auto"/>
              <w:ind w:firstLineChars="200" w:firstLine="420"/>
              <w:rPr>
                <w:rFonts w:ascii="宋体" w:hAnsi="宋体"/>
                <w:color w:val="000000"/>
                <w:kern w:val="0"/>
                <w:szCs w:val="21"/>
              </w:rPr>
            </w:pPr>
            <w:r>
              <w:rPr>
                <w:rFonts w:ascii="宋体" w:hAnsi="宋体" w:hint="eastAsia"/>
                <w:color w:val="000000"/>
                <w:kern w:val="0"/>
                <w:szCs w:val="21"/>
              </w:rPr>
              <w:t>2</w:t>
            </w:r>
            <w:r>
              <w:rPr>
                <w:rFonts w:ascii="宋体" w:hAnsi="宋体"/>
                <w:color w:val="000000"/>
                <w:kern w:val="0"/>
                <w:szCs w:val="21"/>
              </w:rPr>
              <w:t>00</w:t>
            </w:r>
            <w:r>
              <w:rPr>
                <w:rFonts w:ascii="宋体" w:hAnsi="宋体" w:hint="eastAsia"/>
                <w:color w:val="000000"/>
                <w:kern w:val="0"/>
                <w:szCs w:val="21"/>
              </w:rPr>
              <w:t>万元</w:t>
            </w:r>
            <w:r>
              <w:rPr>
                <w:rFonts w:ascii="宋体" w:hAnsi="宋体"/>
                <w:color w:val="000000"/>
                <w:kern w:val="0"/>
                <w:szCs w:val="21"/>
              </w:rPr>
              <w:t>≤M</w:t>
            </w:r>
            <w:r>
              <w:rPr>
                <w:rFonts w:ascii="宋体" w:hAnsi="宋体" w:hint="eastAsia"/>
                <w:color w:val="000000"/>
                <w:kern w:val="0"/>
                <w:szCs w:val="21"/>
              </w:rPr>
              <w:t>＜</w:t>
            </w:r>
            <w:r>
              <w:rPr>
                <w:rFonts w:ascii="宋体" w:hAnsi="宋体"/>
                <w:color w:val="000000"/>
                <w:kern w:val="0"/>
                <w:szCs w:val="21"/>
              </w:rPr>
              <w:t>500</w:t>
            </w:r>
            <w:r>
              <w:rPr>
                <w:rFonts w:ascii="宋体" w:hAnsi="宋体" w:hint="eastAsia"/>
                <w:color w:val="000000"/>
                <w:kern w:val="0"/>
                <w:szCs w:val="21"/>
              </w:rPr>
              <w:t>万元</w:t>
            </w:r>
          </w:p>
        </w:tc>
        <w:tc>
          <w:tcPr>
            <w:tcW w:w="2841" w:type="dxa"/>
          </w:tcPr>
          <w:p w:rsidR="008711D3" w:rsidRDefault="004479D9">
            <w:pPr>
              <w:spacing w:line="360" w:lineRule="auto"/>
              <w:ind w:firstLineChars="200" w:firstLine="420"/>
              <w:rPr>
                <w:rFonts w:ascii="宋体" w:hAnsi="宋体"/>
                <w:color w:val="000000"/>
                <w:kern w:val="0"/>
                <w:szCs w:val="21"/>
              </w:rPr>
            </w:pPr>
            <w:r>
              <w:rPr>
                <w:rFonts w:ascii="宋体" w:hAnsi="宋体" w:hint="eastAsia"/>
                <w:color w:val="000000"/>
                <w:kern w:val="0"/>
                <w:szCs w:val="21"/>
              </w:rPr>
              <w:t>0.5</w:t>
            </w:r>
            <w:r>
              <w:rPr>
                <w:rFonts w:ascii="宋体" w:hAnsi="宋体"/>
                <w:color w:val="000000"/>
                <w:kern w:val="0"/>
                <w:szCs w:val="21"/>
              </w:rPr>
              <w:t>%</w:t>
            </w:r>
          </w:p>
        </w:tc>
      </w:tr>
      <w:tr w:rsidR="008711D3">
        <w:trPr>
          <w:jc w:val="center"/>
        </w:trPr>
        <w:tc>
          <w:tcPr>
            <w:tcW w:w="2840" w:type="dxa"/>
          </w:tcPr>
          <w:p w:rsidR="008711D3" w:rsidRDefault="004479D9">
            <w:pPr>
              <w:spacing w:line="360" w:lineRule="auto"/>
              <w:ind w:firstLineChars="200" w:firstLine="420"/>
              <w:rPr>
                <w:rFonts w:ascii="宋体" w:hAnsi="宋体"/>
                <w:color w:val="000000"/>
                <w:kern w:val="0"/>
                <w:szCs w:val="21"/>
              </w:rPr>
            </w:pPr>
            <w:r>
              <w:rPr>
                <w:rFonts w:ascii="宋体" w:hAnsi="宋体"/>
                <w:color w:val="000000"/>
                <w:kern w:val="0"/>
                <w:szCs w:val="21"/>
              </w:rPr>
              <w:t>M≥500</w:t>
            </w:r>
            <w:r>
              <w:rPr>
                <w:rFonts w:ascii="宋体" w:hAnsi="宋体" w:hint="eastAsia"/>
                <w:color w:val="000000"/>
                <w:kern w:val="0"/>
                <w:szCs w:val="21"/>
              </w:rPr>
              <w:t>万元</w:t>
            </w:r>
          </w:p>
        </w:tc>
        <w:tc>
          <w:tcPr>
            <w:tcW w:w="2841" w:type="dxa"/>
          </w:tcPr>
          <w:p w:rsidR="008711D3" w:rsidRDefault="004479D9">
            <w:pPr>
              <w:spacing w:line="360" w:lineRule="auto"/>
              <w:ind w:firstLineChars="200" w:firstLine="420"/>
              <w:rPr>
                <w:rFonts w:ascii="宋体" w:hAnsi="宋体"/>
                <w:color w:val="000000"/>
                <w:kern w:val="0"/>
                <w:szCs w:val="21"/>
              </w:rPr>
            </w:pPr>
            <w:r>
              <w:rPr>
                <w:rFonts w:ascii="宋体" w:hAnsi="宋体" w:hint="eastAsia"/>
                <w:color w:val="000000"/>
                <w:kern w:val="0"/>
                <w:szCs w:val="21"/>
              </w:rPr>
              <w:t>按笔收取，</w:t>
            </w:r>
            <w:r>
              <w:rPr>
                <w:rFonts w:ascii="宋体" w:hAnsi="宋体"/>
                <w:color w:val="000000"/>
                <w:kern w:val="0"/>
                <w:szCs w:val="21"/>
              </w:rPr>
              <w:t>1000</w:t>
            </w:r>
            <w:r>
              <w:rPr>
                <w:rFonts w:ascii="宋体" w:hAnsi="宋体" w:hint="eastAsia"/>
                <w:color w:val="000000"/>
                <w:kern w:val="0"/>
                <w:szCs w:val="21"/>
              </w:rPr>
              <w:t>元</w:t>
            </w:r>
            <w:r>
              <w:rPr>
                <w:rFonts w:ascii="宋体" w:hAnsi="宋体"/>
                <w:color w:val="000000"/>
                <w:kern w:val="0"/>
                <w:szCs w:val="21"/>
              </w:rPr>
              <w:t>/</w:t>
            </w:r>
            <w:r>
              <w:rPr>
                <w:rFonts w:ascii="宋体" w:hAnsi="宋体" w:hint="eastAsia"/>
                <w:color w:val="000000"/>
                <w:kern w:val="0"/>
                <w:szCs w:val="21"/>
              </w:rPr>
              <w:t>笔</w:t>
            </w:r>
          </w:p>
        </w:tc>
      </w:tr>
    </w:tbl>
    <w:p w:rsidR="008711D3" w:rsidRDefault="004479D9">
      <w:pPr>
        <w:spacing w:line="360" w:lineRule="auto"/>
        <w:ind w:firstLineChars="200" w:firstLine="420"/>
        <w:rPr>
          <w:rFonts w:ascii="宋体" w:hAnsi="宋体"/>
          <w:color w:val="000000"/>
          <w:kern w:val="0"/>
          <w:szCs w:val="21"/>
        </w:rPr>
      </w:pPr>
      <w:r>
        <w:rPr>
          <w:rFonts w:ascii="宋体" w:hAnsi="宋体" w:hint="eastAsia"/>
          <w:color w:val="000000"/>
          <w:kern w:val="0"/>
          <w:szCs w:val="21"/>
        </w:rPr>
        <w:t>本基金A类基金份额的认购费用由认购A类基金份额的投资者承担，不列入基金资产，认购费用用于本基金的市场推广、销售、注册登记等募集期间发生的各项费用。</w:t>
      </w:r>
    </w:p>
    <w:p w:rsidR="008711D3" w:rsidRDefault="004479D9">
      <w:pPr>
        <w:spacing w:line="360" w:lineRule="auto"/>
        <w:ind w:firstLineChars="200" w:firstLine="420"/>
        <w:rPr>
          <w:rFonts w:ascii="宋体" w:hAnsi="宋体"/>
          <w:color w:val="000000"/>
          <w:kern w:val="0"/>
          <w:szCs w:val="21"/>
        </w:rPr>
      </w:pPr>
      <w:r>
        <w:rPr>
          <w:rFonts w:ascii="宋体" w:hAnsi="宋体" w:hint="eastAsia"/>
          <w:color w:val="000000"/>
          <w:kern w:val="0"/>
          <w:szCs w:val="21"/>
        </w:rPr>
        <w:t>本基金C类基金份额认购费率为0。</w:t>
      </w:r>
    </w:p>
    <w:p w:rsidR="008711D3" w:rsidRDefault="004479D9">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5、募集期利息的处理方式</w:t>
      </w:r>
    </w:p>
    <w:p w:rsidR="008711D3" w:rsidRDefault="004479D9">
      <w:pPr>
        <w:spacing w:line="360" w:lineRule="auto"/>
        <w:ind w:firstLineChars="200" w:firstLine="420"/>
        <w:rPr>
          <w:rFonts w:ascii="宋体" w:hAnsi="宋体"/>
          <w:bCs/>
          <w:szCs w:val="21"/>
        </w:rPr>
      </w:pPr>
      <w:r>
        <w:rPr>
          <w:rFonts w:ascii="宋体" w:hAnsi="宋体" w:hint="eastAsia"/>
          <w:bCs/>
          <w:szCs w:val="21"/>
        </w:rPr>
        <w:t>有效认购款项在募集期间产生的利息将折算为基金份额归基金份额持有人所有，其中利息转份额的数量以登记机构的记录为准。</w:t>
      </w:r>
    </w:p>
    <w:p w:rsidR="008711D3" w:rsidRDefault="004479D9">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6、认购份额的计算</w:t>
      </w:r>
    </w:p>
    <w:p w:rsidR="008711D3" w:rsidRDefault="004479D9">
      <w:pPr>
        <w:spacing w:line="360" w:lineRule="auto"/>
        <w:ind w:firstLineChars="200" w:firstLine="420"/>
        <w:rPr>
          <w:rFonts w:ascii="宋体" w:hAnsi="宋体"/>
          <w:bCs/>
          <w:szCs w:val="21"/>
        </w:rPr>
      </w:pPr>
      <w:r>
        <w:rPr>
          <w:rFonts w:ascii="宋体" w:hAnsi="宋体" w:hint="eastAsia"/>
          <w:bCs/>
          <w:szCs w:val="21"/>
        </w:rPr>
        <w:t>本基金A类、C类基金份额的初始面值均为人民币1元。</w:t>
      </w:r>
    </w:p>
    <w:p w:rsidR="008711D3" w:rsidRDefault="004479D9">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（1）当投资者选择认购A类基金份额时，</w:t>
      </w:r>
      <w:r>
        <w:rPr>
          <w:rFonts w:ascii="宋体" w:hAnsi="宋体"/>
          <w:bCs/>
          <w:color w:val="000000"/>
          <w:kern w:val="0"/>
          <w:szCs w:val="21"/>
        </w:rPr>
        <w:t>认购份数的计算方法如下：</w:t>
      </w:r>
    </w:p>
    <w:p w:rsidR="008711D3" w:rsidRDefault="004479D9">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①认</w:t>
      </w:r>
      <w:r>
        <w:rPr>
          <w:rFonts w:ascii="宋体" w:hAnsi="宋体"/>
          <w:bCs/>
          <w:color w:val="000000"/>
          <w:kern w:val="0"/>
          <w:szCs w:val="21"/>
        </w:rPr>
        <w:t>购费用适用比例费率时，</w:t>
      </w:r>
      <w:r>
        <w:rPr>
          <w:rFonts w:ascii="宋体" w:hAnsi="宋体" w:hint="eastAsia"/>
          <w:bCs/>
          <w:color w:val="000000"/>
          <w:kern w:val="0"/>
          <w:szCs w:val="21"/>
        </w:rPr>
        <w:t>认</w:t>
      </w:r>
      <w:r>
        <w:rPr>
          <w:rFonts w:ascii="宋体" w:hAnsi="宋体"/>
          <w:bCs/>
          <w:color w:val="000000"/>
          <w:kern w:val="0"/>
          <w:szCs w:val="21"/>
        </w:rPr>
        <w:t>购</w:t>
      </w:r>
      <w:r>
        <w:rPr>
          <w:rFonts w:ascii="宋体" w:hAnsi="宋体" w:hint="eastAsia"/>
          <w:bCs/>
          <w:color w:val="000000"/>
          <w:kern w:val="0"/>
          <w:szCs w:val="21"/>
        </w:rPr>
        <w:t>份额</w:t>
      </w:r>
      <w:r>
        <w:rPr>
          <w:rFonts w:ascii="宋体" w:hAnsi="宋体"/>
          <w:bCs/>
          <w:color w:val="000000"/>
          <w:kern w:val="0"/>
          <w:szCs w:val="21"/>
        </w:rPr>
        <w:t>的计算方法如下：</w:t>
      </w:r>
    </w:p>
    <w:p w:rsidR="008711D3" w:rsidRDefault="004479D9">
      <w:pPr>
        <w:spacing w:line="360" w:lineRule="auto"/>
        <w:ind w:firstLineChars="200" w:firstLine="420"/>
        <w:rPr>
          <w:rFonts w:ascii="宋体" w:hAnsi="宋体"/>
          <w:bCs/>
          <w:color w:val="000000"/>
          <w:kern w:val="0"/>
          <w:szCs w:val="21"/>
        </w:rPr>
      </w:pP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w:t>
      </w:r>
      <w:r>
        <w:rPr>
          <w:rFonts w:ascii="宋体" w:hAnsi="宋体"/>
          <w:bCs/>
          <w:color w:val="000000"/>
          <w:kern w:val="0"/>
          <w:szCs w:val="21"/>
        </w:rPr>
        <w:t>购金额/(1＋</w:t>
      </w:r>
      <w:r>
        <w:rPr>
          <w:rFonts w:ascii="宋体" w:hAnsi="宋体" w:hint="eastAsia"/>
          <w:bCs/>
          <w:color w:val="000000"/>
          <w:kern w:val="0"/>
          <w:szCs w:val="21"/>
        </w:rPr>
        <w:t>认</w:t>
      </w:r>
      <w:r>
        <w:rPr>
          <w:rFonts w:ascii="宋体" w:hAnsi="宋体"/>
          <w:bCs/>
          <w:color w:val="000000"/>
          <w:kern w:val="0"/>
          <w:szCs w:val="21"/>
        </w:rPr>
        <w:t>购费率)</w:t>
      </w:r>
    </w:p>
    <w:p w:rsidR="008711D3" w:rsidRDefault="004479D9">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购费用＝</w:t>
      </w:r>
      <w:r>
        <w:rPr>
          <w:rFonts w:ascii="宋体" w:hAnsi="宋体" w:hint="eastAsia"/>
          <w:bCs/>
          <w:color w:val="000000"/>
          <w:kern w:val="0"/>
          <w:szCs w:val="21"/>
        </w:rPr>
        <w:t>认</w:t>
      </w:r>
      <w:r>
        <w:rPr>
          <w:rFonts w:ascii="宋体" w:hAnsi="宋体"/>
          <w:bCs/>
          <w:color w:val="000000"/>
          <w:kern w:val="0"/>
          <w:szCs w:val="21"/>
        </w:rPr>
        <w:t>购金额－净</w:t>
      </w:r>
      <w:r>
        <w:rPr>
          <w:rFonts w:ascii="宋体" w:hAnsi="宋体" w:hint="eastAsia"/>
          <w:bCs/>
          <w:color w:val="000000"/>
          <w:kern w:val="0"/>
          <w:szCs w:val="21"/>
        </w:rPr>
        <w:t>认</w:t>
      </w:r>
      <w:r>
        <w:rPr>
          <w:rFonts w:ascii="宋体" w:hAnsi="宋体"/>
          <w:bCs/>
          <w:color w:val="000000"/>
          <w:kern w:val="0"/>
          <w:szCs w:val="21"/>
        </w:rPr>
        <w:t>购金额</w:t>
      </w:r>
    </w:p>
    <w:p w:rsidR="008711D3" w:rsidRDefault="004479D9">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购份</w:t>
      </w:r>
      <w:r>
        <w:rPr>
          <w:rFonts w:ascii="宋体" w:hAnsi="宋体" w:hint="eastAsia"/>
          <w:bCs/>
          <w:color w:val="000000"/>
          <w:kern w:val="0"/>
          <w:szCs w:val="21"/>
        </w:rPr>
        <w:t>额</w:t>
      </w:r>
      <w:r>
        <w:rPr>
          <w:rFonts w:ascii="宋体" w:hAnsi="宋体"/>
          <w:bCs/>
          <w:color w:val="000000"/>
          <w:kern w:val="0"/>
          <w:szCs w:val="21"/>
        </w:rPr>
        <w:t>＝</w:t>
      </w:r>
      <w:r>
        <w:rPr>
          <w:rFonts w:ascii="宋体" w:hAnsi="宋体" w:hint="eastAsia"/>
          <w:bCs/>
          <w:color w:val="000000"/>
          <w:kern w:val="0"/>
          <w:szCs w:val="21"/>
        </w:rPr>
        <w:t>（</w:t>
      </w: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认购资金利息）</w:t>
      </w:r>
      <w:r>
        <w:rPr>
          <w:rFonts w:ascii="宋体" w:hAnsi="宋体"/>
          <w:bCs/>
          <w:color w:val="000000"/>
          <w:kern w:val="0"/>
          <w:szCs w:val="21"/>
        </w:rPr>
        <w:t xml:space="preserve">/ </w:t>
      </w:r>
      <w:r>
        <w:rPr>
          <w:rFonts w:ascii="宋体" w:hAnsi="宋体" w:hint="eastAsia"/>
          <w:bCs/>
          <w:color w:val="000000"/>
          <w:kern w:val="0"/>
          <w:szCs w:val="21"/>
        </w:rPr>
        <w:t>1元</w:t>
      </w:r>
    </w:p>
    <w:p w:rsidR="008711D3" w:rsidRDefault="004479D9">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②认</w:t>
      </w:r>
      <w:r>
        <w:rPr>
          <w:rFonts w:ascii="宋体" w:hAnsi="宋体"/>
          <w:bCs/>
          <w:color w:val="000000"/>
          <w:kern w:val="0"/>
          <w:szCs w:val="21"/>
        </w:rPr>
        <w:t>购费用为固定金额时，</w:t>
      </w:r>
      <w:r>
        <w:rPr>
          <w:rFonts w:ascii="宋体" w:hAnsi="宋体" w:hint="eastAsia"/>
          <w:bCs/>
          <w:color w:val="000000"/>
          <w:kern w:val="0"/>
          <w:szCs w:val="21"/>
        </w:rPr>
        <w:t>认</w:t>
      </w:r>
      <w:r>
        <w:rPr>
          <w:rFonts w:ascii="宋体" w:hAnsi="宋体"/>
          <w:bCs/>
          <w:color w:val="000000"/>
          <w:kern w:val="0"/>
          <w:szCs w:val="21"/>
        </w:rPr>
        <w:t>购份</w:t>
      </w:r>
      <w:r>
        <w:rPr>
          <w:rFonts w:ascii="宋体" w:hAnsi="宋体" w:hint="eastAsia"/>
          <w:bCs/>
          <w:color w:val="000000"/>
          <w:kern w:val="0"/>
          <w:szCs w:val="21"/>
        </w:rPr>
        <w:t>额</w:t>
      </w:r>
      <w:r>
        <w:rPr>
          <w:rFonts w:ascii="宋体" w:hAnsi="宋体"/>
          <w:bCs/>
          <w:color w:val="000000"/>
          <w:kern w:val="0"/>
          <w:szCs w:val="21"/>
        </w:rPr>
        <w:t>的计算方法如下：</w:t>
      </w:r>
    </w:p>
    <w:p w:rsidR="008711D3" w:rsidRDefault="004479D9">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购费用＝固定金额</w:t>
      </w:r>
    </w:p>
    <w:p w:rsidR="008711D3" w:rsidRDefault="004479D9">
      <w:pPr>
        <w:spacing w:line="360" w:lineRule="auto"/>
        <w:ind w:firstLineChars="200" w:firstLine="420"/>
        <w:rPr>
          <w:rFonts w:ascii="宋体" w:hAnsi="宋体"/>
          <w:bCs/>
          <w:color w:val="000000"/>
          <w:kern w:val="0"/>
          <w:szCs w:val="21"/>
        </w:rPr>
      </w:pP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认</w:t>
      </w:r>
      <w:r>
        <w:rPr>
          <w:rFonts w:ascii="宋体" w:hAnsi="宋体"/>
          <w:bCs/>
          <w:color w:val="000000"/>
          <w:kern w:val="0"/>
          <w:szCs w:val="21"/>
        </w:rPr>
        <w:t>购费用</w:t>
      </w:r>
    </w:p>
    <w:p w:rsidR="008711D3" w:rsidRDefault="004479D9">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w:t>
      </w:r>
      <w:r>
        <w:rPr>
          <w:rFonts w:ascii="宋体" w:hAnsi="宋体"/>
          <w:bCs/>
          <w:color w:val="000000"/>
          <w:kern w:val="0"/>
          <w:szCs w:val="21"/>
        </w:rPr>
        <w:t>购份</w:t>
      </w:r>
      <w:r>
        <w:rPr>
          <w:rFonts w:ascii="宋体" w:hAnsi="宋体" w:hint="eastAsia"/>
          <w:bCs/>
          <w:color w:val="000000"/>
          <w:kern w:val="0"/>
          <w:szCs w:val="21"/>
        </w:rPr>
        <w:t>额</w:t>
      </w:r>
      <w:r>
        <w:rPr>
          <w:rFonts w:ascii="宋体" w:hAnsi="宋体"/>
          <w:bCs/>
          <w:color w:val="000000"/>
          <w:kern w:val="0"/>
          <w:szCs w:val="21"/>
        </w:rPr>
        <w:t>＝</w:t>
      </w:r>
      <w:r>
        <w:rPr>
          <w:rFonts w:ascii="宋体" w:hAnsi="宋体" w:hint="eastAsia"/>
          <w:bCs/>
          <w:color w:val="000000"/>
          <w:kern w:val="0"/>
          <w:szCs w:val="21"/>
        </w:rPr>
        <w:t>（</w:t>
      </w:r>
      <w:r>
        <w:rPr>
          <w:rFonts w:ascii="宋体" w:hAnsi="宋体"/>
          <w:bCs/>
          <w:color w:val="000000"/>
          <w:kern w:val="0"/>
          <w:szCs w:val="21"/>
        </w:rPr>
        <w:t>净</w:t>
      </w:r>
      <w:r>
        <w:rPr>
          <w:rFonts w:ascii="宋体" w:hAnsi="宋体" w:hint="eastAsia"/>
          <w:bCs/>
          <w:color w:val="000000"/>
          <w:kern w:val="0"/>
          <w:szCs w:val="21"/>
        </w:rPr>
        <w:t>认</w:t>
      </w:r>
      <w:r>
        <w:rPr>
          <w:rFonts w:ascii="宋体" w:hAnsi="宋体"/>
          <w:bCs/>
          <w:color w:val="000000"/>
          <w:kern w:val="0"/>
          <w:szCs w:val="21"/>
        </w:rPr>
        <w:t>购金额</w:t>
      </w:r>
      <w:r>
        <w:rPr>
          <w:rFonts w:ascii="宋体" w:hAnsi="宋体" w:hint="eastAsia"/>
          <w:bCs/>
          <w:color w:val="000000"/>
          <w:kern w:val="0"/>
          <w:szCs w:val="21"/>
        </w:rPr>
        <w:t xml:space="preserve"> + 认购资金利息）</w:t>
      </w:r>
      <w:r>
        <w:rPr>
          <w:rFonts w:ascii="宋体" w:hAnsi="宋体"/>
          <w:bCs/>
          <w:color w:val="000000"/>
          <w:kern w:val="0"/>
          <w:szCs w:val="21"/>
        </w:rPr>
        <w:t>/</w:t>
      </w:r>
      <w:r>
        <w:rPr>
          <w:rFonts w:ascii="宋体" w:hAnsi="宋体" w:hint="eastAsia"/>
          <w:bCs/>
          <w:color w:val="000000"/>
          <w:kern w:val="0"/>
          <w:szCs w:val="21"/>
        </w:rPr>
        <w:t>1元</w:t>
      </w:r>
    </w:p>
    <w:p w:rsidR="008711D3" w:rsidRDefault="004479D9">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其中：认购份额的计算结果按四舍五入方法，保留到小数点后两位，</w:t>
      </w:r>
      <w:r>
        <w:rPr>
          <w:rFonts w:ascii="宋体" w:hAnsi="宋体"/>
          <w:bCs/>
          <w:color w:val="000000"/>
          <w:kern w:val="0"/>
          <w:szCs w:val="21"/>
        </w:rPr>
        <w:t>由此误差产生的损益归入基金财产</w:t>
      </w:r>
      <w:r>
        <w:rPr>
          <w:rFonts w:ascii="宋体" w:hAnsi="宋体" w:hint="eastAsia"/>
          <w:bCs/>
          <w:color w:val="000000"/>
          <w:kern w:val="0"/>
          <w:szCs w:val="21"/>
        </w:rPr>
        <w:t>。</w:t>
      </w:r>
    </w:p>
    <w:p w:rsidR="008711D3" w:rsidRDefault="004479D9">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例一：某投资者投资100,000元认购本基金A类基金份额，如果其认购资金的利息为</w:t>
      </w:r>
      <w:r>
        <w:rPr>
          <w:rFonts w:ascii="宋体" w:hAnsi="宋体" w:hint="eastAsia"/>
          <w:bCs/>
          <w:color w:val="000000"/>
          <w:kern w:val="0"/>
          <w:szCs w:val="21"/>
        </w:rPr>
        <w:lastRenderedPageBreak/>
        <w:t>50.50元，则其可得到的基金份数计算如下：</w:t>
      </w:r>
    </w:p>
    <w:p w:rsidR="008711D3" w:rsidRDefault="004479D9">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净认购金额</w:t>
      </w:r>
      <w:r>
        <w:rPr>
          <w:rFonts w:ascii="宋体" w:hAnsi="宋体"/>
          <w:bCs/>
          <w:color w:val="000000"/>
          <w:kern w:val="0"/>
          <w:szCs w:val="21"/>
        </w:rPr>
        <w:t>＝</w:t>
      </w:r>
      <w:r>
        <w:rPr>
          <w:rFonts w:ascii="宋体" w:hAnsi="宋体" w:hint="eastAsia"/>
          <w:bCs/>
          <w:color w:val="000000"/>
          <w:kern w:val="0"/>
          <w:szCs w:val="21"/>
        </w:rPr>
        <w:t>100</w:t>
      </w:r>
      <w:r>
        <w:rPr>
          <w:rFonts w:ascii="宋体" w:hAnsi="宋体"/>
          <w:bCs/>
          <w:color w:val="000000"/>
          <w:kern w:val="0"/>
          <w:szCs w:val="21"/>
        </w:rPr>
        <w:t>,00</w:t>
      </w:r>
      <w:r>
        <w:rPr>
          <w:rFonts w:ascii="宋体" w:hAnsi="宋体" w:hint="eastAsia"/>
          <w:bCs/>
          <w:color w:val="000000"/>
          <w:kern w:val="0"/>
          <w:szCs w:val="21"/>
        </w:rPr>
        <w:t>0/(1+1.20%）</w:t>
      </w:r>
      <w:r>
        <w:rPr>
          <w:rFonts w:ascii="宋体" w:hAnsi="宋体"/>
          <w:bCs/>
          <w:color w:val="000000"/>
          <w:kern w:val="0"/>
          <w:szCs w:val="21"/>
        </w:rPr>
        <w:t>＝98,814.23</w:t>
      </w:r>
      <w:r>
        <w:rPr>
          <w:rFonts w:ascii="宋体" w:hAnsi="宋体" w:hint="eastAsia"/>
          <w:bCs/>
          <w:color w:val="000000"/>
          <w:kern w:val="0"/>
          <w:szCs w:val="21"/>
        </w:rPr>
        <w:t>元</w:t>
      </w:r>
    </w:p>
    <w:p w:rsidR="008711D3" w:rsidRDefault="004479D9">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认购费用＝100</w:t>
      </w:r>
      <w:r>
        <w:rPr>
          <w:rFonts w:ascii="宋体" w:hAnsi="宋体"/>
          <w:bCs/>
          <w:color w:val="000000"/>
          <w:kern w:val="0"/>
          <w:szCs w:val="21"/>
        </w:rPr>
        <w:t>,000–98,814.23＝1,185.77</w:t>
      </w:r>
      <w:r>
        <w:rPr>
          <w:rFonts w:ascii="宋体" w:hAnsi="宋体" w:hint="eastAsia"/>
          <w:bCs/>
          <w:color w:val="000000"/>
          <w:kern w:val="0"/>
          <w:szCs w:val="21"/>
        </w:rPr>
        <w:t>元</w:t>
      </w:r>
    </w:p>
    <w:p w:rsidR="008711D3" w:rsidRDefault="004479D9">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认购份额＝(</w:t>
      </w:r>
      <w:r>
        <w:rPr>
          <w:rFonts w:ascii="宋体" w:hAnsi="宋体"/>
          <w:bCs/>
          <w:color w:val="000000"/>
          <w:kern w:val="0"/>
          <w:szCs w:val="21"/>
        </w:rPr>
        <w:t>98,814.23</w:t>
      </w:r>
      <w:r>
        <w:rPr>
          <w:rFonts w:ascii="宋体" w:hAnsi="宋体" w:hint="eastAsia"/>
          <w:bCs/>
          <w:color w:val="000000"/>
          <w:kern w:val="0"/>
          <w:szCs w:val="21"/>
        </w:rPr>
        <w:t>+50.50)</w:t>
      </w:r>
      <w:r>
        <w:rPr>
          <w:rFonts w:ascii="宋体" w:hAnsi="宋体"/>
          <w:bCs/>
          <w:color w:val="000000"/>
          <w:kern w:val="0"/>
          <w:szCs w:val="21"/>
        </w:rPr>
        <w:t>/1＝98,864.73</w:t>
      </w:r>
      <w:r>
        <w:rPr>
          <w:rFonts w:ascii="宋体" w:hAnsi="宋体" w:hint="eastAsia"/>
          <w:bCs/>
          <w:color w:val="000000"/>
          <w:kern w:val="0"/>
          <w:szCs w:val="21"/>
        </w:rPr>
        <w:t>份</w:t>
      </w:r>
    </w:p>
    <w:p w:rsidR="008711D3" w:rsidRDefault="004479D9">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即投资者投资100,000元认购本基金A类基金份额，</w:t>
      </w:r>
      <w:r>
        <w:rPr>
          <w:rFonts w:ascii="宋体" w:hAnsi="宋体"/>
          <w:bCs/>
          <w:color w:val="000000"/>
          <w:kern w:val="0"/>
          <w:szCs w:val="21"/>
        </w:rPr>
        <w:t>加上募集期间利息后一共</w:t>
      </w:r>
      <w:r>
        <w:rPr>
          <w:rFonts w:ascii="宋体" w:hAnsi="宋体" w:hint="eastAsia"/>
          <w:bCs/>
          <w:color w:val="000000"/>
          <w:kern w:val="0"/>
          <w:szCs w:val="21"/>
        </w:rPr>
        <w:t>可以得到</w:t>
      </w:r>
      <w:r>
        <w:rPr>
          <w:rFonts w:ascii="宋体" w:hAnsi="宋体"/>
          <w:bCs/>
          <w:color w:val="000000"/>
          <w:kern w:val="0"/>
          <w:szCs w:val="21"/>
        </w:rPr>
        <w:t>98,864.73</w:t>
      </w:r>
      <w:r>
        <w:rPr>
          <w:rFonts w:ascii="宋体" w:hAnsi="宋体" w:hint="eastAsia"/>
          <w:bCs/>
          <w:color w:val="000000"/>
          <w:kern w:val="0"/>
          <w:szCs w:val="21"/>
        </w:rPr>
        <w:t>份A类基金份额。</w:t>
      </w:r>
    </w:p>
    <w:p w:rsidR="008711D3" w:rsidRDefault="004479D9">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（2）</w:t>
      </w:r>
      <w:r>
        <w:rPr>
          <w:rFonts w:ascii="宋体" w:hAnsi="宋体"/>
          <w:bCs/>
          <w:color w:val="000000"/>
          <w:kern w:val="0"/>
          <w:szCs w:val="21"/>
        </w:rPr>
        <w:t>当投资者选择认购C类基金份额时，认购份数的计算方法如下：</w:t>
      </w:r>
    </w:p>
    <w:p w:rsidR="008711D3" w:rsidRDefault="004479D9">
      <w:pPr>
        <w:spacing w:line="360" w:lineRule="auto"/>
        <w:ind w:firstLineChars="200" w:firstLine="420"/>
        <w:rPr>
          <w:rFonts w:ascii="宋体" w:hAnsi="宋体"/>
          <w:bCs/>
          <w:color w:val="000000"/>
          <w:kern w:val="0"/>
          <w:szCs w:val="21"/>
        </w:rPr>
      </w:pPr>
      <w:r>
        <w:rPr>
          <w:rFonts w:ascii="宋体" w:hAnsi="宋体"/>
          <w:bCs/>
          <w:color w:val="000000"/>
          <w:kern w:val="0"/>
          <w:szCs w:val="21"/>
        </w:rPr>
        <w:t>认购份</w:t>
      </w:r>
      <w:r>
        <w:rPr>
          <w:rFonts w:ascii="宋体" w:hAnsi="宋体" w:hint="eastAsia"/>
          <w:bCs/>
          <w:color w:val="000000"/>
          <w:kern w:val="0"/>
          <w:szCs w:val="21"/>
        </w:rPr>
        <w:t>额</w:t>
      </w:r>
      <w:r>
        <w:rPr>
          <w:rFonts w:ascii="宋体" w:hAnsi="宋体"/>
          <w:bCs/>
          <w:color w:val="000000"/>
          <w:kern w:val="0"/>
          <w:szCs w:val="21"/>
        </w:rPr>
        <w:t>＝(认购金额＋认购资金利息)/1元</w:t>
      </w:r>
    </w:p>
    <w:p w:rsidR="008711D3" w:rsidRDefault="004479D9">
      <w:pPr>
        <w:spacing w:line="360" w:lineRule="auto"/>
        <w:ind w:firstLineChars="200" w:firstLine="420"/>
        <w:rPr>
          <w:rFonts w:ascii="宋体" w:hAnsi="宋体"/>
          <w:bCs/>
          <w:color w:val="000000"/>
          <w:kern w:val="0"/>
          <w:szCs w:val="21"/>
        </w:rPr>
      </w:pPr>
      <w:r>
        <w:rPr>
          <w:rFonts w:ascii="宋体" w:hAnsi="宋体"/>
          <w:bCs/>
          <w:color w:val="000000"/>
          <w:kern w:val="0"/>
          <w:szCs w:val="21"/>
        </w:rPr>
        <w:t>例二：某投资者投资</w:t>
      </w:r>
      <w:r>
        <w:rPr>
          <w:rFonts w:ascii="宋体" w:hAnsi="宋体" w:hint="eastAsia"/>
          <w:bCs/>
          <w:color w:val="000000"/>
          <w:kern w:val="0"/>
          <w:szCs w:val="21"/>
        </w:rPr>
        <w:t>100</w:t>
      </w:r>
      <w:r>
        <w:rPr>
          <w:rFonts w:ascii="宋体" w:hAnsi="宋体"/>
          <w:bCs/>
          <w:color w:val="000000"/>
          <w:kern w:val="0"/>
          <w:szCs w:val="21"/>
        </w:rPr>
        <w:t>,000元认购本基金C类基金份额，假设这10</w:t>
      </w:r>
      <w:r>
        <w:rPr>
          <w:rFonts w:ascii="宋体" w:hAnsi="宋体" w:hint="eastAsia"/>
          <w:bCs/>
          <w:color w:val="000000"/>
          <w:kern w:val="0"/>
          <w:szCs w:val="21"/>
        </w:rPr>
        <w:t>0</w:t>
      </w:r>
      <w:r>
        <w:rPr>
          <w:rFonts w:ascii="宋体" w:hAnsi="宋体"/>
          <w:bCs/>
          <w:color w:val="000000"/>
          <w:kern w:val="0"/>
          <w:szCs w:val="21"/>
        </w:rPr>
        <w:t>,000元在募集期间产生的利息为</w:t>
      </w:r>
      <w:r>
        <w:rPr>
          <w:rFonts w:ascii="宋体" w:hAnsi="宋体" w:hint="eastAsia"/>
          <w:bCs/>
          <w:color w:val="000000"/>
          <w:kern w:val="0"/>
          <w:szCs w:val="21"/>
        </w:rPr>
        <w:t>50.50</w:t>
      </w:r>
      <w:r>
        <w:rPr>
          <w:rFonts w:ascii="宋体" w:hAnsi="宋体"/>
          <w:bCs/>
          <w:color w:val="000000"/>
          <w:kern w:val="0"/>
          <w:szCs w:val="21"/>
        </w:rPr>
        <w:t>元，则其可得到的基金份数计算如下：</w:t>
      </w:r>
    </w:p>
    <w:p w:rsidR="008711D3" w:rsidRDefault="004479D9">
      <w:pPr>
        <w:spacing w:line="360" w:lineRule="auto"/>
        <w:ind w:firstLineChars="200" w:firstLine="420"/>
        <w:rPr>
          <w:rFonts w:ascii="宋体" w:hAnsi="宋体"/>
          <w:bCs/>
          <w:color w:val="000000"/>
          <w:kern w:val="0"/>
          <w:szCs w:val="21"/>
        </w:rPr>
      </w:pPr>
      <w:r>
        <w:rPr>
          <w:rFonts w:ascii="宋体" w:hAnsi="宋体"/>
          <w:bCs/>
          <w:color w:val="000000"/>
          <w:kern w:val="0"/>
          <w:szCs w:val="21"/>
        </w:rPr>
        <w:t>认购份</w:t>
      </w:r>
      <w:r>
        <w:rPr>
          <w:rFonts w:ascii="宋体" w:hAnsi="宋体" w:hint="eastAsia"/>
          <w:bCs/>
          <w:color w:val="000000"/>
          <w:kern w:val="0"/>
          <w:szCs w:val="21"/>
        </w:rPr>
        <w:t>额</w:t>
      </w:r>
      <w:r>
        <w:rPr>
          <w:rFonts w:ascii="宋体" w:hAnsi="宋体"/>
          <w:bCs/>
          <w:color w:val="000000"/>
          <w:kern w:val="0"/>
          <w:szCs w:val="21"/>
        </w:rPr>
        <w:t>＝(10</w:t>
      </w:r>
      <w:r>
        <w:rPr>
          <w:rFonts w:ascii="宋体" w:hAnsi="宋体" w:hint="eastAsia"/>
          <w:bCs/>
          <w:color w:val="000000"/>
          <w:kern w:val="0"/>
          <w:szCs w:val="21"/>
        </w:rPr>
        <w:t>0</w:t>
      </w:r>
      <w:r>
        <w:rPr>
          <w:rFonts w:ascii="宋体" w:hAnsi="宋体"/>
          <w:bCs/>
          <w:color w:val="000000"/>
          <w:kern w:val="0"/>
          <w:szCs w:val="21"/>
        </w:rPr>
        <w:t>,000+</w:t>
      </w:r>
      <w:r>
        <w:rPr>
          <w:rFonts w:ascii="宋体" w:hAnsi="宋体" w:hint="eastAsia"/>
          <w:bCs/>
          <w:color w:val="000000"/>
          <w:kern w:val="0"/>
          <w:szCs w:val="21"/>
        </w:rPr>
        <w:t>50.50</w:t>
      </w:r>
      <w:r>
        <w:rPr>
          <w:rFonts w:ascii="宋体" w:hAnsi="宋体"/>
          <w:bCs/>
          <w:color w:val="000000"/>
          <w:kern w:val="0"/>
          <w:szCs w:val="21"/>
        </w:rPr>
        <w:t>)/1＝100,050.5</w:t>
      </w:r>
      <w:r>
        <w:rPr>
          <w:rFonts w:ascii="宋体" w:hAnsi="宋体" w:hint="eastAsia"/>
          <w:bCs/>
          <w:color w:val="000000"/>
          <w:kern w:val="0"/>
          <w:szCs w:val="21"/>
        </w:rPr>
        <w:t>0</w:t>
      </w:r>
      <w:r>
        <w:rPr>
          <w:rFonts w:ascii="宋体" w:hAnsi="宋体"/>
          <w:bCs/>
          <w:color w:val="000000"/>
          <w:kern w:val="0"/>
          <w:szCs w:val="21"/>
        </w:rPr>
        <w:t>份</w:t>
      </w:r>
    </w:p>
    <w:p w:rsidR="008711D3" w:rsidRDefault="004479D9">
      <w:pPr>
        <w:spacing w:line="360" w:lineRule="auto"/>
        <w:ind w:firstLineChars="200" w:firstLine="420"/>
        <w:rPr>
          <w:rFonts w:ascii="宋体" w:hAnsi="宋体"/>
          <w:bCs/>
          <w:color w:val="000000"/>
          <w:kern w:val="0"/>
          <w:szCs w:val="21"/>
        </w:rPr>
      </w:pPr>
      <w:r>
        <w:rPr>
          <w:rFonts w:ascii="宋体" w:hAnsi="宋体"/>
          <w:bCs/>
          <w:color w:val="000000"/>
          <w:kern w:val="0"/>
          <w:szCs w:val="21"/>
        </w:rPr>
        <w:t>即投资者投资</w:t>
      </w:r>
      <w:r>
        <w:rPr>
          <w:rFonts w:ascii="宋体" w:hAnsi="宋体" w:hint="eastAsia"/>
          <w:bCs/>
          <w:color w:val="000000"/>
          <w:kern w:val="0"/>
          <w:szCs w:val="21"/>
        </w:rPr>
        <w:t>100</w:t>
      </w:r>
      <w:r>
        <w:rPr>
          <w:rFonts w:ascii="宋体" w:hAnsi="宋体"/>
          <w:bCs/>
          <w:color w:val="000000"/>
          <w:kern w:val="0"/>
          <w:szCs w:val="21"/>
        </w:rPr>
        <w:t>,000元认购本基金C类基金份额，加上募集期间利息后一共可以得到100,050.5</w:t>
      </w:r>
      <w:r>
        <w:rPr>
          <w:rFonts w:ascii="宋体" w:hAnsi="宋体" w:hint="eastAsia"/>
          <w:bCs/>
          <w:color w:val="000000"/>
          <w:kern w:val="0"/>
          <w:szCs w:val="21"/>
        </w:rPr>
        <w:t>0</w:t>
      </w:r>
      <w:r>
        <w:rPr>
          <w:rFonts w:ascii="宋体" w:hAnsi="宋体"/>
          <w:bCs/>
          <w:color w:val="000000"/>
          <w:kern w:val="0"/>
          <w:szCs w:val="21"/>
        </w:rPr>
        <w:t>份C类基金份额。</w:t>
      </w:r>
    </w:p>
    <w:p w:rsidR="008711D3" w:rsidRDefault="004479D9">
      <w:pPr>
        <w:spacing w:line="360" w:lineRule="auto"/>
        <w:ind w:firstLineChars="200" w:firstLine="420"/>
        <w:rPr>
          <w:rFonts w:ascii="宋体" w:hAnsi="宋体"/>
          <w:bCs/>
          <w:szCs w:val="21"/>
        </w:rPr>
      </w:pPr>
      <w:r>
        <w:rPr>
          <w:rFonts w:ascii="宋体" w:hAnsi="宋体" w:hint="eastAsia"/>
          <w:bCs/>
          <w:szCs w:val="21"/>
        </w:rPr>
        <w:t>7、募集资金</w:t>
      </w:r>
    </w:p>
    <w:p w:rsidR="008711D3" w:rsidRDefault="004479D9">
      <w:pPr>
        <w:spacing w:line="360" w:lineRule="auto"/>
        <w:ind w:firstLineChars="200" w:firstLine="420"/>
        <w:rPr>
          <w:rFonts w:ascii="宋体" w:hAnsi="宋体"/>
          <w:bCs/>
          <w:szCs w:val="21"/>
        </w:rPr>
      </w:pPr>
      <w:r>
        <w:rPr>
          <w:rFonts w:ascii="宋体" w:hAnsi="宋体" w:hint="eastAsia"/>
          <w:bCs/>
          <w:szCs w:val="21"/>
        </w:rPr>
        <w:t>基金管理人应将基金募集期间募集的资金存入专门账户，在基金募集行为结束前，任何人不得动用。</w:t>
      </w:r>
    </w:p>
    <w:p w:rsidR="008711D3" w:rsidRDefault="004479D9">
      <w:pPr>
        <w:pStyle w:val="1"/>
        <w:spacing w:before="340" w:after="330"/>
        <w:jc w:val="center"/>
        <w:rPr>
          <w:rFonts w:hAnsi="宋体"/>
          <w:bCs/>
          <w:color w:val="auto"/>
          <w:kern w:val="44"/>
          <w:sz w:val="21"/>
          <w:szCs w:val="21"/>
          <w:lang w:val="en-US"/>
        </w:rPr>
      </w:pPr>
      <w:bookmarkStart w:id="66" w:name="_Toc16920829"/>
      <w:bookmarkStart w:id="67" w:name="_Toc329187117"/>
      <w:bookmarkStart w:id="68" w:name="_Toc334542956"/>
      <w:bookmarkStart w:id="69" w:name="_Toc334542639"/>
      <w:r>
        <w:rPr>
          <w:rFonts w:hAnsi="宋体"/>
          <w:bCs/>
          <w:color w:val="auto"/>
          <w:kern w:val="44"/>
          <w:sz w:val="21"/>
          <w:szCs w:val="21"/>
          <w:lang w:val="en-US"/>
        </w:rPr>
        <w:br w:type="page"/>
      </w:r>
      <w:bookmarkStart w:id="70" w:name="_Toc71748065"/>
      <w:r>
        <w:rPr>
          <w:rFonts w:hAnsi="宋体" w:hint="eastAsia"/>
          <w:bCs/>
          <w:color w:val="auto"/>
          <w:kern w:val="44"/>
          <w:sz w:val="21"/>
          <w:szCs w:val="21"/>
        </w:rPr>
        <w:lastRenderedPageBreak/>
        <w:t>七、基金合同的生效</w:t>
      </w:r>
      <w:bookmarkEnd w:id="66"/>
      <w:bookmarkEnd w:id="67"/>
      <w:bookmarkEnd w:id="68"/>
      <w:bookmarkEnd w:id="69"/>
      <w:bookmarkEnd w:id="70"/>
    </w:p>
    <w:p w:rsidR="008711D3" w:rsidRDefault="004479D9">
      <w:pPr>
        <w:spacing w:line="360" w:lineRule="auto"/>
        <w:rPr>
          <w:rFonts w:ascii="宋体" w:hAnsi="宋体"/>
          <w:b/>
          <w:bCs/>
          <w:szCs w:val="21"/>
        </w:rPr>
      </w:pPr>
      <w:bookmarkStart w:id="71" w:name="_Toc76969591"/>
      <w:bookmarkStart w:id="72" w:name="_Toc334542640"/>
      <w:bookmarkStart w:id="73" w:name="_Toc334542957"/>
      <w:bookmarkStart w:id="74" w:name="_Toc329187118"/>
      <w:r>
        <w:rPr>
          <w:rFonts w:ascii="宋体" w:hAnsi="宋体" w:hint="eastAsia"/>
          <w:b/>
          <w:bCs/>
          <w:szCs w:val="21"/>
        </w:rPr>
        <w:t>（一）</w:t>
      </w:r>
      <w:r>
        <w:rPr>
          <w:rFonts w:ascii="宋体" w:hAnsi="宋体"/>
          <w:b/>
          <w:bCs/>
          <w:szCs w:val="21"/>
        </w:rPr>
        <w:t>基金备案的条件</w:t>
      </w:r>
    </w:p>
    <w:p w:rsidR="008711D3" w:rsidRDefault="004479D9">
      <w:pPr>
        <w:spacing w:line="360" w:lineRule="auto"/>
        <w:ind w:firstLine="420"/>
        <w:rPr>
          <w:rFonts w:ascii="宋体" w:hAnsi="宋体"/>
          <w:bCs/>
          <w:szCs w:val="21"/>
        </w:rPr>
      </w:pPr>
      <w:r>
        <w:rPr>
          <w:rFonts w:ascii="宋体" w:hAnsi="宋体" w:hint="eastAsia"/>
          <w:bCs/>
          <w:szCs w:val="21"/>
        </w:rPr>
        <w:t>本基金自基金份额发售之日起3个月内，在基金募集份额总额不少于2亿份，基金募集金额不少于2亿元人民币且基金份额有效认购人数不少于200人的条件下，基金募集期届满或基金管理人依据法律法规及招募说明书可以决定停止基金发售，并在募集结束之日起10日内聘请法定验资机构验资，自收到验资报告之日起10日内，向中国证监会办理基金备案手续。</w:t>
      </w:r>
    </w:p>
    <w:p w:rsidR="008711D3" w:rsidRDefault="004479D9">
      <w:pPr>
        <w:spacing w:line="360" w:lineRule="auto"/>
        <w:ind w:firstLine="420"/>
        <w:rPr>
          <w:rFonts w:ascii="宋体" w:hAnsi="宋体"/>
          <w:bCs/>
          <w:szCs w:val="21"/>
        </w:rPr>
      </w:pPr>
      <w:r>
        <w:rPr>
          <w:rFonts w:ascii="宋体" w:hAnsi="宋体" w:hint="eastAsia"/>
          <w:bCs/>
          <w:szCs w:val="21"/>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8711D3" w:rsidRDefault="004479D9">
      <w:pPr>
        <w:spacing w:line="360" w:lineRule="auto"/>
        <w:rPr>
          <w:rFonts w:ascii="宋体" w:hAnsi="宋体"/>
          <w:b/>
          <w:bCs/>
          <w:szCs w:val="21"/>
        </w:rPr>
      </w:pPr>
      <w:r>
        <w:rPr>
          <w:rFonts w:ascii="宋体" w:hAnsi="宋体" w:hint="eastAsia"/>
          <w:b/>
          <w:bCs/>
          <w:szCs w:val="21"/>
        </w:rPr>
        <w:t>（</w:t>
      </w:r>
      <w:r>
        <w:rPr>
          <w:rFonts w:ascii="宋体" w:hAnsi="宋体"/>
          <w:b/>
          <w:bCs/>
          <w:szCs w:val="21"/>
        </w:rPr>
        <w:t>二</w:t>
      </w:r>
      <w:r>
        <w:rPr>
          <w:rFonts w:ascii="宋体" w:hAnsi="宋体" w:hint="eastAsia"/>
          <w:b/>
          <w:bCs/>
          <w:szCs w:val="21"/>
        </w:rPr>
        <w:t>）</w:t>
      </w:r>
      <w:r>
        <w:rPr>
          <w:rFonts w:ascii="宋体" w:hAnsi="宋体"/>
          <w:b/>
          <w:bCs/>
          <w:szCs w:val="21"/>
        </w:rPr>
        <w:t>基金合同不能生效时募集资金的处理方式</w:t>
      </w:r>
    </w:p>
    <w:p w:rsidR="008711D3" w:rsidRDefault="004479D9">
      <w:pPr>
        <w:spacing w:line="360" w:lineRule="auto"/>
        <w:ind w:firstLineChars="200" w:firstLine="420"/>
        <w:rPr>
          <w:rFonts w:ascii="宋体" w:hAnsi="宋体"/>
          <w:bCs/>
          <w:szCs w:val="21"/>
        </w:rPr>
      </w:pPr>
      <w:r>
        <w:rPr>
          <w:rFonts w:ascii="宋体" w:hAnsi="宋体" w:hint="eastAsia"/>
          <w:bCs/>
          <w:szCs w:val="21"/>
        </w:rPr>
        <w:t>如果募集期限届满，未满足基金备案条件，基金管理人应当承担下列责任：</w:t>
      </w:r>
    </w:p>
    <w:p w:rsidR="008711D3" w:rsidRDefault="004479D9">
      <w:pPr>
        <w:spacing w:line="360" w:lineRule="auto"/>
        <w:ind w:firstLineChars="200" w:firstLine="420"/>
        <w:rPr>
          <w:rFonts w:ascii="宋体" w:hAnsi="宋体"/>
          <w:bCs/>
          <w:szCs w:val="21"/>
        </w:rPr>
      </w:pPr>
      <w:r>
        <w:rPr>
          <w:rFonts w:ascii="宋体" w:hAnsi="宋体" w:hint="eastAsia"/>
          <w:bCs/>
          <w:szCs w:val="21"/>
        </w:rPr>
        <w:t>1、以其固有财产承担因募集行为而产生的债务和费用；</w:t>
      </w:r>
    </w:p>
    <w:p w:rsidR="008711D3" w:rsidRDefault="004479D9">
      <w:pPr>
        <w:spacing w:line="360" w:lineRule="auto"/>
        <w:ind w:firstLineChars="200" w:firstLine="420"/>
        <w:rPr>
          <w:rFonts w:ascii="宋体" w:hAnsi="宋体"/>
          <w:bCs/>
          <w:szCs w:val="21"/>
        </w:rPr>
      </w:pPr>
      <w:r>
        <w:rPr>
          <w:rFonts w:ascii="宋体" w:hAnsi="宋体" w:hint="eastAsia"/>
          <w:bCs/>
          <w:szCs w:val="21"/>
        </w:rPr>
        <w:t>2、在基金募集期限届满后30日内返还投资者已缴纳的款项，并加计银行同期活期存款利息；</w:t>
      </w:r>
    </w:p>
    <w:p w:rsidR="008711D3" w:rsidRDefault="004479D9">
      <w:pPr>
        <w:spacing w:line="360" w:lineRule="auto"/>
        <w:ind w:firstLineChars="200" w:firstLine="420"/>
        <w:rPr>
          <w:rFonts w:ascii="宋体" w:hAnsi="宋体"/>
          <w:bCs/>
          <w:szCs w:val="21"/>
        </w:rPr>
      </w:pPr>
      <w:r>
        <w:rPr>
          <w:rFonts w:ascii="宋体" w:hAnsi="宋体" w:hint="eastAsia"/>
          <w:bCs/>
          <w:szCs w:val="21"/>
        </w:rPr>
        <w:t>如基金募集失败，基金管理人、基金托管人及销售机构不得请求报酬。基金管理人、基金托管人和销售机构为基金募集支付之一切费用应由各方各自承担。</w:t>
      </w:r>
    </w:p>
    <w:p w:rsidR="008711D3" w:rsidRDefault="004479D9">
      <w:pPr>
        <w:spacing w:line="360" w:lineRule="auto"/>
        <w:rPr>
          <w:rFonts w:ascii="宋体" w:hAnsi="宋体"/>
          <w:b/>
          <w:bCs/>
          <w:szCs w:val="21"/>
        </w:rPr>
      </w:pPr>
      <w:r>
        <w:rPr>
          <w:rFonts w:ascii="宋体" w:hAnsi="宋体" w:hint="eastAsia"/>
          <w:b/>
          <w:bCs/>
          <w:szCs w:val="21"/>
        </w:rPr>
        <w:t>（</w:t>
      </w:r>
      <w:r>
        <w:rPr>
          <w:rFonts w:ascii="宋体" w:hAnsi="宋体"/>
          <w:b/>
          <w:bCs/>
          <w:szCs w:val="21"/>
        </w:rPr>
        <w:t>三</w:t>
      </w:r>
      <w:r>
        <w:rPr>
          <w:rFonts w:ascii="宋体" w:hAnsi="宋体" w:hint="eastAsia"/>
          <w:b/>
          <w:bCs/>
          <w:szCs w:val="21"/>
        </w:rPr>
        <w:t>）</w:t>
      </w:r>
      <w:r>
        <w:rPr>
          <w:rFonts w:ascii="宋体" w:hAnsi="宋体"/>
          <w:b/>
          <w:bCs/>
          <w:szCs w:val="21"/>
        </w:rPr>
        <w:t>基金存续期内的基金份额持有人数量和资产规模</w:t>
      </w:r>
    </w:p>
    <w:p w:rsidR="008711D3" w:rsidRDefault="004479D9">
      <w:pPr>
        <w:spacing w:line="360" w:lineRule="auto"/>
        <w:ind w:firstLineChars="200" w:firstLine="420"/>
        <w:rPr>
          <w:rFonts w:ascii="宋体" w:hAnsi="宋体"/>
          <w:bCs/>
          <w:szCs w:val="21"/>
        </w:rPr>
      </w:pPr>
      <w:r>
        <w:rPr>
          <w:rFonts w:ascii="宋体" w:hAnsi="宋体" w:hint="eastAsia"/>
          <w:bCs/>
          <w:szCs w:val="21"/>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于6个月内召集基金份额持有人大会进行表决。</w:t>
      </w:r>
    </w:p>
    <w:p w:rsidR="008711D3" w:rsidRDefault="004479D9">
      <w:pPr>
        <w:spacing w:line="360" w:lineRule="auto"/>
        <w:ind w:firstLineChars="200" w:firstLine="420"/>
        <w:rPr>
          <w:rFonts w:ascii="宋体" w:hAnsi="宋体"/>
          <w:bCs/>
          <w:szCs w:val="21"/>
        </w:rPr>
      </w:pPr>
      <w:r>
        <w:rPr>
          <w:rFonts w:ascii="宋体" w:hAnsi="宋体" w:hint="eastAsia"/>
          <w:bCs/>
          <w:szCs w:val="21"/>
        </w:rPr>
        <w:t>法律法规或中国证监会另有规定时，从其规定。</w:t>
      </w:r>
    </w:p>
    <w:p w:rsidR="008711D3" w:rsidRDefault="004479D9">
      <w:pPr>
        <w:spacing w:line="360" w:lineRule="auto"/>
        <w:ind w:firstLine="480"/>
        <w:rPr>
          <w:kern w:val="44"/>
        </w:rPr>
      </w:pPr>
      <w:r>
        <w:rPr>
          <w:kern w:val="44"/>
        </w:rPr>
        <w:br w:type="page"/>
      </w:r>
    </w:p>
    <w:p w:rsidR="008711D3" w:rsidRDefault="004479D9">
      <w:pPr>
        <w:pStyle w:val="1"/>
        <w:spacing w:before="340" w:after="330"/>
        <w:jc w:val="center"/>
        <w:rPr>
          <w:rFonts w:hAnsi="宋体"/>
          <w:bCs/>
          <w:color w:val="auto"/>
          <w:kern w:val="44"/>
          <w:sz w:val="21"/>
          <w:szCs w:val="21"/>
        </w:rPr>
      </w:pPr>
      <w:bookmarkStart w:id="75" w:name="_Toc71748066"/>
      <w:r>
        <w:rPr>
          <w:rFonts w:hAnsi="宋体" w:hint="eastAsia"/>
          <w:bCs/>
          <w:color w:val="auto"/>
          <w:kern w:val="44"/>
          <w:sz w:val="21"/>
          <w:szCs w:val="21"/>
        </w:rPr>
        <w:lastRenderedPageBreak/>
        <w:t>八、基金份额的申购与赎回</w:t>
      </w:r>
      <w:bookmarkEnd w:id="71"/>
      <w:bookmarkEnd w:id="72"/>
      <w:bookmarkEnd w:id="73"/>
      <w:bookmarkEnd w:id="74"/>
      <w:bookmarkEnd w:id="75"/>
    </w:p>
    <w:p w:rsidR="008711D3" w:rsidRDefault="004479D9">
      <w:pPr>
        <w:spacing w:line="360" w:lineRule="auto"/>
        <w:ind w:firstLineChars="200" w:firstLine="422"/>
        <w:rPr>
          <w:b/>
          <w:szCs w:val="21"/>
        </w:rPr>
      </w:pPr>
      <w:r>
        <w:rPr>
          <w:rFonts w:hint="eastAsia"/>
          <w:b/>
          <w:szCs w:val="21"/>
        </w:rPr>
        <w:t>（一）申购和赎回场所</w:t>
      </w:r>
    </w:p>
    <w:p w:rsidR="008711D3" w:rsidRDefault="004479D9">
      <w:pPr>
        <w:spacing w:line="360" w:lineRule="auto"/>
        <w:ind w:firstLineChars="200" w:firstLine="420"/>
        <w:rPr>
          <w:szCs w:val="21"/>
        </w:rPr>
      </w:pPr>
      <w:r>
        <w:rPr>
          <w:rFonts w:hint="eastAsia"/>
          <w:szCs w:val="21"/>
        </w:rPr>
        <w:t>本基金的申购与赎回将通过销售机构进行。具体的销售机构将由基金管理人在招募说明书或基金管理人网站列明。基金管理人可根据情况针对某类基金份额变更或增减销售机构，并在基金管理人网站公示。基金投资者应当在销售机构办理基金销售业务的营业场所或按销售机构提供的其他方式办理基金份额的申购与赎回。</w:t>
      </w:r>
    </w:p>
    <w:p w:rsidR="008711D3" w:rsidRDefault="004479D9">
      <w:pPr>
        <w:spacing w:line="360" w:lineRule="auto"/>
        <w:ind w:firstLineChars="200" w:firstLine="422"/>
        <w:rPr>
          <w:b/>
          <w:szCs w:val="21"/>
        </w:rPr>
      </w:pPr>
      <w:r>
        <w:rPr>
          <w:rFonts w:hint="eastAsia"/>
          <w:b/>
          <w:szCs w:val="21"/>
        </w:rPr>
        <w:t>（二）申购和赎回的开放日及时间</w:t>
      </w:r>
    </w:p>
    <w:p w:rsidR="008711D3" w:rsidRDefault="004479D9">
      <w:pPr>
        <w:spacing w:line="360" w:lineRule="auto"/>
        <w:ind w:firstLineChars="200" w:firstLine="420"/>
        <w:rPr>
          <w:rFonts w:ascii="宋体" w:hAnsi="宋体"/>
          <w:szCs w:val="21"/>
        </w:rPr>
      </w:pPr>
      <w:r>
        <w:rPr>
          <w:szCs w:val="21"/>
        </w:rPr>
        <w:t>1</w:t>
      </w:r>
      <w:r>
        <w:rPr>
          <w:rFonts w:hint="eastAsia"/>
          <w:szCs w:val="21"/>
        </w:rPr>
        <w:t>、</w:t>
      </w:r>
      <w:r>
        <w:rPr>
          <w:rFonts w:hint="eastAsia"/>
          <w:bCs/>
          <w:szCs w:val="21"/>
        </w:rPr>
        <w:t>开放日及</w:t>
      </w:r>
      <w:r>
        <w:rPr>
          <w:rFonts w:hint="eastAsia"/>
          <w:szCs w:val="21"/>
        </w:rPr>
        <w:t>开放时间</w:t>
      </w:r>
    </w:p>
    <w:p w:rsidR="008711D3" w:rsidRDefault="004479D9">
      <w:pPr>
        <w:spacing w:line="360" w:lineRule="auto"/>
        <w:ind w:firstLineChars="200" w:firstLine="420"/>
        <w:rPr>
          <w:szCs w:val="21"/>
        </w:rPr>
      </w:pPr>
      <w:r>
        <w:rPr>
          <w:rFonts w:hint="eastAsia"/>
          <w:szCs w:val="21"/>
        </w:rPr>
        <w:t>投资人</w:t>
      </w:r>
      <w:r>
        <w:rPr>
          <w:bCs/>
          <w:szCs w:val="21"/>
        </w:rPr>
        <w:t>在开放日的开放时间</w:t>
      </w:r>
      <w:r>
        <w:rPr>
          <w:rFonts w:hint="eastAsia"/>
          <w:szCs w:val="21"/>
        </w:rPr>
        <w:t>办理基金份额的申购和赎回，若该工作日为非港股通交易日，则本基金不开放基金份额申购、赎回或其他业务，具体办理时间为上海证券交易所、深圳证券交易所（以下统称为“证券交易所”）的正常交易日的交易时间，但基金管理人根据法律法规、中国证监会的要求或基金合同的规定公告暂停申购、赎回时除外。</w:t>
      </w:r>
    </w:p>
    <w:p w:rsidR="008711D3" w:rsidRDefault="004479D9">
      <w:pPr>
        <w:spacing w:line="360" w:lineRule="auto"/>
        <w:ind w:firstLineChars="200" w:firstLine="420"/>
        <w:rPr>
          <w:szCs w:val="21"/>
        </w:rPr>
      </w:pPr>
      <w:r>
        <w:rPr>
          <w:rFonts w:hint="eastAsia"/>
          <w:szCs w:val="21"/>
        </w:rPr>
        <w:t>基金合同生效后，若证券交易所交易时间变更或本基金投资于证券交易所以外其他证券交易场所的交易标的或有其他特殊情况，基金管理人将视情况对前述开放日及开放时间进行相应的调整，但应在实施日前依照《信息披露办法》的有关规定在规定媒介上公告。</w:t>
      </w:r>
    </w:p>
    <w:p w:rsidR="008711D3" w:rsidRDefault="004479D9">
      <w:pPr>
        <w:spacing w:line="360" w:lineRule="auto"/>
        <w:ind w:firstLineChars="200" w:firstLine="420"/>
        <w:rPr>
          <w:szCs w:val="21"/>
        </w:rPr>
      </w:pPr>
      <w:r>
        <w:rPr>
          <w:bCs/>
          <w:szCs w:val="21"/>
        </w:rPr>
        <w:t>2</w:t>
      </w:r>
      <w:r>
        <w:rPr>
          <w:rFonts w:hint="eastAsia"/>
          <w:szCs w:val="21"/>
        </w:rPr>
        <w:t>、申购、赎回开始日及业务办理时间</w:t>
      </w:r>
    </w:p>
    <w:p w:rsidR="008711D3" w:rsidRDefault="004479D9">
      <w:pPr>
        <w:spacing w:line="360" w:lineRule="auto"/>
        <w:ind w:firstLineChars="200" w:firstLine="420"/>
        <w:rPr>
          <w:bCs/>
          <w:szCs w:val="21"/>
        </w:rPr>
      </w:pPr>
      <w:r>
        <w:rPr>
          <w:bCs/>
          <w:szCs w:val="21"/>
        </w:rPr>
        <w:t>基金合同生效后</w:t>
      </w:r>
      <w:r>
        <w:rPr>
          <w:rFonts w:hint="eastAsia"/>
          <w:bCs/>
          <w:szCs w:val="21"/>
        </w:rPr>
        <w:t>，</w:t>
      </w:r>
      <w:r>
        <w:rPr>
          <w:bCs/>
          <w:szCs w:val="21"/>
        </w:rPr>
        <w:t>基金管理人在满足监管要求的情况下</w:t>
      </w:r>
      <w:r>
        <w:rPr>
          <w:rFonts w:hint="eastAsia"/>
          <w:bCs/>
          <w:szCs w:val="21"/>
        </w:rPr>
        <w:t>，</w:t>
      </w:r>
      <w:r>
        <w:rPr>
          <w:bCs/>
          <w:szCs w:val="21"/>
        </w:rPr>
        <w:t>根据本基金运作的需要决定本基金开始办理申购的具体日期</w:t>
      </w:r>
      <w:r>
        <w:rPr>
          <w:rFonts w:hint="eastAsia"/>
          <w:bCs/>
          <w:szCs w:val="21"/>
        </w:rPr>
        <w:t>，</w:t>
      </w:r>
      <w:r>
        <w:rPr>
          <w:bCs/>
          <w:szCs w:val="21"/>
        </w:rPr>
        <w:t>具体业务办理时间在申购开始公告中规定。</w:t>
      </w:r>
    </w:p>
    <w:p w:rsidR="008711D3" w:rsidRDefault="004479D9">
      <w:pPr>
        <w:spacing w:line="360" w:lineRule="auto"/>
        <w:ind w:firstLineChars="200" w:firstLine="420"/>
        <w:rPr>
          <w:bCs/>
          <w:szCs w:val="21"/>
        </w:rPr>
      </w:pPr>
      <w:r>
        <w:rPr>
          <w:bCs/>
          <w:szCs w:val="21"/>
        </w:rPr>
        <w:t>基金合同生效后</w:t>
      </w:r>
      <w:r>
        <w:rPr>
          <w:rFonts w:hint="eastAsia"/>
          <w:bCs/>
          <w:szCs w:val="21"/>
        </w:rPr>
        <w:t>，</w:t>
      </w:r>
      <w:r>
        <w:rPr>
          <w:bCs/>
          <w:szCs w:val="21"/>
        </w:rPr>
        <w:t>基金管理人在满足监管要求的情况下</w:t>
      </w:r>
      <w:r>
        <w:rPr>
          <w:rFonts w:hint="eastAsia"/>
          <w:bCs/>
          <w:szCs w:val="21"/>
        </w:rPr>
        <w:t>，</w:t>
      </w:r>
      <w:r>
        <w:rPr>
          <w:bCs/>
          <w:szCs w:val="21"/>
        </w:rPr>
        <w:t>根据本基金运作的需要决定本基金开始办理赎回的具体日期</w:t>
      </w:r>
      <w:r>
        <w:rPr>
          <w:rFonts w:hint="eastAsia"/>
          <w:bCs/>
          <w:szCs w:val="21"/>
        </w:rPr>
        <w:t>，</w:t>
      </w:r>
      <w:r>
        <w:rPr>
          <w:bCs/>
          <w:szCs w:val="21"/>
        </w:rPr>
        <w:t>具体业务办理时间在赎回开始公告中规定。</w:t>
      </w:r>
    </w:p>
    <w:p w:rsidR="008711D3" w:rsidRDefault="004479D9">
      <w:pPr>
        <w:spacing w:line="360" w:lineRule="auto"/>
        <w:ind w:firstLineChars="200" w:firstLine="420"/>
        <w:rPr>
          <w:bCs/>
          <w:szCs w:val="21"/>
        </w:rPr>
      </w:pPr>
      <w:r>
        <w:rPr>
          <w:bCs/>
          <w:szCs w:val="21"/>
        </w:rPr>
        <w:t>在确定申购开始与赎回开始时间后，基金管理人应在申购、赎回开放日前依照《信息披露办法》的有关规定在规定</w:t>
      </w:r>
      <w:r>
        <w:rPr>
          <w:rFonts w:hint="eastAsia"/>
          <w:bCs/>
          <w:szCs w:val="21"/>
        </w:rPr>
        <w:t>媒介</w:t>
      </w:r>
      <w:r>
        <w:rPr>
          <w:bCs/>
          <w:szCs w:val="21"/>
        </w:rPr>
        <w:t>上公告申购与赎回的开始时间。</w:t>
      </w:r>
    </w:p>
    <w:p w:rsidR="008711D3" w:rsidRDefault="004479D9">
      <w:pPr>
        <w:spacing w:line="360" w:lineRule="auto"/>
        <w:ind w:firstLineChars="200" w:firstLine="420"/>
        <w:rPr>
          <w:szCs w:val="21"/>
        </w:rPr>
      </w:pPr>
      <w:r>
        <w:rPr>
          <w:rFonts w:hint="eastAsia"/>
          <w:szCs w:val="21"/>
        </w:rPr>
        <w:t>基金管理人不得在基金合同约定之外的日期或者时间办理基金份额的申购、赎回或者转换。投资人在基金合同约定之外的日期和时间提出申购、赎回或转换申请，登记机构有权拒绝，如登记机构接收的，视为投资人在下一开放日提出的申购、赎回或转换申请，并按照下一开放日的申请处理。</w:t>
      </w:r>
    </w:p>
    <w:p w:rsidR="008711D3" w:rsidRDefault="004479D9">
      <w:pPr>
        <w:spacing w:line="360" w:lineRule="auto"/>
        <w:ind w:firstLineChars="200" w:firstLine="422"/>
        <w:rPr>
          <w:b/>
          <w:szCs w:val="21"/>
        </w:rPr>
      </w:pPr>
      <w:r>
        <w:rPr>
          <w:rFonts w:hint="eastAsia"/>
          <w:b/>
          <w:szCs w:val="21"/>
        </w:rPr>
        <w:t>（三）申购与赎回的原则</w:t>
      </w:r>
    </w:p>
    <w:p w:rsidR="008711D3" w:rsidRDefault="004479D9">
      <w:pPr>
        <w:spacing w:line="360" w:lineRule="auto"/>
        <w:ind w:firstLineChars="200" w:firstLine="420"/>
        <w:rPr>
          <w:szCs w:val="21"/>
        </w:rPr>
      </w:pPr>
      <w:r>
        <w:rPr>
          <w:szCs w:val="21"/>
        </w:rPr>
        <w:t>1</w:t>
      </w:r>
      <w:r>
        <w:rPr>
          <w:rFonts w:hint="eastAsia"/>
          <w:szCs w:val="21"/>
        </w:rPr>
        <w:t>、</w:t>
      </w:r>
      <w:r>
        <w:rPr>
          <w:szCs w:val="21"/>
        </w:rPr>
        <w:t>“</w:t>
      </w:r>
      <w:r>
        <w:rPr>
          <w:rFonts w:hint="eastAsia"/>
          <w:szCs w:val="21"/>
        </w:rPr>
        <w:t>未知价</w:t>
      </w:r>
      <w:r>
        <w:rPr>
          <w:szCs w:val="21"/>
        </w:rPr>
        <w:t>”</w:t>
      </w:r>
      <w:r>
        <w:rPr>
          <w:rFonts w:hint="eastAsia"/>
          <w:szCs w:val="21"/>
        </w:rPr>
        <w:t>原则，即申购、赎回价格以申请当日收市后计算的基金份额净值为基准进行计算；</w:t>
      </w:r>
    </w:p>
    <w:p w:rsidR="008711D3" w:rsidRDefault="004479D9">
      <w:pPr>
        <w:spacing w:line="360" w:lineRule="auto"/>
        <w:ind w:firstLineChars="200" w:firstLine="420"/>
        <w:rPr>
          <w:szCs w:val="21"/>
        </w:rPr>
      </w:pPr>
      <w:r>
        <w:rPr>
          <w:szCs w:val="21"/>
        </w:rPr>
        <w:lastRenderedPageBreak/>
        <w:t>2</w:t>
      </w:r>
      <w:r>
        <w:rPr>
          <w:rFonts w:hint="eastAsia"/>
          <w:szCs w:val="21"/>
        </w:rPr>
        <w:t>、</w:t>
      </w:r>
      <w:r>
        <w:rPr>
          <w:szCs w:val="21"/>
        </w:rPr>
        <w:t>“</w:t>
      </w:r>
      <w:r>
        <w:rPr>
          <w:rFonts w:hint="eastAsia"/>
          <w:szCs w:val="21"/>
        </w:rPr>
        <w:t>金额申购、份额赎回</w:t>
      </w:r>
      <w:r>
        <w:rPr>
          <w:szCs w:val="21"/>
        </w:rPr>
        <w:t>”</w:t>
      </w:r>
      <w:r>
        <w:rPr>
          <w:rFonts w:hint="eastAsia"/>
          <w:szCs w:val="21"/>
        </w:rPr>
        <w:t>原则，即申购以金额申请，赎回以份额申请；</w:t>
      </w:r>
    </w:p>
    <w:p w:rsidR="008711D3" w:rsidRDefault="004479D9">
      <w:pPr>
        <w:spacing w:line="360" w:lineRule="auto"/>
        <w:ind w:firstLineChars="200" w:firstLine="420"/>
        <w:rPr>
          <w:szCs w:val="21"/>
        </w:rPr>
      </w:pPr>
      <w:r>
        <w:rPr>
          <w:szCs w:val="21"/>
        </w:rPr>
        <w:t>3</w:t>
      </w:r>
      <w:r>
        <w:rPr>
          <w:rFonts w:hint="eastAsia"/>
          <w:szCs w:val="21"/>
        </w:rPr>
        <w:t>、当日的申购与赎回申请可以在基金管理人规定的时间以内撤销；</w:t>
      </w:r>
    </w:p>
    <w:p w:rsidR="008711D3" w:rsidRDefault="004479D9">
      <w:pPr>
        <w:spacing w:line="360" w:lineRule="auto"/>
        <w:ind w:firstLineChars="200" w:firstLine="420"/>
        <w:rPr>
          <w:szCs w:val="21"/>
        </w:rPr>
      </w:pPr>
      <w:r>
        <w:rPr>
          <w:szCs w:val="21"/>
        </w:rPr>
        <w:t>4</w:t>
      </w:r>
      <w:r>
        <w:rPr>
          <w:rFonts w:hint="eastAsia"/>
          <w:szCs w:val="21"/>
        </w:rPr>
        <w:t>、赎回遵循</w:t>
      </w:r>
      <w:r>
        <w:rPr>
          <w:szCs w:val="21"/>
        </w:rPr>
        <w:t>“</w:t>
      </w:r>
      <w:r>
        <w:rPr>
          <w:rFonts w:hint="eastAsia"/>
          <w:szCs w:val="21"/>
        </w:rPr>
        <w:t>先进先出</w:t>
      </w:r>
      <w:r>
        <w:rPr>
          <w:szCs w:val="21"/>
        </w:rPr>
        <w:t>”</w:t>
      </w:r>
      <w:r>
        <w:rPr>
          <w:rFonts w:hint="eastAsia"/>
          <w:szCs w:val="21"/>
        </w:rPr>
        <w:t>原则，即按照投资人认购、申购的先后次序进行顺序赎回，先认购或申购的份额先赎回；</w:t>
      </w:r>
    </w:p>
    <w:p w:rsidR="008711D3" w:rsidRDefault="004479D9">
      <w:pPr>
        <w:spacing w:line="360" w:lineRule="auto"/>
        <w:ind w:firstLineChars="200" w:firstLine="420"/>
        <w:rPr>
          <w:b/>
          <w:szCs w:val="21"/>
          <w:u w:val="single"/>
        </w:rPr>
      </w:pPr>
      <w:r>
        <w:rPr>
          <w:bCs/>
          <w:szCs w:val="21"/>
        </w:rPr>
        <w:t>5</w:t>
      </w:r>
      <w:r>
        <w:rPr>
          <w:rFonts w:hint="eastAsia"/>
          <w:szCs w:val="21"/>
        </w:rPr>
        <w:t>、办理申购、赎回业务时，应当遵循基金份额持有人利益优先原则</w:t>
      </w:r>
      <w:r>
        <w:rPr>
          <w:rFonts w:hint="eastAsia"/>
          <w:bCs/>
          <w:szCs w:val="21"/>
        </w:rPr>
        <w:t>，确保投资者的合法权益不受损害并得到公平对待</w:t>
      </w:r>
      <w:r>
        <w:rPr>
          <w:rFonts w:hint="eastAsia"/>
          <w:szCs w:val="21"/>
        </w:rPr>
        <w:t>。</w:t>
      </w:r>
    </w:p>
    <w:p w:rsidR="008711D3" w:rsidRDefault="004479D9">
      <w:pPr>
        <w:spacing w:line="360" w:lineRule="auto"/>
        <w:ind w:firstLineChars="200" w:firstLine="420"/>
        <w:rPr>
          <w:szCs w:val="21"/>
        </w:rPr>
      </w:pPr>
      <w:r>
        <w:rPr>
          <w:rFonts w:hint="eastAsia"/>
          <w:szCs w:val="21"/>
        </w:rPr>
        <w:t>基金管理人可在不违反法律法规的情况下，对上述原则进行调整。基金管理人必须在新规则开始实施前依照《信息披露办法》的有关规定在规定媒介上公告。</w:t>
      </w:r>
    </w:p>
    <w:p w:rsidR="008711D3" w:rsidRDefault="004479D9">
      <w:pPr>
        <w:spacing w:line="360" w:lineRule="auto"/>
        <w:ind w:firstLineChars="200" w:firstLine="422"/>
        <w:rPr>
          <w:b/>
          <w:szCs w:val="21"/>
        </w:rPr>
      </w:pPr>
      <w:r>
        <w:rPr>
          <w:rFonts w:hint="eastAsia"/>
          <w:b/>
          <w:szCs w:val="21"/>
        </w:rPr>
        <w:t>（四）申购与赎回的程序</w:t>
      </w:r>
    </w:p>
    <w:p w:rsidR="008711D3" w:rsidRDefault="004479D9">
      <w:pPr>
        <w:spacing w:line="360" w:lineRule="auto"/>
        <w:ind w:firstLineChars="200" w:firstLine="420"/>
        <w:rPr>
          <w:szCs w:val="21"/>
        </w:rPr>
      </w:pPr>
      <w:r>
        <w:rPr>
          <w:szCs w:val="21"/>
        </w:rPr>
        <w:t>1</w:t>
      </w:r>
      <w:r>
        <w:rPr>
          <w:rFonts w:hint="eastAsia"/>
          <w:szCs w:val="21"/>
        </w:rPr>
        <w:t>、申购和赎回的申请方式</w:t>
      </w:r>
    </w:p>
    <w:p w:rsidR="008711D3" w:rsidRDefault="004479D9">
      <w:pPr>
        <w:spacing w:line="360" w:lineRule="auto"/>
        <w:ind w:firstLineChars="200" w:firstLine="420"/>
        <w:rPr>
          <w:szCs w:val="21"/>
        </w:rPr>
      </w:pPr>
      <w:r>
        <w:rPr>
          <w:rFonts w:hint="eastAsia"/>
          <w:szCs w:val="21"/>
        </w:rPr>
        <w:t>投资人应根据销售机构规定的程序，在开放日的开放时间内提出申购或赎回的申请。</w:t>
      </w:r>
    </w:p>
    <w:p w:rsidR="008711D3" w:rsidRDefault="004479D9">
      <w:pPr>
        <w:spacing w:line="360" w:lineRule="auto"/>
        <w:ind w:firstLineChars="200" w:firstLine="420"/>
        <w:rPr>
          <w:szCs w:val="21"/>
        </w:rPr>
      </w:pPr>
      <w:r>
        <w:rPr>
          <w:rFonts w:hint="eastAsia"/>
          <w:szCs w:val="21"/>
        </w:rPr>
        <w:t>投资人办理申购、赎回等业务时应提交的文件和办理手续、办理时间、处理规则等在遵守基金合同和招募说明书规定的前提下，以各销售机构的具体规定为准。</w:t>
      </w:r>
    </w:p>
    <w:p w:rsidR="008711D3" w:rsidRDefault="004479D9">
      <w:pPr>
        <w:spacing w:line="360" w:lineRule="auto"/>
        <w:ind w:firstLineChars="200" w:firstLine="420"/>
        <w:rPr>
          <w:szCs w:val="21"/>
        </w:rPr>
      </w:pPr>
      <w:r>
        <w:rPr>
          <w:szCs w:val="21"/>
        </w:rPr>
        <w:t>2</w:t>
      </w:r>
      <w:r>
        <w:rPr>
          <w:rFonts w:hint="eastAsia"/>
          <w:szCs w:val="21"/>
        </w:rPr>
        <w:t>、申购和赎回的款项支付</w:t>
      </w:r>
    </w:p>
    <w:p w:rsidR="008711D3" w:rsidRDefault="004479D9">
      <w:pPr>
        <w:spacing w:line="360" w:lineRule="auto"/>
        <w:ind w:firstLineChars="200" w:firstLine="420"/>
        <w:rPr>
          <w:szCs w:val="21"/>
        </w:rPr>
      </w:pPr>
      <w:r>
        <w:rPr>
          <w:rFonts w:hint="eastAsia"/>
          <w:szCs w:val="21"/>
          <w:lang w:val="zh-CN"/>
        </w:rPr>
        <w:t>投资人申购基金份额时，必须在规定时间内全额交付申购款项，投资人交付申购款项，申购成立；基金份额登记机构确认基金份额时，申购生效。</w:t>
      </w:r>
    </w:p>
    <w:p w:rsidR="008711D3" w:rsidRDefault="004479D9">
      <w:pPr>
        <w:spacing w:line="360" w:lineRule="auto"/>
        <w:ind w:firstLineChars="200" w:firstLine="420"/>
        <w:rPr>
          <w:szCs w:val="21"/>
        </w:rPr>
      </w:pPr>
      <w:r>
        <w:rPr>
          <w:rFonts w:hint="eastAsia"/>
          <w:szCs w:val="21"/>
        </w:rPr>
        <w:t>基金份额持有人递交赎回申请，赎回成立；基金份额登记机构确认赎回时，赎回生效。投资者赎回申请生效后，基金管理人将在</w:t>
      </w:r>
      <w:r>
        <w:rPr>
          <w:szCs w:val="21"/>
        </w:rPr>
        <w:t>T</w:t>
      </w:r>
      <w:r>
        <w:rPr>
          <w:rFonts w:hint="eastAsia"/>
          <w:szCs w:val="21"/>
        </w:rPr>
        <w:t>＋</w:t>
      </w:r>
      <w:r>
        <w:rPr>
          <w:szCs w:val="21"/>
        </w:rPr>
        <w:t>7</w:t>
      </w:r>
      <w:r>
        <w:rPr>
          <w:rFonts w:hint="eastAsia"/>
          <w:szCs w:val="21"/>
        </w:rPr>
        <w:t>日</w:t>
      </w:r>
      <w:r>
        <w:rPr>
          <w:szCs w:val="21"/>
        </w:rPr>
        <w:t>(</w:t>
      </w:r>
      <w:r>
        <w:rPr>
          <w:rFonts w:hint="eastAsia"/>
          <w:szCs w:val="21"/>
        </w:rPr>
        <w:t>含本日</w:t>
      </w:r>
      <w:r>
        <w:rPr>
          <w:szCs w:val="21"/>
        </w:rPr>
        <w:t>)</w:t>
      </w:r>
      <w:r>
        <w:rPr>
          <w:rFonts w:hint="eastAsia"/>
          <w:szCs w:val="21"/>
        </w:rPr>
        <w:t>内支付赎回款项。遇</w:t>
      </w:r>
      <w:r>
        <w:rPr>
          <w:rFonts w:hint="eastAsia"/>
          <w:bCs/>
          <w:szCs w:val="21"/>
        </w:rPr>
        <w:t>证券、期货交易所</w:t>
      </w:r>
      <w:r>
        <w:rPr>
          <w:rFonts w:hint="eastAsia"/>
          <w:szCs w:val="21"/>
        </w:rPr>
        <w:t>或交易市场数据传输延迟、通讯系统故障、银行数据交换系统故障等非基金管理人及基金托管人所能控制的因素影响业务处理流程时，赎回款项的支付时间相应顺延。</w:t>
      </w:r>
      <w:r>
        <w:rPr>
          <w:rFonts w:hint="eastAsia"/>
          <w:bCs/>
          <w:szCs w:val="21"/>
        </w:rPr>
        <w:t>如出现港股通暂停交易或交收、流动性不足等原因导致无法足额卖出或遇港股通交易的非交收日而导致延迟交收，赎回款项的清算交收可延迟办理。</w:t>
      </w:r>
      <w:r>
        <w:rPr>
          <w:rFonts w:hint="eastAsia"/>
          <w:szCs w:val="21"/>
        </w:rPr>
        <w:t>在发生巨额赎回或基金合同载明的其他暂停赎回或延缓支付赎回款项的情形时，款项的支付按照基金合同有关条款处理。</w:t>
      </w:r>
    </w:p>
    <w:p w:rsidR="008711D3" w:rsidRDefault="004479D9">
      <w:pPr>
        <w:spacing w:line="360" w:lineRule="auto"/>
        <w:ind w:firstLineChars="200" w:firstLine="420"/>
        <w:rPr>
          <w:szCs w:val="21"/>
        </w:rPr>
      </w:pPr>
      <w:r>
        <w:rPr>
          <w:szCs w:val="21"/>
        </w:rPr>
        <w:t>3</w:t>
      </w:r>
      <w:r>
        <w:rPr>
          <w:rFonts w:hint="eastAsia"/>
          <w:szCs w:val="21"/>
        </w:rPr>
        <w:t>、申购和赎回申请的确认</w:t>
      </w:r>
    </w:p>
    <w:p w:rsidR="008711D3" w:rsidRDefault="004479D9">
      <w:pPr>
        <w:spacing w:line="360" w:lineRule="auto"/>
        <w:ind w:firstLineChars="200" w:firstLine="420"/>
        <w:rPr>
          <w:szCs w:val="21"/>
        </w:rPr>
      </w:pPr>
      <w:r>
        <w:rPr>
          <w:rFonts w:hint="eastAsia"/>
          <w:szCs w:val="21"/>
        </w:rPr>
        <w:t>基金管理人应以交易时间结束前受理有效申购或赎回申请的当天作为申购或赎回申请日</w:t>
      </w:r>
      <w:r>
        <w:rPr>
          <w:szCs w:val="21"/>
        </w:rPr>
        <w:t>(T</w:t>
      </w:r>
      <w:r>
        <w:rPr>
          <w:rFonts w:hint="eastAsia"/>
          <w:szCs w:val="21"/>
        </w:rPr>
        <w:t>日</w:t>
      </w:r>
      <w:r>
        <w:rPr>
          <w:szCs w:val="21"/>
        </w:rPr>
        <w:t>)</w:t>
      </w:r>
      <w:r>
        <w:rPr>
          <w:rFonts w:hint="eastAsia"/>
          <w:szCs w:val="21"/>
        </w:rPr>
        <w:t>，在正常情况下，本基金登记机构在</w:t>
      </w:r>
      <w:r>
        <w:rPr>
          <w:szCs w:val="21"/>
        </w:rPr>
        <w:t>T+1</w:t>
      </w:r>
      <w:r>
        <w:rPr>
          <w:rFonts w:hint="eastAsia"/>
          <w:szCs w:val="21"/>
        </w:rPr>
        <w:t>日内对该交易的有效性进行确认。本基金份额登记机构确认申购或赎回的，申购或赎回生效。</w:t>
      </w:r>
      <w:r>
        <w:rPr>
          <w:szCs w:val="21"/>
        </w:rPr>
        <w:t>T</w:t>
      </w:r>
      <w:r>
        <w:rPr>
          <w:rFonts w:hint="eastAsia"/>
          <w:szCs w:val="21"/>
        </w:rPr>
        <w:t>日提交的有效申请，投资人</w:t>
      </w:r>
      <w:r>
        <w:rPr>
          <w:rFonts w:hint="eastAsia"/>
          <w:bCs/>
          <w:szCs w:val="21"/>
        </w:rPr>
        <w:t>可</w:t>
      </w:r>
      <w:r>
        <w:rPr>
          <w:bCs/>
          <w:szCs w:val="21"/>
        </w:rPr>
        <w:t>在</w:t>
      </w:r>
      <w:r>
        <w:rPr>
          <w:szCs w:val="21"/>
        </w:rPr>
        <w:t>T+2</w:t>
      </w:r>
      <w:r>
        <w:rPr>
          <w:bCs/>
          <w:szCs w:val="21"/>
        </w:rPr>
        <w:t>日后</w:t>
      </w:r>
      <w:r>
        <w:rPr>
          <w:szCs w:val="21"/>
        </w:rPr>
        <w:t>(</w:t>
      </w:r>
      <w:r>
        <w:rPr>
          <w:rFonts w:hint="eastAsia"/>
          <w:szCs w:val="21"/>
        </w:rPr>
        <w:t>包括该日</w:t>
      </w:r>
      <w:r>
        <w:rPr>
          <w:szCs w:val="21"/>
        </w:rPr>
        <w:t>)</w:t>
      </w:r>
      <w:r>
        <w:rPr>
          <w:rFonts w:hint="eastAsia"/>
          <w:szCs w:val="21"/>
        </w:rPr>
        <w:t>到办理申购或赎回业务的销售机构或以销售机构规定的其他方式查询申请的确认情况。若申购未被确认，则申购款项（无利息）退还给投资人。</w:t>
      </w:r>
    </w:p>
    <w:p w:rsidR="008711D3" w:rsidRDefault="004479D9">
      <w:pPr>
        <w:spacing w:line="360" w:lineRule="auto"/>
        <w:ind w:firstLineChars="200" w:firstLine="420"/>
        <w:rPr>
          <w:szCs w:val="21"/>
        </w:rPr>
      </w:pPr>
      <w:r>
        <w:rPr>
          <w:rFonts w:hint="eastAsia"/>
          <w:szCs w:val="21"/>
        </w:rPr>
        <w:t>销售机构对申购、赎回申请的受理并不代表申请一定会被确认，而仅代表销售机构确实</w:t>
      </w:r>
      <w:r>
        <w:rPr>
          <w:rFonts w:hint="eastAsia"/>
          <w:szCs w:val="21"/>
        </w:rPr>
        <w:lastRenderedPageBreak/>
        <w:t>接收到申请。申购、赎回的确认以登记机构的确认结果为准。对于申请的确认情况，投资者应及时查询。</w:t>
      </w:r>
    </w:p>
    <w:p w:rsidR="008711D3" w:rsidRDefault="004479D9">
      <w:pPr>
        <w:spacing w:line="360" w:lineRule="auto"/>
        <w:ind w:firstLineChars="200" w:firstLine="420"/>
        <w:rPr>
          <w:bCs/>
          <w:szCs w:val="21"/>
        </w:rPr>
      </w:pPr>
      <w:r>
        <w:rPr>
          <w:rFonts w:hint="eastAsia"/>
          <w:bCs/>
          <w:szCs w:val="21"/>
        </w:rPr>
        <w:t>4</w:t>
      </w:r>
      <w:r>
        <w:rPr>
          <w:rFonts w:hint="eastAsia"/>
          <w:bCs/>
          <w:szCs w:val="21"/>
        </w:rPr>
        <w:t>、如未来法律法规或监管机构对上述内容另有规定，从其规定。</w:t>
      </w:r>
    </w:p>
    <w:p w:rsidR="008711D3" w:rsidRDefault="004479D9">
      <w:pPr>
        <w:spacing w:line="360" w:lineRule="auto"/>
        <w:ind w:firstLineChars="200" w:firstLine="420"/>
        <w:rPr>
          <w:bCs/>
          <w:szCs w:val="21"/>
        </w:rPr>
      </w:pPr>
      <w:r>
        <w:rPr>
          <w:rFonts w:hint="eastAsia"/>
          <w:bCs/>
          <w:szCs w:val="21"/>
        </w:rPr>
        <w:t>在法律法规允许的范围内，本基金登记机构可根据相关业务规则，对上述业务办理时间进行调整，本基金管理人将于开始实施前按照有关规定予以公告。</w:t>
      </w:r>
    </w:p>
    <w:p w:rsidR="008711D3" w:rsidRDefault="004479D9">
      <w:pPr>
        <w:spacing w:line="360" w:lineRule="auto"/>
        <w:ind w:firstLineChars="200" w:firstLine="422"/>
        <w:rPr>
          <w:rFonts w:ascii="宋体" w:hAnsi="宋体"/>
          <w:b/>
          <w:bCs/>
          <w:szCs w:val="21"/>
        </w:rPr>
      </w:pPr>
      <w:r>
        <w:rPr>
          <w:rFonts w:ascii="宋体" w:hAnsi="宋体" w:hint="eastAsia"/>
          <w:b/>
          <w:bCs/>
          <w:szCs w:val="21"/>
        </w:rPr>
        <w:t>（五）申购和赎回的数量限制</w:t>
      </w:r>
    </w:p>
    <w:p w:rsidR="008711D3" w:rsidRDefault="004479D9">
      <w:pPr>
        <w:autoSpaceDE w:val="0"/>
        <w:autoSpaceDN w:val="0"/>
        <w:adjustRightInd w:val="0"/>
        <w:spacing w:line="360" w:lineRule="auto"/>
        <w:ind w:firstLineChars="194" w:firstLine="407"/>
        <w:rPr>
          <w:rFonts w:ascii="宋体" w:hAnsi="宋体"/>
          <w:kern w:val="0"/>
          <w:szCs w:val="21"/>
        </w:rPr>
      </w:pPr>
      <w:r>
        <w:rPr>
          <w:rFonts w:ascii="宋体" w:hAnsi="宋体"/>
          <w:kern w:val="0"/>
          <w:szCs w:val="21"/>
        </w:rPr>
        <w:t>1</w:t>
      </w:r>
      <w:r>
        <w:rPr>
          <w:rFonts w:ascii="宋体" w:hAnsi="宋体" w:hint="eastAsia"/>
          <w:kern w:val="0"/>
          <w:szCs w:val="21"/>
        </w:rPr>
        <w:t>．申请申购基金的金额</w:t>
      </w:r>
    </w:p>
    <w:p w:rsidR="008711D3" w:rsidRDefault="004479D9">
      <w:pPr>
        <w:autoSpaceDE w:val="0"/>
        <w:autoSpaceDN w:val="0"/>
        <w:adjustRightInd w:val="0"/>
        <w:spacing w:line="360" w:lineRule="auto"/>
        <w:ind w:firstLineChars="194" w:firstLine="407"/>
        <w:rPr>
          <w:rFonts w:ascii="宋体" w:hAnsi="宋体"/>
          <w:kern w:val="0"/>
          <w:szCs w:val="21"/>
        </w:rPr>
      </w:pPr>
      <w:r>
        <w:rPr>
          <w:rFonts w:ascii="宋体" w:hAnsi="宋体" w:hint="eastAsia"/>
          <w:kern w:val="0"/>
          <w:szCs w:val="21"/>
        </w:rPr>
        <w:t>投资者通过代销机构或嘉实基金管理有限公司网上直销首次申购单笔最低限额为人民币</w:t>
      </w:r>
      <w:r>
        <w:rPr>
          <w:rFonts w:ascii="宋体" w:hAnsi="宋体"/>
          <w:kern w:val="0"/>
          <w:szCs w:val="21"/>
        </w:rPr>
        <w:t>1</w:t>
      </w:r>
      <w:r>
        <w:rPr>
          <w:rFonts w:ascii="宋体" w:hAnsi="宋体" w:hint="eastAsia"/>
          <w:kern w:val="0"/>
          <w:szCs w:val="21"/>
        </w:rPr>
        <w:t>元（含</w:t>
      </w:r>
      <w:r>
        <w:rPr>
          <w:rFonts w:ascii="宋体" w:hAnsi="宋体"/>
          <w:kern w:val="0"/>
          <w:szCs w:val="21"/>
        </w:rPr>
        <w:t>申购费</w:t>
      </w:r>
      <w:r>
        <w:rPr>
          <w:rFonts w:ascii="宋体" w:hAnsi="宋体" w:hint="eastAsia"/>
          <w:kern w:val="0"/>
          <w:szCs w:val="21"/>
        </w:rPr>
        <w:t>），追加申购单笔最低限额为人民币</w:t>
      </w:r>
      <w:r>
        <w:rPr>
          <w:rFonts w:ascii="宋体" w:hAnsi="宋体"/>
          <w:kern w:val="0"/>
          <w:szCs w:val="21"/>
        </w:rPr>
        <w:t>1</w:t>
      </w:r>
      <w:r>
        <w:rPr>
          <w:rFonts w:ascii="宋体" w:hAnsi="宋体" w:hint="eastAsia"/>
          <w:kern w:val="0"/>
          <w:szCs w:val="21"/>
        </w:rPr>
        <w:t>元（含申购费），投资者通过代销机构申购本基金的具体申购最低限额以各代销机构规定为准；投资者通过直销中心柜台首次申购单笔最低限额为人民币</w:t>
      </w:r>
      <w:r>
        <w:rPr>
          <w:rFonts w:ascii="宋体" w:hAnsi="宋体"/>
          <w:kern w:val="0"/>
          <w:szCs w:val="21"/>
        </w:rPr>
        <w:t>20,000</w:t>
      </w:r>
      <w:r>
        <w:rPr>
          <w:rFonts w:ascii="宋体" w:hAnsi="宋体" w:hint="eastAsia"/>
          <w:kern w:val="0"/>
          <w:szCs w:val="21"/>
        </w:rPr>
        <w:t>元（含申购费），追加申购单笔最低限额为人民币</w:t>
      </w:r>
      <w:r>
        <w:rPr>
          <w:rFonts w:ascii="宋体" w:hAnsi="宋体"/>
          <w:kern w:val="0"/>
          <w:szCs w:val="21"/>
        </w:rPr>
        <w:t>1</w:t>
      </w:r>
      <w:r>
        <w:rPr>
          <w:rFonts w:ascii="宋体" w:hAnsi="宋体" w:hint="eastAsia"/>
          <w:kern w:val="0"/>
          <w:szCs w:val="21"/>
        </w:rPr>
        <w:t>元（含申购费）。</w:t>
      </w:r>
      <w:r>
        <w:rPr>
          <w:rFonts w:ascii="宋体" w:hAnsi="宋体"/>
          <w:kern w:val="0"/>
          <w:szCs w:val="21"/>
        </w:rPr>
        <w:t xml:space="preserve"> </w:t>
      </w:r>
    </w:p>
    <w:p w:rsidR="008711D3" w:rsidRDefault="004479D9">
      <w:pPr>
        <w:autoSpaceDE w:val="0"/>
        <w:autoSpaceDN w:val="0"/>
        <w:adjustRightInd w:val="0"/>
        <w:spacing w:line="360" w:lineRule="auto"/>
        <w:ind w:firstLineChars="194" w:firstLine="407"/>
        <w:rPr>
          <w:rFonts w:ascii="宋体" w:hAnsi="宋体"/>
          <w:kern w:val="0"/>
          <w:szCs w:val="21"/>
        </w:rPr>
      </w:pPr>
      <w:r>
        <w:rPr>
          <w:rFonts w:ascii="宋体" w:hAnsi="宋体" w:hint="eastAsia"/>
          <w:kern w:val="0"/>
          <w:szCs w:val="21"/>
        </w:rPr>
        <w:t xml:space="preserve">投资者将当期分配的基金收益转购基金份额或采用定期定额投资计划时，不受最低申购金额的限制。 </w:t>
      </w:r>
    </w:p>
    <w:p w:rsidR="008711D3" w:rsidRDefault="004479D9">
      <w:pPr>
        <w:autoSpaceDE w:val="0"/>
        <w:autoSpaceDN w:val="0"/>
        <w:adjustRightInd w:val="0"/>
        <w:spacing w:line="360" w:lineRule="auto"/>
        <w:ind w:firstLineChars="194" w:firstLine="407"/>
        <w:rPr>
          <w:rFonts w:ascii="宋体" w:hAnsi="宋体"/>
          <w:kern w:val="0"/>
          <w:szCs w:val="21"/>
        </w:rPr>
      </w:pPr>
      <w:r>
        <w:rPr>
          <w:rFonts w:ascii="宋体" w:hAnsi="宋体" w:hint="eastAsia"/>
          <w:kern w:val="0"/>
          <w:szCs w:val="21"/>
        </w:rPr>
        <w:t>投资者可多次申购，对单个投资者累计持有份额不设上限限制，但单一投资者累计持有份额不得达到或者超过本基金总份额的50%，且不得变相规避50%集中度要求。法律法规、中国证监会或基金合同另有规定的除外。</w:t>
      </w:r>
    </w:p>
    <w:p w:rsidR="008711D3" w:rsidRDefault="004479D9">
      <w:pPr>
        <w:autoSpaceDE w:val="0"/>
        <w:autoSpaceDN w:val="0"/>
        <w:adjustRightInd w:val="0"/>
        <w:spacing w:line="360" w:lineRule="auto"/>
        <w:ind w:firstLineChars="194" w:firstLine="407"/>
        <w:rPr>
          <w:rFonts w:ascii="宋体" w:hAnsi="宋体"/>
          <w:kern w:val="0"/>
          <w:szCs w:val="21"/>
        </w:rPr>
      </w:pPr>
      <w:r>
        <w:rPr>
          <w:rFonts w:ascii="宋体" w:hAnsi="宋体"/>
          <w:kern w:val="0"/>
          <w:szCs w:val="21"/>
        </w:rPr>
        <w:t>2</w:t>
      </w:r>
      <w:r>
        <w:rPr>
          <w:rFonts w:ascii="宋体" w:hAnsi="宋体" w:hint="eastAsia"/>
          <w:kern w:val="0"/>
          <w:szCs w:val="21"/>
        </w:rPr>
        <w:t>．申请赎回基金的份额</w:t>
      </w:r>
    </w:p>
    <w:p w:rsidR="008711D3" w:rsidRDefault="004479D9">
      <w:pPr>
        <w:spacing w:before="60" w:after="60" w:line="360" w:lineRule="auto"/>
        <w:ind w:firstLine="420"/>
        <w:rPr>
          <w:rFonts w:ascii="宋体" w:hAnsi="宋体"/>
          <w:kern w:val="0"/>
          <w:szCs w:val="21"/>
        </w:rPr>
      </w:pPr>
      <w:r>
        <w:rPr>
          <w:rFonts w:ascii="宋体" w:hAnsi="宋体" w:hint="eastAsia"/>
          <w:kern w:val="0"/>
          <w:szCs w:val="21"/>
        </w:rPr>
        <w:t>投资者通过代销机构或嘉实基金管理有限公司网上直销单笔赎回不得少于1份（如该账户在该销售机构托管的基金余额不足1份，则必须一次性赎回基金全部份额）；若某笔赎回将导致投资者在销售机构托管的基金余额不足1份时，基金管理人有权将投资者在该销售机构托管的剩余基金份额一次性全部赎回。具体单笔赎回最低份额以各销售机构规定为准。</w:t>
      </w:r>
    </w:p>
    <w:p w:rsidR="008711D3" w:rsidRDefault="004479D9">
      <w:pPr>
        <w:spacing w:before="60" w:after="60" w:line="360" w:lineRule="auto"/>
        <w:ind w:firstLineChars="150" w:firstLine="315"/>
        <w:rPr>
          <w:rFonts w:ascii="宋体" w:hAnsi="宋体"/>
          <w:kern w:val="0"/>
          <w:szCs w:val="21"/>
        </w:rPr>
      </w:pPr>
      <w:r>
        <w:rPr>
          <w:rFonts w:ascii="宋体" w:hAnsi="宋体"/>
          <w:kern w:val="0"/>
          <w:szCs w:val="21"/>
        </w:rPr>
        <w:t>3.</w:t>
      </w:r>
      <w:r>
        <w:rPr>
          <w:rFonts w:ascii="宋体" w:hAnsi="宋体" w:hint="eastAsia"/>
          <w:kern w:val="0"/>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一项或多项措施对基金规模予以控制，具体以基金管理人相关公告为准。</w:t>
      </w:r>
    </w:p>
    <w:p w:rsidR="008711D3" w:rsidRDefault="004479D9">
      <w:pPr>
        <w:spacing w:before="60" w:after="60" w:line="360" w:lineRule="auto"/>
        <w:ind w:firstLineChars="150" w:firstLine="315"/>
        <w:rPr>
          <w:rFonts w:ascii="宋体" w:hAnsi="宋体"/>
          <w:kern w:val="0"/>
          <w:szCs w:val="21"/>
        </w:rPr>
      </w:pPr>
      <w:r>
        <w:rPr>
          <w:rFonts w:ascii="宋体" w:hAnsi="宋体"/>
          <w:kern w:val="0"/>
          <w:szCs w:val="21"/>
        </w:rPr>
        <w:t>4.</w:t>
      </w:r>
      <w:r>
        <w:rPr>
          <w:rFonts w:ascii="宋体" w:hAnsi="宋体" w:hint="eastAsia"/>
          <w:kern w:val="0"/>
          <w:szCs w:val="21"/>
        </w:rPr>
        <w:t>基金管理人可在不违反法律法规的情况下，调整上述申购金额和赎回份额的数量限制，</w:t>
      </w:r>
      <w:r>
        <w:rPr>
          <w:rFonts w:ascii="宋体" w:hAnsi="宋体" w:hint="eastAsia"/>
          <w:kern w:val="0"/>
          <w:szCs w:val="21"/>
        </w:rPr>
        <w:lastRenderedPageBreak/>
        <w:t>或者新增基金申购或赎回的控制措施。基金管理人应在调整前依照《信息披露办法》的有关规定在规定媒介上公告。</w:t>
      </w:r>
    </w:p>
    <w:p w:rsidR="008711D3" w:rsidRDefault="004479D9">
      <w:pPr>
        <w:spacing w:line="360" w:lineRule="auto"/>
        <w:ind w:firstLineChars="200" w:firstLine="422"/>
        <w:rPr>
          <w:rFonts w:ascii="宋体" w:hAnsi="宋体"/>
          <w:b/>
          <w:bCs/>
          <w:szCs w:val="21"/>
        </w:rPr>
      </w:pPr>
      <w:r>
        <w:rPr>
          <w:rFonts w:ascii="宋体" w:hAnsi="宋体" w:hint="eastAsia"/>
          <w:b/>
          <w:bCs/>
          <w:szCs w:val="21"/>
        </w:rPr>
        <w:t>（六）申购、赎回的费率</w:t>
      </w:r>
    </w:p>
    <w:p w:rsidR="008711D3" w:rsidRDefault="004479D9">
      <w:pPr>
        <w:autoSpaceDE w:val="0"/>
        <w:autoSpaceDN w:val="0"/>
        <w:adjustRightInd w:val="0"/>
        <w:spacing w:line="360" w:lineRule="auto"/>
        <w:ind w:firstLineChars="192" w:firstLine="403"/>
        <w:rPr>
          <w:rFonts w:ascii="宋体" w:hAnsi="宋体"/>
          <w:kern w:val="0"/>
          <w:szCs w:val="21"/>
        </w:rPr>
      </w:pPr>
      <w:r>
        <w:rPr>
          <w:rFonts w:ascii="宋体" w:hAnsi="宋体" w:hint="eastAsia"/>
          <w:kern w:val="0"/>
          <w:szCs w:val="21"/>
        </w:rPr>
        <w:t>1、本基金A类基金份额收取申购费用，C类基金份额不收取申购费用。</w:t>
      </w:r>
      <w:r>
        <w:rPr>
          <w:rFonts w:ascii="宋体" w:hAnsi="宋体" w:hint="eastAsia"/>
          <w:color w:val="000000"/>
          <w:kern w:val="0"/>
          <w:szCs w:val="21"/>
        </w:rPr>
        <w:t>A类基金份额采用前端收费模式收取基金申购费用。投资者在一天之内如果有多笔申购，适用费率按单笔分别计算。具体如下：</w:t>
      </w:r>
    </w:p>
    <w:tbl>
      <w:tblPr>
        <w:tblW w:w="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0"/>
        <w:gridCol w:w="2520"/>
      </w:tblGrid>
      <w:tr w:rsidR="008711D3">
        <w:trPr>
          <w:cantSplit/>
          <w:jc w:val="center"/>
        </w:trPr>
        <w:tc>
          <w:tcPr>
            <w:tcW w:w="3700" w:type="dxa"/>
          </w:tcPr>
          <w:p w:rsidR="008711D3" w:rsidRDefault="004479D9">
            <w:pPr>
              <w:autoSpaceDE w:val="0"/>
              <w:autoSpaceDN w:val="0"/>
              <w:adjustRightInd w:val="0"/>
              <w:spacing w:line="360" w:lineRule="auto"/>
              <w:jc w:val="center"/>
              <w:rPr>
                <w:rFonts w:ascii="宋体" w:hAnsi="宋体"/>
                <w:color w:val="000000"/>
                <w:kern w:val="0"/>
                <w:szCs w:val="21"/>
              </w:rPr>
            </w:pPr>
            <w:r>
              <w:rPr>
                <w:rFonts w:ascii="宋体" w:hAnsi="宋体" w:hint="eastAsia"/>
                <w:b/>
                <w:bCs/>
                <w:color w:val="000000"/>
                <w:kern w:val="0"/>
                <w:szCs w:val="21"/>
              </w:rPr>
              <w:t>申购金额（含申购费）</w:t>
            </w:r>
          </w:p>
        </w:tc>
        <w:tc>
          <w:tcPr>
            <w:tcW w:w="2520" w:type="dxa"/>
          </w:tcPr>
          <w:p w:rsidR="008711D3" w:rsidRDefault="004479D9">
            <w:pPr>
              <w:autoSpaceDE w:val="0"/>
              <w:autoSpaceDN w:val="0"/>
              <w:adjustRightInd w:val="0"/>
              <w:spacing w:line="360" w:lineRule="auto"/>
              <w:jc w:val="center"/>
              <w:rPr>
                <w:rFonts w:ascii="宋体" w:hAnsi="宋体"/>
                <w:b/>
                <w:bCs/>
                <w:color w:val="000000"/>
                <w:kern w:val="0"/>
                <w:szCs w:val="21"/>
              </w:rPr>
            </w:pPr>
            <w:r>
              <w:rPr>
                <w:rFonts w:ascii="宋体" w:hAnsi="宋体" w:hint="eastAsia"/>
                <w:b/>
                <w:bCs/>
                <w:color w:val="000000"/>
                <w:kern w:val="0"/>
                <w:szCs w:val="21"/>
              </w:rPr>
              <w:t>申购费率</w:t>
            </w:r>
          </w:p>
        </w:tc>
      </w:tr>
      <w:tr w:rsidR="008711D3">
        <w:trPr>
          <w:jc w:val="center"/>
        </w:trPr>
        <w:tc>
          <w:tcPr>
            <w:tcW w:w="3700" w:type="dxa"/>
          </w:tcPr>
          <w:p w:rsidR="008711D3" w:rsidRDefault="004479D9">
            <w:pPr>
              <w:spacing w:line="360" w:lineRule="auto"/>
              <w:jc w:val="center"/>
              <w:rPr>
                <w:rFonts w:ascii="华文宋体" w:eastAsia="华文宋体" w:hAnsi="华文宋体"/>
                <w:color w:val="000000"/>
              </w:rPr>
            </w:pPr>
            <w:r>
              <w:rPr>
                <w:rFonts w:hint="eastAsia"/>
              </w:rPr>
              <w:t>M&lt;100</w:t>
            </w:r>
            <w:r>
              <w:rPr>
                <w:rFonts w:hint="eastAsia"/>
              </w:rPr>
              <w:t>万元</w:t>
            </w:r>
          </w:p>
        </w:tc>
        <w:tc>
          <w:tcPr>
            <w:tcW w:w="2520" w:type="dxa"/>
          </w:tcPr>
          <w:p w:rsidR="008711D3" w:rsidRDefault="004479D9">
            <w:pPr>
              <w:spacing w:line="360" w:lineRule="auto"/>
              <w:jc w:val="center"/>
              <w:rPr>
                <w:rFonts w:ascii="华文宋体" w:eastAsia="华文宋体" w:hAnsi="华文宋体"/>
                <w:color w:val="000000"/>
              </w:rPr>
            </w:pPr>
            <w:r>
              <w:t>1.50</w:t>
            </w:r>
            <w:r>
              <w:rPr>
                <w:rFonts w:hint="eastAsia"/>
              </w:rPr>
              <w:t>%</w:t>
            </w:r>
          </w:p>
        </w:tc>
      </w:tr>
      <w:tr w:rsidR="008711D3">
        <w:trPr>
          <w:jc w:val="center"/>
        </w:trPr>
        <w:tc>
          <w:tcPr>
            <w:tcW w:w="3700" w:type="dxa"/>
          </w:tcPr>
          <w:p w:rsidR="008711D3" w:rsidRDefault="004479D9">
            <w:pPr>
              <w:spacing w:line="360" w:lineRule="auto"/>
              <w:jc w:val="center"/>
              <w:rPr>
                <w:rFonts w:ascii="华文宋体" w:eastAsia="华文宋体" w:hAnsi="华文宋体"/>
                <w:color w:val="000000"/>
              </w:rPr>
            </w:pPr>
            <w:r>
              <w:rPr>
                <w:rFonts w:hint="eastAsia"/>
              </w:rPr>
              <w:t>100</w:t>
            </w:r>
            <w:r>
              <w:rPr>
                <w:rFonts w:hint="eastAsia"/>
              </w:rPr>
              <w:t>万元≤</w:t>
            </w:r>
            <w:r>
              <w:rPr>
                <w:rFonts w:hint="eastAsia"/>
              </w:rPr>
              <w:t>M</w:t>
            </w:r>
            <w:r>
              <w:rPr>
                <w:rFonts w:hint="eastAsia"/>
              </w:rPr>
              <w:t>＜</w:t>
            </w:r>
            <w:r>
              <w:t>2</w:t>
            </w:r>
            <w:r>
              <w:rPr>
                <w:rFonts w:hint="eastAsia"/>
              </w:rPr>
              <w:t>00</w:t>
            </w:r>
            <w:r>
              <w:rPr>
                <w:rFonts w:hint="eastAsia"/>
              </w:rPr>
              <w:t>万元</w:t>
            </w:r>
          </w:p>
        </w:tc>
        <w:tc>
          <w:tcPr>
            <w:tcW w:w="2520" w:type="dxa"/>
          </w:tcPr>
          <w:p w:rsidR="008711D3" w:rsidRDefault="004479D9">
            <w:pPr>
              <w:spacing w:line="360" w:lineRule="auto"/>
              <w:jc w:val="center"/>
              <w:rPr>
                <w:rFonts w:ascii="华文宋体" w:eastAsia="华文宋体" w:hAnsi="华文宋体"/>
                <w:color w:val="000000"/>
              </w:rPr>
            </w:pPr>
            <w:r>
              <w:t>1.00</w:t>
            </w:r>
            <w:r>
              <w:rPr>
                <w:rFonts w:hint="eastAsia"/>
              </w:rPr>
              <w:t>%</w:t>
            </w:r>
          </w:p>
        </w:tc>
      </w:tr>
      <w:tr w:rsidR="008711D3">
        <w:trPr>
          <w:jc w:val="center"/>
        </w:trPr>
        <w:tc>
          <w:tcPr>
            <w:tcW w:w="3700" w:type="dxa"/>
          </w:tcPr>
          <w:p w:rsidR="008711D3" w:rsidRDefault="004479D9">
            <w:pPr>
              <w:spacing w:line="360" w:lineRule="auto"/>
              <w:jc w:val="center"/>
              <w:rPr>
                <w:color w:val="000000"/>
                <w:szCs w:val="21"/>
              </w:rPr>
            </w:pPr>
            <w:r>
              <w:t>2</w:t>
            </w:r>
            <w:r>
              <w:rPr>
                <w:rFonts w:hint="eastAsia"/>
              </w:rPr>
              <w:t>00</w:t>
            </w:r>
            <w:r>
              <w:rPr>
                <w:rFonts w:hint="eastAsia"/>
              </w:rPr>
              <w:t>万元≤</w:t>
            </w:r>
            <w:r>
              <w:rPr>
                <w:rFonts w:hint="eastAsia"/>
              </w:rPr>
              <w:t>M</w:t>
            </w:r>
            <w:r>
              <w:rPr>
                <w:rFonts w:hint="eastAsia"/>
              </w:rPr>
              <w:t>＜</w:t>
            </w:r>
            <w:r>
              <w:rPr>
                <w:rFonts w:hint="eastAsia"/>
              </w:rPr>
              <w:t>500</w:t>
            </w:r>
            <w:r>
              <w:rPr>
                <w:rFonts w:hint="eastAsia"/>
              </w:rPr>
              <w:t>万元</w:t>
            </w:r>
          </w:p>
        </w:tc>
        <w:tc>
          <w:tcPr>
            <w:tcW w:w="2520" w:type="dxa"/>
          </w:tcPr>
          <w:p w:rsidR="008711D3" w:rsidRDefault="004479D9">
            <w:pPr>
              <w:spacing w:line="360" w:lineRule="auto"/>
              <w:jc w:val="center"/>
              <w:rPr>
                <w:color w:val="000000"/>
                <w:szCs w:val="21"/>
              </w:rPr>
            </w:pPr>
            <w:r>
              <w:t>0.60</w:t>
            </w:r>
            <w:r>
              <w:rPr>
                <w:rFonts w:hint="eastAsia"/>
              </w:rPr>
              <w:t>%</w:t>
            </w:r>
          </w:p>
        </w:tc>
      </w:tr>
      <w:tr w:rsidR="008711D3">
        <w:trPr>
          <w:jc w:val="center"/>
        </w:trPr>
        <w:tc>
          <w:tcPr>
            <w:tcW w:w="3700" w:type="dxa"/>
          </w:tcPr>
          <w:p w:rsidR="008711D3" w:rsidRDefault="004479D9">
            <w:pPr>
              <w:spacing w:line="360" w:lineRule="auto"/>
              <w:jc w:val="center"/>
              <w:rPr>
                <w:color w:val="000000"/>
                <w:szCs w:val="21"/>
              </w:rPr>
            </w:pPr>
            <w:r>
              <w:rPr>
                <w:rFonts w:hint="eastAsia"/>
              </w:rPr>
              <w:t>M</w:t>
            </w:r>
            <w:r>
              <w:rPr>
                <w:rFonts w:hint="eastAsia"/>
              </w:rPr>
              <w:t>≥</w:t>
            </w:r>
            <w:r>
              <w:rPr>
                <w:rFonts w:hint="eastAsia"/>
              </w:rPr>
              <w:t>500</w:t>
            </w:r>
            <w:r>
              <w:rPr>
                <w:rFonts w:hint="eastAsia"/>
              </w:rPr>
              <w:t>万元</w:t>
            </w:r>
          </w:p>
        </w:tc>
        <w:tc>
          <w:tcPr>
            <w:tcW w:w="2520" w:type="dxa"/>
          </w:tcPr>
          <w:p w:rsidR="008711D3" w:rsidRDefault="004479D9">
            <w:pPr>
              <w:spacing w:line="360" w:lineRule="auto"/>
              <w:jc w:val="center"/>
              <w:rPr>
                <w:color w:val="000000"/>
                <w:szCs w:val="21"/>
              </w:rPr>
            </w:pPr>
            <w:r>
              <w:rPr>
                <w:rFonts w:hint="eastAsia"/>
              </w:rPr>
              <w:t>按笔收取，</w:t>
            </w:r>
            <w:r>
              <w:rPr>
                <w:rFonts w:hint="eastAsia"/>
              </w:rPr>
              <w:t>1000</w:t>
            </w:r>
            <w:r>
              <w:rPr>
                <w:rFonts w:hint="eastAsia"/>
              </w:rPr>
              <w:t>元</w:t>
            </w:r>
            <w:r>
              <w:rPr>
                <w:rFonts w:hint="eastAsia"/>
              </w:rPr>
              <w:t>/</w:t>
            </w:r>
            <w:r>
              <w:rPr>
                <w:rFonts w:hint="eastAsia"/>
              </w:rPr>
              <w:t>笔</w:t>
            </w:r>
          </w:p>
        </w:tc>
      </w:tr>
    </w:tbl>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本基金A类基金份额的申购费用由申购A类基金份额的投资人承担，主要用于本基金的市场推广、销售、注册登记等各项费用，不列入基金财产。</w:t>
      </w:r>
    </w:p>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本基金C类基金份额申购费率为0。</w:t>
      </w:r>
    </w:p>
    <w:p w:rsidR="008711D3" w:rsidRDefault="004479D9">
      <w:pPr>
        <w:spacing w:line="360" w:lineRule="auto"/>
        <w:ind w:firstLineChars="250" w:firstLine="525"/>
        <w:rPr>
          <w:rFonts w:asciiTheme="minorEastAsia" w:eastAsiaTheme="minorEastAsia" w:hAnsiTheme="minorEastAsia"/>
          <w:bCs/>
          <w:color w:val="000000" w:themeColor="text1"/>
          <w:szCs w:val="21"/>
        </w:rPr>
      </w:pPr>
      <w:r>
        <w:rPr>
          <w:rFonts w:ascii="宋体" w:hAnsi="宋体" w:hint="eastAsia"/>
          <w:color w:val="000000"/>
          <w:kern w:val="0"/>
          <w:szCs w:val="21"/>
        </w:rPr>
        <w:t>2</w:t>
      </w:r>
      <w:r>
        <w:rPr>
          <w:rFonts w:asciiTheme="minorEastAsia" w:eastAsiaTheme="minorEastAsia" w:hAnsiTheme="minorEastAsia" w:hint="eastAsia"/>
          <w:bCs/>
          <w:color w:val="000000" w:themeColor="text1"/>
          <w:szCs w:val="21"/>
        </w:rPr>
        <w:t>、赎回费率</w:t>
      </w:r>
    </w:p>
    <w:p w:rsidR="008711D3" w:rsidRDefault="004479D9">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本基金对基金份额收取赎回费，在投资者赎回基金份额时收取。基金份额的赎回费率按照持有时间递减，即相关基金份额持有时间越长，所适用的赎回费率越低。</w:t>
      </w:r>
    </w:p>
    <w:p w:rsidR="008711D3" w:rsidRDefault="004479D9">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 xml:space="preserve">本基金A类基金份额的赎回费用由基金份额持有人承担。对持续持有期少于30天的投资人，赎回费全额计入基金财产；对持续持有期大于等于30天但少于90天的投资人，赎回费总额的75%计入基金财产；对持续持有期大于等于90天但少于180天的投资人，赎回费总额的50%计入基金财产。本基金C类基金份额的赎回费用由基金份额持有人承担，对于所收取的基金份额赎回费，基金管理人将其总额的100%计入基金财产。 </w:t>
      </w:r>
    </w:p>
    <w:p w:rsidR="008711D3" w:rsidRDefault="004479D9">
      <w:pPr>
        <w:spacing w:line="360" w:lineRule="auto"/>
        <w:ind w:firstLineChars="200" w:firstLine="42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A 类基金份额具体赎回费率如下表所示：</w:t>
      </w: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1796"/>
      </w:tblGrid>
      <w:tr w:rsidR="008711D3">
        <w:trPr>
          <w:trHeight w:val="504"/>
          <w:jc w:val="center"/>
        </w:trPr>
        <w:tc>
          <w:tcPr>
            <w:tcW w:w="0" w:type="auto"/>
            <w:tcBorders>
              <w:top w:val="single" w:sz="4" w:space="0" w:color="auto"/>
              <w:left w:val="single" w:sz="4" w:space="0" w:color="auto"/>
              <w:bottom w:val="single" w:sz="4" w:space="0" w:color="auto"/>
              <w:right w:val="single" w:sz="4" w:space="0" w:color="auto"/>
            </w:tcBorders>
          </w:tcPr>
          <w:p w:rsidR="008711D3" w:rsidRDefault="004479D9">
            <w:pPr>
              <w:spacing w:line="360" w:lineRule="auto"/>
              <w:ind w:firstLineChars="200" w:firstLine="420"/>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持有期限（N）</w:t>
            </w:r>
          </w:p>
        </w:tc>
        <w:tc>
          <w:tcPr>
            <w:tcW w:w="1796" w:type="dxa"/>
            <w:tcBorders>
              <w:top w:val="single" w:sz="4" w:space="0" w:color="auto"/>
              <w:left w:val="single" w:sz="4" w:space="0" w:color="auto"/>
              <w:bottom w:val="single" w:sz="4" w:space="0" w:color="auto"/>
              <w:right w:val="single" w:sz="4" w:space="0" w:color="auto"/>
            </w:tcBorders>
          </w:tcPr>
          <w:p w:rsidR="008711D3" w:rsidRDefault="004479D9">
            <w:pPr>
              <w:spacing w:line="360" w:lineRule="auto"/>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赎回费率</w:t>
            </w:r>
          </w:p>
        </w:tc>
      </w:tr>
      <w:tr w:rsidR="008711D3">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8711D3" w:rsidRDefault="004479D9">
            <w:pPr>
              <w:snapToGrid w:val="0"/>
              <w:spacing w:line="360" w:lineRule="auto"/>
              <w:ind w:firstLineChars="200" w:firstLine="420"/>
              <w:jc w:val="center"/>
              <w:rPr>
                <w:kern w:val="0"/>
                <w:szCs w:val="21"/>
              </w:rPr>
            </w:pPr>
            <w:r>
              <w:rPr>
                <w:kern w:val="0"/>
                <w:szCs w:val="21"/>
              </w:rPr>
              <w:t>N</w:t>
            </w:r>
            <w:r>
              <w:rPr>
                <w:kern w:val="0"/>
                <w:szCs w:val="21"/>
              </w:rPr>
              <w:t>＜</w:t>
            </w:r>
            <w:r>
              <w:rPr>
                <w:rFonts w:hint="eastAsia"/>
                <w:kern w:val="0"/>
                <w:szCs w:val="21"/>
              </w:rPr>
              <w:t>7</w:t>
            </w:r>
            <w:r>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rsidR="008711D3" w:rsidRDefault="004479D9">
            <w:pPr>
              <w:snapToGrid w:val="0"/>
              <w:spacing w:line="360" w:lineRule="auto"/>
              <w:ind w:firstLineChars="200" w:firstLine="420"/>
              <w:jc w:val="center"/>
              <w:rPr>
                <w:kern w:val="0"/>
                <w:szCs w:val="21"/>
              </w:rPr>
            </w:pPr>
            <w:r>
              <w:rPr>
                <w:rFonts w:hint="eastAsia"/>
                <w:kern w:val="0"/>
                <w:szCs w:val="21"/>
              </w:rPr>
              <w:t>1.5%</w:t>
            </w:r>
          </w:p>
        </w:tc>
      </w:tr>
      <w:tr w:rsidR="008711D3">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8711D3" w:rsidRDefault="004479D9">
            <w:pPr>
              <w:snapToGrid w:val="0"/>
              <w:spacing w:line="360" w:lineRule="auto"/>
              <w:ind w:firstLineChars="200" w:firstLine="420"/>
              <w:jc w:val="center"/>
              <w:rPr>
                <w:kern w:val="0"/>
                <w:szCs w:val="21"/>
              </w:rPr>
            </w:pPr>
            <w:r>
              <w:rPr>
                <w:rFonts w:hint="eastAsia"/>
                <w:kern w:val="0"/>
                <w:szCs w:val="21"/>
              </w:rPr>
              <w:t>7</w:t>
            </w:r>
            <w:r>
              <w:rPr>
                <w:rFonts w:hint="eastAsia"/>
                <w:kern w:val="0"/>
                <w:szCs w:val="21"/>
              </w:rPr>
              <w:t>天≤</w:t>
            </w:r>
            <w:r>
              <w:rPr>
                <w:rFonts w:hint="eastAsia"/>
                <w:kern w:val="0"/>
                <w:szCs w:val="21"/>
              </w:rPr>
              <w:t>N</w:t>
            </w:r>
            <w:r>
              <w:rPr>
                <w:rFonts w:hint="eastAsia"/>
                <w:kern w:val="0"/>
                <w:szCs w:val="21"/>
              </w:rPr>
              <w:t>＜</w:t>
            </w:r>
            <w:r>
              <w:rPr>
                <w:rFonts w:hint="eastAsia"/>
                <w:kern w:val="0"/>
                <w:szCs w:val="21"/>
              </w:rPr>
              <w:t>30</w:t>
            </w:r>
            <w:r>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rsidR="008711D3" w:rsidRDefault="004479D9">
            <w:pPr>
              <w:snapToGrid w:val="0"/>
              <w:spacing w:line="360" w:lineRule="auto"/>
              <w:ind w:firstLineChars="200" w:firstLine="420"/>
              <w:jc w:val="center"/>
              <w:rPr>
                <w:kern w:val="0"/>
                <w:szCs w:val="21"/>
              </w:rPr>
            </w:pPr>
            <w:r>
              <w:rPr>
                <w:rFonts w:hint="eastAsia"/>
                <w:kern w:val="0"/>
                <w:szCs w:val="21"/>
              </w:rPr>
              <w:t>0.75%</w:t>
            </w:r>
          </w:p>
        </w:tc>
      </w:tr>
      <w:tr w:rsidR="008711D3">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8711D3" w:rsidRDefault="004479D9">
            <w:pPr>
              <w:snapToGrid w:val="0"/>
              <w:spacing w:line="360" w:lineRule="auto"/>
              <w:ind w:firstLineChars="200" w:firstLine="420"/>
              <w:jc w:val="center"/>
              <w:rPr>
                <w:kern w:val="0"/>
                <w:szCs w:val="21"/>
              </w:rPr>
            </w:pPr>
            <w:r>
              <w:rPr>
                <w:rFonts w:hint="eastAsia"/>
                <w:kern w:val="0"/>
                <w:szCs w:val="21"/>
              </w:rPr>
              <w:t>30</w:t>
            </w:r>
            <w:r>
              <w:rPr>
                <w:rFonts w:hint="eastAsia"/>
                <w:kern w:val="0"/>
                <w:szCs w:val="21"/>
              </w:rPr>
              <w:t>天≤</w:t>
            </w:r>
            <w:r>
              <w:rPr>
                <w:kern w:val="0"/>
                <w:szCs w:val="21"/>
              </w:rPr>
              <w:t>N</w:t>
            </w:r>
            <w:r>
              <w:rPr>
                <w:kern w:val="0"/>
                <w:szCs w:val="21"/>
              </w:rPr>
              <w:t>＜</w:t>
            </w:r>
            <w:r>
              <w:rPr>
                <w:rFonts w:hint="eastAsia"/>
                <w:kern w:val="0"/>
                <w:szCs w:val="21"/>
              </w:rPr>
              <w:t>180</w:t>
            </w:r>
            <w:r>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rsidR="008711D3" w:rsidRDefault="004479D9">
            <w:pPr>
              <w:snapToGrid w:val="0"/>
              <w:spacing w:line="360" w:lineRule="auto"/>
              <w:ind w:firstLineChars="200" w:firstLine="420"/>
              <w:jc w:val="center"/>
              <w:rPr>
                <w:kern w:val="0"/>
                <w:szCs w:val="21"/>
              </w:rPr>
            </w:pPr>
            <w:r>
              <w:rPr>
                <w:rFonts w:hint="eastAsia"/>
                <w:kern w:val="0"/>
                <w:szCs w:val="21"/>
              </w:rPr>
              <w:t>0.5%</w:t>
            </w:r>
          </w:p>
        </w:tc>
      </w:tr>
      <w:tr w:rsidR="008711D3">
        <w:trPr>
          <w:trHeight w:val="558"/>
          <w:jc w:val="center"/>
        </w:trPr>
        <w:tc>
          <w:tcPr>
            <w:tcW w:w="0" w:type="auto"/>
            <w:tcBorders>
              <w:top w:val="single" w:sz="4" w:space="0" w:color="auto"/>
              <w:left w:val="single" w:sz="4" w:space="0" w:color="auto"/>
              <w:bottom w:val="single" w:sz="4" w:space="0" w:color="auto"/>
              <w:right w:val="single" w:sz="4" w:space="0" w:color="auto"/>
            </w:tcBorders>
            <w:vAlign w:val="center"/>
          </w:tcPr>
          <w:p w:rsidR="008711D3" w:rsidRDefault="004479D9">
            <w:pPr>
              <w:snapToGrid w:val="0"/>
              <w:spacing w:line="360" w:lineRule="auto"/>
              <w:ind w:firstLineChars="200" w:firstLine="420"/>
              <w:jc w:val="center"/>
              <w:rPr>
                <w:kern w:val="0"/>
                <w:szCs w:val="21"/>
              </w:rPr>
            </w:pPr>
            <w:r>
              <w:rPr>
                <w:kern w:val="0"/>
                <w:szCs w:val="21"/>
              </w:rPr>
              <w:t>N</w:t>
            </w:r>
            <w:r>
              <w:rPr>
                <w:rFonts w:hint="eastAsia"/>
                <w:kern w:val="0"/>
                <w:szCs w:val="21"/>
              </w:rPr>
              <w:t>≥</w:t>
            </w:r>
            <w:r>
              <w:rPr>
                <w:rFonts w:hint="eastAsia"/>
                <w:kern w:val="0"/>
                <w:szCs w:val="21"/>
              </w:rPr>
              <w:t>180</w:t>
            </w:r>
            <w:r>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rsidR="008711D3" w:rsidRDefault="004479D9">
            <w:pPr>
              <w:snapToGrid w:val="0"/>
              <w:spacing w:line="360" w:lineRule="auto"/>
              <w:ind w:firstLineChars="200" w:firstLine="420"/>
              <w:jc w:val="center"/>
              <w:rPr>
                <w:kern w:val="0"/>
                <w:szCs w:val="21"/>
              </w:rPr>
            </w:pPr>
            <w:r>
              <w:rPr>
                <w:rFonts w:hint="eastAsia"/>
                <w:kern w:val="0"/>
                <w:szCs w:val="21"/>
              </w:rPr>
              <w:t>0</w:t>
            </w:r>
          </w:p>
        </w:tc>
      </w:tr>
    </w:tbl>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C 类基金份额具体赎回费率如下表所示：</w:t>
      </w: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1796"/>
      </w:tblGrid>
      <w:tr w:rsidR="008711D3">
        <w:trPr>
          <w:trHeight w:val="504"/>
          <w:jc w:val="center"/>
        </w:trPr>
        <w:tc>
          <w:tcPr>
            <w:tcW w:w="0" w:type="auto"/>
            <w:tcBorders>
              <w:top w:val="single" w:sz="4" w:space="0" w:color="auto"/>
              <w:left w:val="single" w:sz="4" w:space="0" w:color="auto"/>
              <w:bottom w:val="single" w:sz="4" w:space="0" w:color="auto"/>
              <w:right w:val="single" w:sz="4" w:space="0" w:color="auto"/>
            </w:tcBorders>
          </w:tcPr>
          <w:p w:rsidR="008711D3" w:rsidRDefault="004479D9">
            <w:pPr>
              <w:spacing w:line="360" w:lineRule="auto"/>
              <w:ind w:firstLineChars="200" w:firstLine="420"/>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lastRenderedPageBreak/>
              <w:t>持有期限（N）</w:t>
            </w:r>
          </w:p>
        </w:tc>
        <w:tc>
          <w:tcPr>
            <w:tcW w:w="1796" w:type="dxa"/>
            <w:tcBorders>
              <w:top w:val="single" w:sz="4" w:space="0" w:color="auto"/>
              <w:left w:val="single" w:sz="4" w:space="0" w:color="auto"/>
              <w:bottom w:val="single" w:sz="4" w:space="0" w:color="auto"/>
              <w:right w:val="single" w:sz="4" w:space="0" w:color="auto"/>
            </w:tcBorders>
          </w:tcPr>
          <w:p w:rsidR="008711D3" w:rsidRDefault="004479D9">
            <w:pPr>
              <w:spacing w:line="360" w:lineRule="auto"/>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赎回费率</w:t>
            </w:r>
          </w:p>
        </w:tc>
      </w:tr>
      <w:tr w:rsidR="008711D3">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8711D3" w:rsidRDefault="004479D9">
            <w:pPr>
              <w:snapToGrid w:val="0"/>
              <w:spacing w:line="360" w:lineRule="auto"/>
              <w:ind w:firstLineChars="200" w:firstLine="420"/>
              <w:jc w:val="center"/>
              <w:rPr>
                <w:kern w:val="0"/>
                <w:szCs w:val="21"/>
              </w:rPr>
            </w:pPr>
            <w:r>
              <w:rPr>
                <w:kern w:val="0"/>
                <w:szCs w:val="21"/>
              </w:rPr>
              <w:t>N</w:t>
            </w:r>
            <w:r>
              <w:rPr>
                <w:kern w:val="0"/>
                <w:szCs w:val="21"/>
              </w:rPr>
              <w:t>＜</w:t>
            </w:r>
            <w:r>
              <w:rPr>
                <w:rFonts w:hint="eastAsia"/>
                <w:kern w:val="0"/>
                <w:szCs w:val="21"/>
              </w:rPr>
              <w:t>7</w:t>
            </w:r>
            <w:r>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rsidR="008711D3" w:rsidRDefault="004479D9">
            <w:pPr>
              <w:snapToGrid w:val="0"/>
              <w:spacing w:line="360" w:lineRule="auto"/>
              <w:ind w:firstLineChars="200" w:firstLine="420"/>
              <w:jc w:val="center"/>
              <w:rPr>
                <w:kern w:val="0"/>
                <w:szCs w:val="21"/>
              </w:rPr>
            </w:pPr>
            <w:r>
              <w:rPr>
                <w:rFonts w:hint="eastAsia"/>
                <w:kern w:val="0"/>
                <w:szCs w:val="21"/>
              </w:rPr>
              <w:t>1.5%</w:t>
            </w:r>
          </w:p>
        </w:tc>
      </w:tr>
      <w:tr w:rsidR="008711D3">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8711D3" w:rsidRDefault="004479D9">
            <w:pPr>
              <w:snapToGrid w:val="0"/>
              <w:spacing w:line="360" w:lineRule="auto"/>
              <w:ind w:firstLineChars="200" w:firstLine="420"/>
              <w:jc w:val="center"/>
              <w:rPr>
                <w:kern w:val="0"/>
                <w:szCs w:val="21"/>
              </w:rPr>
            </w:pPr>
            <w:r>
              <w:rPr>
                <w:rFonts w:hint="eastAsia"/>
                <w:kern w:val="0"/>
                <w:szCs w:val="21"/>
              </w:rPr>
              <w:t>7</w:t>
            </w:r>
            <w:r>
              <w:rPr>
                <w:rFonts w:hint="eastAsia"/>
                <w:kern w:val="0"/>
                <w:szCs w:val="21"/>
              </w:rPr>
              <w:t>天≤</w:t>
            </w:r>
            <w:r>
              <w:rPr>
                <w:rFonts w:hint="eastAsia"/>
                <w:kern w:val="0"/>
                <w:szCs w:val="21"/>
              </w:rPr>
              <w:t>N</w:t>
            </w:r>
            <w:r>
              <w:rPr>
                <w:rFonts w:hint="eastAsia"/>
                <w:kern w:val="0"/>
                <w:szCs w:val="21"/>
              </w:rPr>
              <w:t>＜</w:t>
            </w:r>
            <w:r>
              <w:rPr>
                <w:rFonts w:hint="eastAsia"/>
                <w:kern w:val="0"/>
                <w:szCs w:val="21"/>
              </w:rPr>
              <w:t>30</w:t>
            </w:r>
            <w:r>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rsidR="008711D3" w:rsidRDefault="004479D9">
            <w:pPr>
              <w:snapToGrid w:val="0"/>
              <w:spacing w:line="360" w:lineRule="auto"/>
              <w:ind w:firstLineChars="200" w:firstLine="420"/>
              <w:jc w:val="center"/>
              <w:rPr>
                <w:kern w:val="0"/>
                <w:szCs w:val="21"/>
              </w:rPr>
            </w:pPr>
            <w:r>
              <w:rPr>
                <w:rFonts w:hint="eastAsia"/>
                <w:kern w:val="0"/>
                <w:szCs w:val="21"/>
              </w:rPr>
              <w:t>0.5%</w:t>
            </w:r>
          </w:p>
        </w:tc>
      </w:tr>
      <w:tr w:rsidR="008711D3">
        <w:trPr>
          <w:trHeight w:val="558"/>
          <w:jc w:val="center"/>
        </w:trPr>
        <w:tc>
          <w:tcPr>
            <w:tcW w:w="0" w:type="auto"/>
            <w:tcBorders>
              <w:top w:val="single" w:sz="4" w:space="0" w:color="auto"/>
              <w:left w:val="single" w:sz="4" w:space="0" w:color="auto"/>
              <w:bottom w:val="single" w:sz="4" w:space="0" w:color="auto"/>
              <w:right w:val="single" w:sz="4" w:space="0" w:color="auto"/>
            </w:tcBorders>
            <w:vAlign w:val="center"/>
          </w:tcPr>
          <w:p w:rsidR="008711D3" w:rsidRDefault="004479D9">
            <w:pPr>
              <w:snapToGrid w:val="0"/>
              <w:spacing w:line="360" w:lineRule="auto"/>
              <w:ind w:firstLineChars="200" w:firstLine="420"/>
              <w:jc w:val="center"/>
              <w:rPr>
                <w:kern w:val="0"/>
                <w:szCs w:val="21"/>
              </w:rPr>
            </w:pPr>
            <w:r>
              <w:rPr>
                <w:kern w:val="0"/>
                <w:szCs w:val="21"/>
              </w:rPr>
              <w:t>N</w:t>
            </w:r>
            <w:r>
              <w:rPr>
                <w:rFonts w:hint="eastAsia"/>
                <w:kern w:val="0"/>
                <w:szCs w:val="21"/>
              </w:rPr>
              <w:t>≥</w:t>
            </w:r>
            <w:r>
              <w:rPr>
                <w:rFonts w:hint="eastAsia"/>
                <w:kern w:val="0"/>
                <w:szCs w:val="21"/>
              </w:rPr>
              <w:t>30</w:t>
            </w:r>
            <w:r>
              <w:rPr>
                <w:rFonts w:hint="eastAsia"/>
                <w:kern w:val="0"/>
                <w:szCs w:val="21"/>
              </w:rPr>
              <w:t>天</w:t>
            </w:r>
          </w:p>
        </w:tc>
        <w:tc>
          <w:tcPr>
            <w:tcW w:w="1796" w:type="dxa"/>
            <w:tcBorders>
              <w:top w:val="single" w:sz="4" w:space="0" w:color="auto"/>
              <w:left w:val="single" w:sz="4" w:space="0" w:color="auto"/>
              <w:bottom w:val="single" w:sz="4" w:space="0" w:color="auto"/>
              <w:right w:val="single" w:sz="4" w:space="0" w:color="auto"/>
            </w:tcBorders>
          </w:tcPr>
          <w:p w:rsidR="008711D3" w:rsidRDefault="004479D9">
            <w:pPr>
              <w:snapToGrid w:val="0"/>
              <w:spacing w:line="360" w:lineRule="auto"/>
              <w:ind w:firstLineChars="200" w:firstLine="420"/>
              <w:jc w:val="center"/>
              <w:rPr>
                <w:kern w:val="0"/>
                <w:szCs w:val="21"/>
              </w:rPr>
            </w:pPr>
            <w:r>
              <w:rPr>
                <w:rFonts w:hint="eastAsia"/>
                <w:kern w:val="0"/>
                <w:szCs w:val="21"/>
              </w:rPr>
              <w:t>0</w:t>
            </w:r>
          </w:p>
        </w:tc>
      </w:tr>
    </w:tbl>
    <w:p w:rsidR="008711D3" w:rsidRDefault="004479D9">
      <w:pPr>
        <w:autoSpaceDE w:val="0"/>
        <w:autoSpaceDN w:val="0"/>
        <w:adjustRightInd w:val="0"/>
        <w:spacing w:line="360" w:lineRule="auto"/>
        <w:ind w:firstLineChars="200" w:firstLine="420"/>
        <w:rPr>
          <w:rFonts w:ascii="宋体" w:hAnsi="宋体"/>
          <w:color w:val="000000"/>
          <w:kern w:val="0"/>
          <w:szCs w:val="21"/>
        </w:rPr>
      </w:pPr>
      <w:r>
        <w:rPr>
          <w:rFonts w:ascii="宋体" w:hAnsi="宋体" w:hint="eastAsia"/>
          <w:color w:val="000000"/>
          <w:kern w:val="0"/>
          <w:szCs w:val="21"/>
        </w:rPr>
        <w:t>3、基金管理人可以按照基金合同的约定调整费率或收费方式，并最迟应于新的费率或收费方式实施日前依照《信息披露办法》的有关规定在规定媒介上公告。</w:t>
      </w:r>
    </w:p>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4、基金销售机构可以在不违反法律法规规定及基金合同约定，且对基金份额持有人利益无实质性不利影响的前提下，根据市场情况制定基金促销计划，定期或不定期地开展基金促销活动。</w:t>
      </w:r>
    </w:p>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5、当本基金发生大额申购或赎回情形时，基金管理人可以采用摆动定价机制，以确保基金估值的公平性。具体处理原则与操作规范遵循相关法律法规以及监管部门、自律规则的规定。</w:t>
      </w:r>
    </w:p>
    <w:p w:rsidR="008711D3" w:rsidRDefault="004479D9">
      <w:pPr>
        <w:spacing w:line="360" w:lineRule="auto"/>
        <w:ind w:firstLineChars="200" w:firstLine="422"/>
        <w:rPr>
          <w:rFonts w:ascii="宋体" w:hAnsi="宋体"/>
          <w:b/>
          <w:bCs/>
          <w:szCs w:val="21"/>
        </w:rPr>
      </w:pPr>
      <w:r>
        <w:rPr>
          <w:rFonts w:ascii="宋体" w:hAnsi="宋体" w:hint="eastAsia"/>
          <w:b/>
          <w:bCs/>
          <w:szCs w:val="21"/>
        </w:rPr>
        <w:t>（七）申购份额、赎回金额的计算方式</w:t>
      </w:r>
    </w:p>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、申购份额的计算</w:t>
      </w:r>
    </w:p>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当投资者</w:t>
      </w:r>
      <w:r>
        <w:rPr>
          <w:rFonts w:ascii="宋体" w:hAnsi="宋体" w:hint="eastAsia"/>
          <w:color w:val="000000"/>
          <w:kern w:val="0"/>
          <w:szCs w:val="21"/>
        </w:rPr>
        <w:t>申购本基金A类基金份额</w:t>
      </w:r>
      <w:r>
        <w:rPr>
          <w:rFonts w:ascii="宋体" w:hAnsi="宋体"/>
          <w:color w:val="000000"/>
          <w:kern w:val="0"/>
          <w:szCs w:val="21"/>
        </w:rPr>
        <w:t>时，申购份</w:t>
      </w:r>
      <w:r>
        <w:rPr>
          <w:rFonts w:ascii="宋体" w:hAnsi="宋体" w:hint="eastAsia"/>
          <w:color w:val="000000"/>
          <w:kern w:val="0"/>
          <w:szCs w:val="21"/>
        </w:rPr>
        <w:t>额</w:t>
      </w:r>
      <w:r>
        <w:rPr>
          <w:rFonts w:ascii="宋体" w:hAnsi="宋体"/>
          <w:color w:val="000000"/>
          <w:kern w:val="0"/>
          <w:szCs w:val="21"/>
        </w:rPr>
        <w:t>的计算方法如下：</w:t>
      </w:r>
    </w:p>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申购费用适用比例费率时，申购份</w:t>
      </w:r>
      <w:r>
        <w:rPr>
          <w:rFonts w:ascii="宋体" w:hAnsi="宋体" w:hint="eastAsia"/>
          <w:color w:val="000000"/>
          <w:kern w:val="0"/>
          <w:szCs w:val="21"/>
        </w:rPr>
        <w:t>额</w:t>
      </w:r>
      <w:r>
        <w:rPr>
          <w:rFonts w:ascii="宋体" w:hAnsi="宋体"/>
          <w:color w:val="000000"/>
          <w:kern w:val="0"/>
          <w:szCs w:val="21"/>
        </w:rPr>
        <w:t>的计算方法如下：</w:t>
      </w:r>
    </w:p>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净申购金额＝申购金额/(1＋申购费率)</w:t>
      </w:r>
    </w:p>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申购费用＝申购金额－净申购金额</w:t>
      </w:r>
    </w:p>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w:t>
      </w:r>
      <w:r>
        <w:rPr>
          <w:rFonts w:ascii="宋体" w:hAnsi="宋体" w:hint="eastAsia"/>
          <w:color w:val="000000"/>
          <w:kern w:val="0"/>
          <w:szCs w:val="21"/>
        </w:rPr>
        <w:t>额</w:t>
      </w:r>
      <w:r>
        <w:rPr>
          <w:rFonts w:ascii="宋体" w:hAnsi="宋体"/>
          <w:color w:val="000000"/>
          <w:kern w:val="0"/>
          <w:szCs w:val="21"/>
        </w:rPr>
        <w:t>＝净申购金额/</w:t>
      </w:r>
      <w:r>
        <w:rPr>
          <w:rFonts w:ascii="宋体" w:hAnsi="宋体" w:hint="eastAsia"/>
          <w:color w:val="000000"/>
          <w:kern w:val="0"/>
          <w:szCs w:val="21"/>
        </w:rPr>
        <w:t>T</w:t>
      </w:r>
      <w:r>
        <w:rPr>
          <w:rFonts w:ascii="宋体" w:hAnsi="宋体"/>
          <w:color w:val="000000"/>
          <w:kern w:val="0"/>
          <w:szCs w:val="21"/>
        </w:rPr>
        <w:t>日</w:t>
      </w:r>
      <w:r>
        <w:rPr>
          <w:rFonts w:ascii="宋体" w:hAnsi="宋体" w:hint="eastAsia"/>
          <w:color w:val="000000"/>
          <w:kern w:val="0"/>
          <w:szCs w:val="21"/>
        </w:rPr>
        <w:t>A类</w:t>
      </w:r>
      <w:r>
        <w:rPr>
          <w:rFonts w:ascii="宋体" w:hAnsi="宋体"/>
          <w:color w:val="000000"/>
          <w:kern w:val="0"/>
          <w:szCs w:val="21"/>
        </w:rPr>
        <w:t>基金份额净值</w:t>
      </w:r>
    </w:p>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w:t>
      </w:r>
      <w:r>
        <w:rPr>
          <w:rFonts w:ascii="宋体" w:hAnsi="宋体"/>
          <w:color w:val="000000"/>
          <w:kern w:val="0"/>
          <w:szCs w:val="21"/>
        </w:rPr>
        <w:t>申购费用为固定金额时，申购份</w:t>
      </w:r>
      <w:r>
        <w:rPr>
          <w:rFonts w:ascii="宋体" w:hAnsi="宋体" w:hint="eastAsia"/>
          <w:color w:val="000000"/>
          <w:kern w:val="0"/>
          <w:szCs w:val="21"/>
        </w:rPr>
        <w:t>额</w:t>
      </w:r>
      <w:r>
        <w:rPr>
          <w:rFonts w:ascii="宋体" w:hAnsi="宋体"/>
          <w:color w:val="000000"/>
          <w:kern w:val="0"/>
          <w:szCs w:val="21"/>
        </w:rPr>
        <w:t>的计算方法如下：</w:t>
      </w:r>
    </w:p>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申购费用＝固定金额</w:t>
      </w:r>
    </w:p>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净申购金额=申购金额－申购费用</w:t>
      </w:r>
    </w:p>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申购份</w:t>
      </w:r>
      <w:r>
        <w:rPr>
          <w:rFonts w:ascii="宋体" w:hAnsi="宋体" w:hint="eastAsia"/>
          <w:color w:val="000000"/>
          <w:kern w:val="0"/>
          <w:szCs w:val="21"/>
        </w:rPr>
        <w:t>额</w:t>
      </w:r>
      <w:r>
        <w:rPr>
          <w:rFonts w:ascii="宋体" w:hAnsi="宋体"/>
          <w:color w:val="000000"/>
          <w:kern w:val="0"/>
          <w:szCs w:val="21"/>
        </w:rPr>
        <w:t>＝净申购金额/</w:t>
      </w:r>
      <w:r>
        <w:rPr>
          <w:rFonts w:ascii="宋体" w:hAnsi="宋体" w:hint="eastAsia"/>
          <w:color w:val="000000"/>
          <w:kern w:val="0"/>
          <w:szCs w:val="21"/>
        </w:rPr>
        <w:t>T</w:t>
      </w:r>
      <w:r>
        <w:rPr>
          <w:rFonts w:ascii="宋体" w:hAnsi="宋体"/>
          <w:color w:val="000000"/>
          <w:kern w:val="0"/>
          <w:szCs w:val="21"/>
        </w:rPr>
        <w:t>日</w:t>
      </w:r>
      <w:r>
        <w:rPr>
          <w:rFonts w:ascii="宋体" w:hAnsi="宋体" w:hint="eastAsia"/>
          <w:color w:val="000000"/>
          <w:kern w:val="0"/>
          <w:szCs w:val="21"/>
        </w:rPr>
        <w:t>A类</w:t>
      </w:r>
      <w:r>
        <w:rPr>
          <w:rFonts w:ascii="宋体" w:hAnsi="宋体"/>
          <w:color w:val="000000"/>
          <w:kern w:val="0"/>
          <w:szCs w:val="21"/>
        </w:rPr>
        <w:t>基金份额净值</w:t>
      </w:r>
    </w:p>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例一：某投资者投资5万元申购本基金A类基金份额，假设申购当日A类基金份额净值为1.0500元，则可得到的申购份额为：</w:t>
      </w:r>
    </w:p>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净申购金额＝50,000/（1＋1.5%）＝49261.08元</w:t>
      </w:r>
    </w:p>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 xml:space="preserve">申购费用＝50,000－49261.08＝738.92元 </w:t>
      </w:r>
    </w:p>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 xml:space="preserve">申购份额＝49261.08/1.0500＝46915.31份 </w:t>
      </w:r>
    </w:p>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即：投资者投资5万元申购本基金A类基金份额，假设申购当日A类基金份额净值为1.0500</w:t>
      </w:r>
      <w:r>
        <w:rPr>
          <w:rFonts w:ascii="宋体" w:hAnsi="宋体" w:hint="eastAsia"/>
          <w:color w:val="000000"/>
          <w:kern w:val="0"/>
          <w:szCs w:val="21"/>
        </w:rPr>
        <w:lastRenderedPageBreak/>
        <w:t xml:space="preserve">元，则其可得到46915.31份A类基金份额。 </w:t>
      </w:r>
    </w:p>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（2）当投资者选择申购C类基金份额时，申购份额的计算方法如下：</w:t>
      </w:r>
    </w:p>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 xml:space="preserve">申购份额＝申购金额/T日C类基金份额净值 </w:t>
      </w:r>
    </w:p>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 xml:space="preserve">例二：某投资者投资5万元申购本基金C类基金份额，假设申购当日C类基金份额净值为1.0500元，则可得到的申购份额为： </w:t>
      </w:r>
    </w:p>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 xml:space="preserve">申购份额＝50,000/1.0500＝47,619.05份 </w:t>
      </w:r>
    </w:p>
    <w:p w:rsidR="008711D3" w:rsidRDefault="004479D9">
      <w:pPr>
        <w:autoSpaceDE w:val="0"/>
        <w:autoSpaceDN w:val="0"/>
        <w:adjustRightInd w:val="0"/>
        <w:spacing w:line="360" w:lineRule="auto"/>
        <w:ind w:firstLineChars="200" w:firstLine="420"/>
        <w:rPr>
          <w:rFonts w:ascii="宋体" w:hAnsi="宋体"/>
          <w:color w:val="000000"/>
          <w:kern w:val="0"/>
          <w:szCs w:val="21"/>
        </w:rPr>
      </w:pPr>
      <w:r>
        <w:rPr>
          <w:rFonts w:ascii="宋体" w:hAnsi="宋体" w:hint="eastAsia"/>
          <w:color w:val="000000"/>
          <w:kern w:val="0"/>
          <w:szCs w:val="21"/>
        </w:rPr>
        <w:t>即：投资人投资50,000元申购本基金C类基金份额，假设申购当日本基金C类基金份额的基金份额净值为1.0500元，则其可得到本基金C类基金份额47,619.05份。</w:t>
      </w:r>
    </w:p>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（3）申购份额计算结果按四舍五入方法，保留到小数点后</w:t>
      </w:r>
      <w:r>
        <w:rPr>
          <w:rFonts w:ascii="宋体" w:hAnsi="宋体"/>
          <w:color w:val="000000"/>
          <w:kern w:val="0"/>
          <w:szCs w:val="21"/>
        </w:rPr>
        <w:t>2</w:t>
      </w:r>
      <w:r>
        <w:rPr>
          <w:rFonts w:ascii="宋体" w:hAnsi="宋体" w:hint="eastAsia"/>
          <w:color w:val="000000"/>
          <w:kern w:val="0"/>
          <w:szCs w:val="21"/>
        </w:rPr>
        <w:t>位，由此产生的收益或损失由基金财产承担。</w:t>
      </w:r>
    </w:p>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2、基金赎回金额的计算</w:t>
      </w:r>
    </w:p>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本基金的赎回采用“份额赎回”方式，赎回价格以T日的各类基金份额净值为基准进行计算，本基金的赎回金额为赎回总额扣减赎回费用。</w:t>
      </w:r>
    </w:p>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1</w:t>
      </w:r>
      <w:r>
        <w:rPr>
          <w:rFonts w:ascii="宋体" w:hAnsi="宋体" w:hint="eastAsia"/>
          <w:color w:val="000000"/>
          <w:kern w:val="0"/>
          <w:szCs w:val="21"/>
        </w:rPr>
        <w:t>）</w:t>
      </w:r>
      <w:r>
        <w:rPr>
          <w:rFonts w:ascii="宋体" w:hAnsi="宋体"/>
          <w:color w:val="000000"/>
          <w:kern w:val="0"/>
          <w:szCs w:val="21"/>
        </w:rPr>
        <w:t>赎回金额的计算方法如下：</w:t>
      </w:r>
    </w:p>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赎回</w:t>
      </w:r>
      <w:r>
        <w:rPr>
          <w:rFonts w:ascii="宋体" w:hAnsi="宋体" w:hint="eastAsia"/>
          <w:color w:val="000000"/>
          <w:kern w:val="0"/>
          <w:szCs w:val="21"/>
        </w:rPr>
        <w:t>总</w:t>
      </w:r>
      <w:r>
        <w:rPr>
          <w:rFonts w:ascii="宋体" w:hAnsi="宋体"/>
          <w:color w:val="000000"/>
          <w:kern w:val="0"/>
          <w:szCs w:val="21"/>
        </w:rPr>
        <w:t>额＝赎回份</w:t>
      </w:r>
      <w:r>
        <w:rPr>
          <w:rFonts w:ascii="宋体" w:hAnsi="宋体" w:hint="eastAsia"/>
          <w:color w:val="000000"/>
          <w:kern w:val="0"/>
          <w:szCs w:val="21"/>
        </w:rPr>
        <w:t>额</w:t>
      </w:r>
      <w:r>
        <w:rPr>
          <w:rFonts w:ascii="宋体" w:hAnsi="宋体"/>
          <w:color w:val="000000"/>
          <w:kern w:val="0"/>
          <w:szCs w:val="21"/>
        </w:rPr>
        <w:t>×T日</w:t>
      </w:r>
      <w:r>
        <w:rPr>
          <w:rFonts w:ascii="宋体" w:hAnsi="宋体" w:hint="eastAsia"/>
          <w:color w:val="000000"/>
          <w:kern w:val="0"/>
          <w:szCs w:val="21"/>
        </w:rPr>
        <w:t>A类/C类</w:t>
      </w:r>
      <w:r>
        <w:rPr>
          <w:rFonts w:ascii="宋体" w:hAnsi="宋体"/>
          <w:color w:val="000000"/>
          <w:kern w:val="0"/>
          <w:szCs w:val="21"/>
        </w:rPr>
        <w:t>基金份额净值</w:t>
      </w:r>
    </w:p>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赎回费用＝赎回</w:t>
      </w:r>
      <w:r>
        <w:rPr>
          <w:rFonts w:ascii="宋体" w:hAnsi="宋体" w:hint="eastAsia"/>
          <w:color w:val="000000"/>
          <w:kern w:val="0"/>
          <w:szCs w:val="21"/>
        </w:rPr>
        <w:t>总额</w:t>
      </w:r>
      <w:r>
        <w:rPr>
          <w:rFonts w:ascii="宋体" w:hAnsi="宋体"/>
          <w:color w:val="000000"/>
          <w:kern w:val="0"/>
          <w:szCs w:val="21"/>
        </w:rPr>
        <w:t>×赎回费率</w:t>
      </w:r>
    </w:p>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赎回金额</w:t>
      </w:r>
      <w:r>
        <w:rPr>
          <w:rFonts w:ascii="宋体" w:hAnsi="宋体" w:hint="eastAsia"/>
          <w:color w:val="000000"/>
          <w:kern w:val="0"/>
          <w:szCs w:val="21"/>
        </w:rPr>
        <w:t>＝</w:t>
      </w:r>
      <w:r>
        <w:rPr>
          <w:rFonts w:ascii="宋体" w:hAnsi="宋体"/>
          <w:color w:val="000000"/>
          <w:kern w:val="0"/>
          <w:szCs w:val="21"/>
        </w:rPr>
        <w:t>赎回</w:t>
      </w:r>
      <w:r>
        <w:rPr>
          <w:rFonts w:ascii="宋体" w:hAnsi="宋体" w:hint="eastAsia"/>
          <w:color w:val="000000"/>
          <w:kern w:val="0"/>
          <w:szCs w:val="21"/>
        </w:rPr>
        <w:t>总额</w:t>
      </w:r>
      <w:r>
        <w:rPr>
          <w:rFonts w:ascii="宋体" w:hAnsi="宋体"/>
          <w:color w:val="000000"/>
          <w:kern w:val="0"/>
          <w:szCs w:val="21"/>
        </w:rPr>
        <w:t>-赎回费用</w:t>
      </w:r>
    </w:p>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（2）赎回金额计算结果按四舍五入方法，保留到小数点后</w:t>
      </w:r>
      <w:r>
        <w:rPr>
          <w:rFonts w:ascii="宋体" w:hAnsi="宋体"/>
          <w:color w:val="000000"/>
          <w:kern w:val="0"/>
          <w:szCs w:val="21"/>
        </w:rPr>
        <w:t>2</w:t>
      </w:r>
      <w:r>
        <w:rPr>
          <w:rFonts w:ascii="宋体" w:hAnsi="宋体" w:hint="eastAsia"/>
          <w:color w:val="000000"/>
          <w:kern w:val="0"/>
          <w:szCs w:val="21"/>
        </w:rPr>
        <w:t>位，由此产生的收益或损失由基金财产承担。</w:t>
      </w:r>
    </w:p>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例三：假定三笔A类基金份额赎回申请的赎回份额均为10,000 份，但持有时间长短不同，其中A类基金份额净值为假设数，那么各笔赎回负担的赎回费用和获得的赎回金额计算如下：</w:t>
      </w: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4"/>
        <w:gridCol w:w="1583"/>
        <w:gridCol w:w="1701"/>
        <w:gridCol w:w="1701"/>
      </w:tblGrid>
      <w:tr w:rsidR="008711D3">
        <w:trPr>
          <w:trHeight w:val="299"/>
          <w:jc w:val="center"/>
        </w:trPr>
        <w:tc>
          <w:tcPr>
            <w:tcW w:w="2494" w:type="dxa"/>
          </w:tcPr>
          <w:p w:rsidR="008711D3" w:rsidRDefault="008711D3">
            <w:pPr>
              <w:autoSpaceDE w:val="0"/>
              <w:autoSpaceDN w:val="0"/>
              <w:adjustRightInd w:val="0"/>
              <w:spacing w:line="360" w:lineRule="auto"/>
              <w:rPr>
                <w:rFonts w:ascii="宋体" w:hAnsi="宋体"/>
                <w:color w:val="000000"/>
                <w:kern w:val="0"/>
                <w:szCs w:val="21"/>
              </w:rPr>
            </w:pPr>
          </w:p>
        </w:tc>
        <w:tc>
          <w:tcPr>
            <w:tcW w:w="1583" w:type="dxa"/>
          </w:tcPr>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赎回1</w:t>
            </w:r>
          </w:p>
        </w:tc>
        <w:tc>
          <w:tcPr>
            <w:tcW w:w="1701" w:type="dxa"/>
          </w:tcPr>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赎回2</w:t>
            </w:r>
          </w:p>
        </w:tc>
        <w:tc>
          <w:tcPr>
            <w:tcW w:w="1701" w:type="dxa"/>
          </w:tcPr>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赎回3</w:t>
            </w:r>
          </w:p>
        </w:tc>
      </w:tr>
      <w:tr w:rsidR="008711D3">
        <w:trPr>
          <w:trHeight w:val="289"/>
          <w:jc w:val="center"/>
        </w:trPr>
        <w:tc>
          <w:tcPr>
            <w:tcW w:w="2494" w:type="dxa"/>
          </w:tcPr>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赎回份额（份，a）</w:t>
            </w:r>
          </w:p>
        </w:tc>
        <w:tc>
          <w:tcPr>
            <w:tcW w:w="1583" w:type="dxa"/>
          </w:tcPr>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10,000</w:t>
            </w:r>
          </w:p>
        </w:tc>
        <w:tc>
          <w:tcPr>
            <w:tcW w:w="1701" w:type="dxa"/>
          </w:tcPr>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10,000</w:t>
            </w:r>
          </w:p>
        </w:tc>
        <w:tc>
          <w:tcPr>
            <w:tcW w:w="1701" w:type="dxa"/>
          </w:tcPr>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10,000</w:t>
            </w:r>
          </w:p>
        </w:tc>
      </w:tr>
      <w:tr w:rsidR="008711D3">
        <w:trPr>
          <w:trHeight w:val="278"/>
          <w:jc w:val="center"/>
        </w:trPr>
        <w:tc>
          <w:tcPr>
            <w:tcW w:w="2494" w:type="dxa"/>
          </w:tcPr>
          <w:p w:rsidR="008711D3" w:rsidRDefault="004479D9">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基金份额净值（元，b）</w:t>
            </w:r>
          </w:p>
        </w:tc>
        <w:tc>
          <w:tcPr>
            <w:tcW w:w="1583" w:type="dxa"/>
          </w:tcPr>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1.1000</w:t>
            </w:r>
          </w:p>
        </w:tc>
        <w:tc>
          <w:tcPr>
            <w:tcW w:w="1701" w:type="dxa"/>
          </w:tcPr>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1.2000</w:t>
            </w:r>
          </w:p>
        </w:tc>
        <w:tc>
          <w:tcPr>
            <w:tcW w:w="1701" w:type="dxa"/>
          </w:tcPr>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1.3000</w:t>
            </w:r>
          </w:p>
        </w:tc>
      </w:tr>
      <w:tr w:rsidR="008711D3">
        <w:trPr>
          <w:trHeight w:val="269"/>
          <w:jc w:val="center"/>
        </w:trPr>
        <w:tc>
          <w:tcPr>
            <w:tcW w:w="2494" w:type="dxa"/>
          </w:tcPr>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持有时间N</w:t>
            </w:r>
          </w:p>
        </w:tc>
        <w:tc>
          <w:tcPr>
            <w:tcW w:w="1583" w:type="dxa"/>
          </w:tcPr>
          <w:p w:rsidR="008711D3" w:rsidRDefault="004479D9">
            <w:pPr>
              <w:autoSpaceDE w:val="0"/>
              <w:autoSpaceDN w:val="0"/>
              <w:adjustRightInd w:val="0"/>
              <w:spacing w:line="360" w:lineRule="auto"/>
              <w:jc w:val="center"/>
              <w:rPr>
                <w:rFonts w:ascii="宋体" w:hAnsi="宋体"/>
                <w:color w:val="000000"/>
                <w:kern w:val="0"/>
                <w:szCs w:val="21"/>
              </w:rPr>
            </w:pPr>
            <w:r>
              <w:rPr>
                <w:rFonts w:hAnsi="宋体" w:hint="eastAsia"/>
              </w:rPr>
              <w:t>T</w:t>
            </w:r>
            <w:r>
              <w:rPr>
                <w:rFonts w:hAnsi="宋体" w:hint="eastAsia"/>
                <w:color w:val="000000"/>
              </w:rPr>
              <w:t>＜</w:t>
            </w:r>
            <w:r>
              <w:rPr>
                <w:rFonts w:hAnsi="宋体" w:hint="eastAsia"/>
              </w:rPr>
              <w:t>7</w:t>
            </w:r>
            <w:r>
              <w:rPr>
                <w:rFonts w:hAnsi="宋体" w:hint="eastAsia"/>
              </w:rPr>
              <w:t>天</w:t>
            </w:r>
          </w:p>
        </w:tc>
        <w:tc>
          <w:tcPr>
            <w:tcW w:w="1701" w:type="dxa"/>
          </w:tcPr>
          <w:p w:rsidR="008711D3" w:rsidRDefault="004479D9">
            <w:pPr>
              <w:autoSpaceDE w:val="0"/>
              <w:autoSpaceDN w:val="0"/>
              <w:adjustRightInd w:val="0"/>
              <w:spacing w:line="360" w:lineRule="auto"/>
              <w:jc w:val="center"/>
              <w:rPr>
                <w:rFonts w:ascii="宋体" w:hAnsi="宋体"/>
                <w:color w:val="000000"/>
                <w:kern w:val="0"/>
                <w:szCs w:val="21"/>
              </w:rPr>
            </w:pPr>
            <w:r>
              <w:rPr>
                <w:rFonts w:ascii="宋体" w:hAnsi="宋体" w:hint="eastAsia"/>
                <w:szCs w:val="21"/>
              </w:rPr>
              <w:t>30天≤T＜180天</w:t>
            </w:r>
          </w:p>
        </w:tc>
        <w:tc>
          <w:tcPr>
            <w:tcW w:w="1701" w:type="dxa"/>
          </w:tcPr>
          <w:p w:rsidR="008711D3" w:rsidRDefault="004479D9">
            <w:pPr>
              <w:autoSpaceDE w:val="0"/>
              <w:autoSpaceDN w:val="0"/>
              <w:adjustRightInd w:val="0"/>
              <w:spacing w:line="360" w:lineRule="auto"/>
              <w:ind w:firstLineChars="192" w:firstLine="403"/>
              <w:jc w:val="center"/>
              <w:rPr>
                <w:rFonts w:ascii="宋体" w:hAnsi="宋体"/>
                <w:szCs w:val="21"/>
              </w:rPr>
            </w:pPr>
            <w:r>
              <w:rPr>
                <w:rFonts w:ascii="宋体" w:hAnsi="宋体" w:hint="eastAsia"/>
                <w:szCs w:val="21"/>
              </w:rPr>
              <w:t>T≥180天</w:t>
            </w:r>
          </w:p>
        </w:tc>
      </w:tr>
      <w:tr w:rsidR="008711D3">
        <w:trPr>
          <w:trHeight w:val="245"/>
          <w:jc w:val="center"/>
        </w:trPr>
        <w:tc>
          <w:tcPr>
            <w:tcW w:w="2494" w:type="dxa"/>
          </w:tcPr>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适用赎回费率（c）</w:t>
            </w:r>
          </w:p>
        </w:tc>
        <w:tc>
          <w:tcPr>
            <w:tcW w:w="1583" w:type="dxa"/>
          </w:tcPr>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1.5%</w:t>
            </w:r>
          </w:p>
        </w:tc>
        <w:tc>
          <w:tcPr>
            <w:tcW w:w="1701" w:type="dxa"/>
          </w:tcPr>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0.5%</w:t>
            </w:r>
          </w:p>
        </w:tc>
        <w:tc>
          <w:tcPr>
            <w:tcW w:w="1701" w:type="dxa"/>
          </w:tcPr>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0</w:t>
            </w:r>
          </w:p>
        </w:tc>
      </w:tr>
      <w:tr w:rsidR="008711D3">
        <w:trPr>
          <w:trHeight w:val="249"/>
          <w:jc w:val="center"/>
        </w:trPr>
        <w:tc>
          <w:tcPr>
            <w:tcW w:w="2494" w:type="dxa"/>
          </w:tcPr>
          <w:p w:rsidR="008711D3" w:rsidRDefault="004479D9">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赎回总额（元，d=a×b）</w:t>
            </w:r>
          </w:p>
        </w:tc>
        <w:tc>
          <w:tcPr>
            <w:tcW w:w="1583" w:type="dxa"/>
          </w:tcPr>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11,000</w:t>
            </w:r>
            <w:r>
              <w:rPr>
                <w:rFonts w:ascii="宋体" w:hAnsi="宋体"/>
                <w:color w:val="000000"/>
                <w:kern w:val="0"/>
                <w:szCs w:val="21"/>
              </w:rPr>
              <w:t>.00</w:t>
            </w:r>
          </w:p>
        </w:tc>
        <w:tc>
          <w:tcPr>
            <w:tcW w:w="1701" w:type="dxa"/>
          </w:tcPr>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12,000</w:t>
            </w:r>
            <w:r>
              <w:rPr>
                <w:rFonts w:ascii="宋体" w:hAnsi="宋体"/>
                <w:color w:val="000000"/>
                <w:kern w:val="0"/>
                <w:szCs w:val="21"/>
              </w:rPr>
              <w:t>.00</w:t>
            </w:r>
          </w:p>
        </w:tc>
        <w:tc>
          <w:tcPr>
            <w:tcW w:w="1701" w:type="dxa"/>
          </w:tcPr>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13,000</w:t>
            </w:r>
            <w:r>
              <w:rPr>
                <w:rFonts w:ascii="宋体" w:hAnsi="宋体"/>
                <w:color w:val="000000"/>
                <w:kern w:val="0"/>
                <w:szCs w:val="21"/>
              </w:rPr>
              <w:t>.00</w:t>
            </w:r>
          </w:p>
        </w:tc>
      </w:tr>
      <w:tr w:rsidR="008711D3">
        <w:trPr>
          <w:trHeight w:val="239"/>
          <w:jc w:val="center"/>
        </w:trPr>
        <w:tc>
          <w:tcPr>
            <w:tcW w:w="2494" w:type="dxa"/>
          </w:tcPr>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赎回费（e=c×d）</w:t>
            </w:r>
          </w:p>
        </w:tc>
        <w:tc>
          <w:tcPr>
            <w:tcW w:w="1583" w:type="dxa"/>
          </w:tcPr>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165.0</w:t>
            </w:r>
            <w:r>
              <w:rPr>
                <w:rFonts w:ascii="宋体" w:hAnsi="宋体"/>
                <w:color w:val="000000"/>
                <w:kern w:val="0"/>
                <w:szCs w:val="21"/>
              </w:rPr>
              <w:t>0</w:t>
            </w:r>
          </w:p>
        </w:tc>
        <w:tc>
          <w:tcPr>
            <w:tcW w:w="1701" w:type="dxa"/>
          </w:tcPr>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60</w:t>
            </w:r>
            <w:r>
              <w:rPr>
                <w:rFonts w:ascii="宋体" w:hAnsi="宋体"/>
                <w:color w:val="000000"/>
                <w:kern w:val="0"/>
                <w:szCs w:val="21"/>
              </w:rPr>
              <w:t>.00</w:t>
            </w:r>
          </w:p>
        </w:tc>
        <w:tc>
          <w:tcPr>
            <w:tcW w:w="1701" w:type="dxa"/>
          </w:tcPr>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0</w:t>
            </w:r>
            <w:r>
              <w:rPr>
                <w:rFonts w:ascii="宋体" w:hAnsi="宋体"/>
                <w:color w:val="000000"/>
                <w:kern w:val="0"/>
                <w:szCs w:val="21"/>
              </w:rPr>
              <w:t>.00</w:t>
            </w:r>
          </w:p>
        </w:tc>
      </w:tr>
      <w:tr w:rsidR="008711D3">
        <w:trPr>
          <w:trHeight w:val="229"/>
          <w:jc w:val="center"/>
        </w:trPr>
        <w:tc>
          <w:tcPr>
            <w:tcW w:w="2494" w:type="dxa"/>
          </w:tcPr>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赎回金额（f=d-e）</w:t>
            </w:r>
          </w:p>
        </w:tc>
        <w:tc>
          <w:tcPr>
            <w:tcW w:w="1583" w:type="dxa"/>
          </w:tcPr>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10,835</w:t>
            </w:r>
            <w:r>
              <w:rPr>
                <w:rFonts w:ascii="宋体" w:hAnsi="宋体"/>
                <w:color w:val="000000"/>
                <w:kern w:val="0"/>
                <w:szCs w:val="21"/>
              </w:rPr>
              <w:t>.00</w:t>
            </w:r>
          </w:p>
        </w:tc>
        <w:tc>
          <w:tcPr>
            <w:tcW w:w="1701" w:type="dxa"/>
          </w:tcPr>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11,940</w:t>
            </w:r>
            <w:r>
              <w:rPr>
                <w:rFonts w:ascii="宋体" w:hAnsi="宋体"/>
                <w:color w:val="000000"/>
                <w:kern w:val="0"/>
                <w:szCs w:val="21"/>
              </w:rPr>
              <w:t>.00</w:t>
            </w:r>
          </w:p>
        </w:tc>
        <w:tc>
          <w:tcPr>
            <w:tcW w:w="1701" w:type="dxa"/>
          </w:tcPr>
          <w:p w:rsidR="008711D3" w:rsidRDefault="004479D9">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13,000</w:t>
            </w:r>
            <w:r>
              <w:rPr>
                <w:rFonts w:ascii="宋体" w:hAnsi="宋体"/>
                <w:color w:val="000000"/>
                <w:kern w:val="0"/>
                <w:szCs w:val="21"/>
              </w:rPr>
              <w:t>.00</w:t>
            </w:r>
          </w:p>
        </w:tc>
      </w:tr>
    </w:tbl>
    <w:p w:rsidR="008711D3" w:rsidRDefault="004479D9">
      <w:pPr>
        <w:spacing w:line="360" w:lineRule="auto"/>
        <w:ind w:firstLineChars="200" w:firstLine="420"/>
        <w:rPr>
          <w:rFonts w:ascii="宋体" w:hAnsi="宋体"/>
          <w:bCs/>
          <w:szCs w:val="21"/>
        </w:rPr>
      </w:pPr>
      <w:r>
        <w:rPr>
          <w:rFonts w:ascii="宋体" w:hAnsi="宋体"/>
          <w:bCs/>
          <w:szCs w:val="21"/>
        </w:rPr>
        <w:lastRenderedPageBreak/>
        <w:t>3</w:t>
      </w:r>
      <w:r>
        <w:rPr>
          <w:rFonts w:ascii="宋体" w:hAnsi="宋体" w:hint="eastAsia"/>
          <w:bCs/>
          <w:szCs w:val="21"/>
        </w:rPr>
        <w:t>、本基金各类基金份额净值的计算，均保留到小数点后</w:t>
      </w:r>
      <w:r>
        <w:rPr>
          <w:rFonts w:ascii="宋体" w:hAnsi="宋体"/>
          <w:bCs/>
          <w:szCs w:val="21"/>
        </w:rPr>
        <w:t>4</w:t>
      </w:r>
      <w:r>
        <w:rPr>
          <w:rFonts w:ascii="宋体" w:hAnsi="宋体" w:hint="eastAsia"/>
          <w:bCs/>
          <w:szCs w:val="21"/>
        </w:rPr>
        <w:t>位，小数点后第</w:t>
      </w:r>
      <w:r>
        <w:rPr>
          <w:rFonts w:ascii="宋体" w:hAnsi="宋体"/>
          <w:bCs/>
          <w:szCs w:val="21"/>
        </w:rPr>
        <w:t>5</w:t>
      </w:r>
      <w:r>
        <w:rPr>
          <w:rFonts w:ascii="宋体" w:hAnsi="宋体" w:hint="eastAsia"/>
          <w:bCs/>
          <w:szCs w:val="21"/>
        </w:rPr>
        <w:t>位四舍五入，由此产生的收益或损失归入基金财产。</w:t>
      </w:r>
      <w:r>
        <w:rPr>
          <w:rFonts w:ascii="宋体" w:hAnsi="宋体"/>
          <w:bCs/>
          <w:szCs w:val="21"/>
        </w:rPr>
        <w:t>T</w:t>
      </w:r>
      <w:r>
        <w:rPr>
          <w:rFonts w:ascii="宋体" w:hAnsi="宋体" w:hint="eastAsia"/>
          <w:bCs/>
          <w:szCs w:val="21"/>
        </w:rPr>
        <w:t>日的基金份额净值在当天收市后计算，并在</w:t>
      </w:r>
      <w:r>
        <w:rPr>
          <w:rFonts w:ascii="宋体" w:hAnsi="宋体"/>
          <w:bCs/>
          <w:szCs w:val="21"/>
        </w:rPr>
        <w:t>T+1</w:t>
      </w:r>
      <w:r>
        <w:rPr>
          <w:rFonts w:ascii="宋体" w:hAnsi="宋体" w:hint="eastAsia"/>
          <w:bCs/>
          <w:szCs w:val="21"/>
        </w:rPr>
        <w:t>日内公告。遇特殊情况，经履行适当程序，可以适当延迟计算或公告。</w:t>
      </w:r>
    </w:p>
    <w:p w:rsidR="008711D3" w:rsidRDefault="004479D9">
      <w:pPr>
        <w:spacing w:line="360" w:lineRule="auto"/>
        <w:ind w:firstLineChars="200" w:firstLine="422"/>
        <w:rPr>
          <w:b/>
          <w:bCs/>
          <w:szCs w:val="21"/>
        </w:rPr>
      </w:pPr>
      <w:r>
        <w:rPr>
          <w:rFonts w:hint="eastAsia"/>
          <w:b/>
          <w:bCs/>
          <w:szCs w:val="21"/>
        </w:rPr>
        <w:t>（八）拒绝或暂停申购的情形</w:t>
      </w:r>
    </w:p>
    <w:p w:rsidR="008711D3" w:rsidRDefault="004479D9">
      <w:pPr>
        <w:spacing w:line="360" w:lineRule="auto"/>
        <w:ind w:firstLineChars="200" w:firstLine="420"/>
        <w:rPr>
          <w:bCs/>
          <w:szCs w:val="21"/>
        </w:rPr>
      </w:pPr>
      <w:r>
        <w:rPr>
          <w:rFonts w:hint="eastAsia"/>
          <w:bCs/>
          <w:szCs w:val="21"/>
        </w:rPr>
        <w:t>发生下列情况之一时，基金管理人可拒绝或暂停接受投资人的申购申请：</w:t>
      </w:r>
    </w:p>
    <w:p w:rsidR="008711D3" w:rsidRDefault="004479D9">
      <w:pPr>
        <w:spacing w:line="360" w:lineRule="auto"/>
        <w:ind w:firstLineChars="200" w:firstLine="420"/>
        <w:rPr>
          <w:bCs/>
          <w:szCs w:val="21"/>
        </w:rPr>
      </w:pPr>
      <w:r>
        <w:rPr>
          <w:rFonts w:hint="eastAsia"/>
          <w:bCs/>
          <w:szCs w:val="21"/>
        </w:rPr>
        <w:t>1</w:t>
      </w:r>
      <w:r>
        <w:rPr>
          <w:rFonts w:hint="eastAsia"/>
          <w:bCs/>
          <w:szCs w:val="21"/>
        </w:rPr>
        <w:t>、因不可抗力导致基金无法正常运作。</w:t>
      </w:r>
    </w:p>
    <w:p w:rsidR="008711D3" w:rsidRDefault="004479D9">
      <w:pPr>
        <w:spacing w:line="360" w:lineRule="auto"/>
        <w:ind w:firstLineChars="200" w:firstLine="420"/>
        <w:rPr>
          <w:bCs/>
          <w:szCs w:val="21"/>
        </w:rPr>
      </w:pPr>
      <w:r>
        <w:rPr>
          <w:rFonts w:hint="eastAsia"/>
          <w:bCs/>
          <w:szCs w:val="21"/>
        </w:rPr>
        <w:t>2</w:t>
      </w:r>
      <w:r>
        <w:rPr>
          <w:rFonts w:hint="eastAsia"/>
          <w:bCs/>
          <w:szCs w:val="21"/>
        </w:rPr>
        <w:t>、发生基金合同规定的暂停基金资产估值情况。</w:t>
      </w:r>
    </w:p>
    <w:p w:rsidR="008711D3" w:rsidRDefault="004479D9">
      <w:pPr>
        <w:spacing w:line="360" w:lineRule="auto"/>
        <w:ind w:firstLineChars="200" w:firstLine="420"/>
        <w:rPr>
          <w:bCs/>
          <w:szCs w:val="21"/>
        </w:rPr>
      </w:pPr>
      <w:r>
        <w:rPr>
          <w:rFonts w:hint="eastAsia"/>
          <w:bCs/>
          <w:szCs w:val="21"/>
        </w:rPr>
        <w:t>3</w:t>
      </w:r>
      <w:r>
        <w:rPr>
          <w:rFonts w:hint="eastAsia"/>
          <w:bCs/>
          <w:szCs w:val="21"/>
        </w:rPr>
        <w:t>、证券交易所、期货交易所或</w:t>
      </w:r>
      <w:r>
        <w:rPr>
          <w:bCs/>
          <w:szCs w:val="21"/>
        </w:rPr>
        <w:t>外汇市场</w:t>
      </w:r>
      <w:r>
        <w:rPr>
          <w:rFonts w:hint="eastAsia"/>
          <w:bCs/>
          <w:szCs w:val="21"/>
        </w:rPr>
        <w:t>交易时间非正常停市，导致基金管理人无法计算当日基金资产净值。</w:t>
      </w:r>
    </w:p>
    <w:p w:rsidR="008711D3" w:rsidRDefault="004479D9">
      <w:pPr>
        <w:spacing w:line="360" w:lineRule="auto"/>
        <w:ind w:firstLineChars="200" w:firstLine="420"/>
        <w:rPr>
          <w:bCs/>
          <w:szCs w:val="21"/>
        </w:rPr>
      </w:pPr>
      <w:r>
        <w:rPr>
          <w:rFonts w:hint="eastAsia"/>
          <w:bCs/>
          <w:szCs w:val="21"/>
        </w:rPr>
        <w:t>4</w:t>
      </w:r>
      <w:r>
        <w:rPr>
          <w:rFonts w:hint="eastAsia"/>
          <w:bCs/>
          <w:szCs w:val="21"/>
        </w:rPr>
        <w:t>、基金资产规模过大，使基金管理人无法找到合适的投资品种，或其他可能对基金业绩产生负面影响，或发生其他损害现有基金份额持有人利益的情形。</w:t>
      </w:r>
    </w:p>
    <w:p w:rsidR="008711D3" w:rsidRDefault="004479D9">
      <w:pPr>
        <w:spacing w:line="360" w:lineRule="auto"/>
        <w:ind w:firstLineChars="200" w:firstLine="420"/>
        <w:rPr>
          <w:bCs/>
          <w:szCs w:val="21"/>
        </w:rPr>
      </w:pPr>
      <w:r>
        <w:rPr>
          <w:rFonts w:hint="eastAsia"/>
          <w:bCs/>
          <w:szCs w:val="21"/>
        </w:rPr>
        <w:t>5</w:t>
      </w:r>
      <w:r>
        <w:rPr>
          <w:rFonts w:hint="eastAsia"/>
          <w:bCs/>
          <w:szCs w:val="21"/>
        </w:rPr>
        <w:t>、基金管理人、基金托管人、销售机构、登记机构、支付结算机构等因异常情况导致基金销售系统、基金注册登记系统、基金会计系统等无法正常运行。</w:t>
      </w:r>
    </w:p>
    <w:p w:rsidR="008711D3" w:rsidRDefault="004479D9">
      <w:pPr>
        <w:spacing w:line="360" w:lineRule="auto"/>
        <w:ind w:firstLineChars="200" w:firstLine="420"/>
        <w:rPr>
          <w:bCs/>
          <w:szCs w:val="21"/>
        </w:rPr>
      </w:pPr>
      <w:r>
        <w:rPr>
          <w:rFonts w:hint="eastAsia"/>
          <w:bCs/>
          <w:szCs w:val="21"/>
        </w:rPr>
        <w:t>6</w:t>
      </w:r>
      <w:r>
        <w:rPr>
          <w:rFonts w:hint="eastAsia"/>
          <w:bCs/>
          <w:szCs w:val="21"/>
        </w:rPr>
        <w:t>、占前一估值日基金资产净值</w:t>
      </w:r>
      <w:r>
        <w:rPr>
          <w:rFonts w:hint="eastAsia"/>
          <w:bCs/>
          <w:szCs w:val="21"/>
        </w:rPr>
        <w:t>50%</w:t>
      </w:r>
      <w:r>
        <w:rPr>
          <w:rFonts w:hint="eastAsia"/>
          <w:bCs/>
          <w:szCs w:val="21"/>
        </w:rPr>
        <w:t>以上的资产出现无可参考的活跃市场价格且采用估值技术仍导致公允价值存在重大不确定性时，经与基金托管人协商确认后，基金管理人应当暂停接受基金申购申请。</w:t>
      </w:r>
    </w:p>
    <w:p w:rsidR="008711D3" w:rsidRDefault="004479D9">
      <w:pPr>
        <w:spacing w:line="360" w:lineRule="auto"/>
        <w:ind w:firstLineChars="200" w:firstLine="420"/>
        <w:rPr>
          <w:bCs/>
          <w:szCs w:val="21"/>
        </w:rPr>
      </w:pPr>
      <w:r>
        <w:rPr>
          <w:rFonts w:hint="eastAsia"/>
          <w:bCs/>
          <w:szCs w:val="21"/>
        </w:rPr>
        <w:t>7</w:t>
      </w:r>
      <w:r>
        <w:rPr>
          <w:rFonts w:hint="eastAsia"/>
          <w:bCs/>
          <w:szCs w:val="21"/>
        </w:rPr>
        <w:t>、当继续接受申购申请，可能会导致本基金总规模超过基金管理人规定的本基金总规模上限时；或使本基金单日净申购比例超过基金管理人规定的当日净申购比例上限。</w:t>
      </w:r>
    </w:p>
    <w:p w:rsidR="008711D3" w:rsidRDefault="004479D9">
      <w:pPr>
        <w:spacing w:line="360" w:lineRule="auto"/>
        <w:ind w:firstLineChars="200" w:firstLine="420"/>
        <w:rPr>
          <w:bCs/>
          <w:szCs w:val="21"/>
        </w:rPr>
      </w:pPr>
      <w:r>
        <w:rPr>
          <w:rFonts w:hint="eastAsia"/>
          <w:bCs/>
          <w:szCs w:val="21"/>
        </w:rPr>
        <w:t>8</w:t>
      </w:r>
      <w:r>
        <w:rPr>
          <w:rFonts w:hint="eastAsia"/>
          <w:bCs/>
          <w:szCs w:val="21"/>
        </w:rPr>
        <w:t>、基金管理人接受某笔或者某些申购申请有可能导致单一投资者持有基金份额的比例达到或者超过</w:t>
      </w:r>
      <w:r>
        <w:rPr>
          <w:rFonts w:hint="eastAsia"/>
          <w:bCs/>
          <w:szCs w:val="21"/>
        </w:rPr>
        <w:t>50%</w:t>
      </w:r>
      <w:r>
        <w:rPr>
          <w:rFonts w:hint="eastAsia"/>
          <w:bCs/>
          <w:szCs w:val="21"/>
        </w:rPr>
        <w:t>，或者变相规避</w:t>
      </w:r>
      <w:r>
        <w:rPr>
          <w:rFonts w:hint="eastAsia"/>
          <w:bCs/>
          <w:szCs w:val="21"/>
        </w:rPr>
        <w:t>50%</w:t>
      </w:r>
      <w:r>
        <w:rPr>
          <w:rFonts w:hint="eastAsia"/>
          <w:bCs/>
          <w:szCs w:val="21"/>
        </w:rPr>
        <w:t>集中度的情形。</w:t>
      </w:r>
    </w:p>
    <w:p w:rsidR="008711D3" w:rsidRDefault="004479D9">
      <w:pPr>
        <w:spacing w:line="360" w:lineRule="auto"/>
        <w:ind w:firstLineChars="200" w:firstLine="420"/>
        <w:rPr>
          <w:bCs/>
          <w:szCs w:val="21"/>
        </w:rPr>
      </w:pPr>
      <w:r>
        <w:rPr>
          <w:rFonts w:hint="eastAsia"/>
          <w:bCs/>
          <w:szCs w:val="21"/>
        </w:rPr>
        <w:t>9</w:t>
      </w:r>
      <w:r>
        <w:rPr>
          <w:rFonts w:hint="eastAsia"/>
          <w:bCs/>
          <w:szCs w:val="21"/>
        </w:rPr>
        <w:t>、接受某笔或某些申购申请可能会影响或损害现有基金份额持有人利益。</w:t>
      </w:r>
    </w:p>
    <w:p w:rsidR="008711D3" w:rsidRDefault="004479D9">
      <w:pPr>
        <w:spacing w:line="360" w:lineRule="auto"/>
        <w:ind w:firstLineChars="200" w:firstLine="420"/>
        <w:rPr>
          <w:bCs/>
          <w:szCs w:val="21"/>
        </w:rPr>
      </w:pPr>
      <w:r>
        <w:rPr>
          <w:rFonts w:hint="eastAsia"/>
          <w:bCs/>
          <w:szCs w:val="21"/>
        </w:rPr>
        <w:t>10</w:t>
      </w:r>
      <w:r>
        <w:rPr>
          <w:rFonts w:hint="eastAsia"/>
          <w:bCs/>
          <w:szCs w:val="21"/>
        </w:rPr>
        <w:t>、当接受某笔或某些申购申请，可能会导致该投资人累计持有的份额超过单个投资人累计持有的份额上限；或该投资人当日申购金额超过单个投资人单日或单笔申购金额上限。</w:t>
      </w:r>
    </w:p>
    <w:p w:rsidR="008711D3" w:rsidRDefault="004479D9">
      <w:pPr>
        <w:spacing w:line="360" w:lineRule="auto"/>
        <w:ind w:firstLineChars="200" w:firstLine="420"/>
        <w:rPr>
          <w:bCs/>
          <w:szCs w:val="21"/>
        </w:rPr>
      </w:pPr>
      <w:r>
        <w:rPr>
          <w:rFonts w:hint="eastAsia"/>
          <w:bCs/>
          <w:szCs w:val="21"/>
        </w:rPr>
        <w:t>11</w:t>
      </w:r>
      <w:r>
        <w:rPr>
          <w:rFonts w:hint="eastAsia"/>
          <w:bCs/>
          <w:szCs w:val="21"/>
        </w:rPr>
        <w:t>、基金参与港股通交易且港股通交易每日额度不足。</w:t>
      </w:r>
    </w:p>
    <w:p w:rsidR="008711D3" w:rsidRDefault="004479D9">
      <w:pPr>
        <w:spacing w:line="360" w:lineRule="auto"/>
        <w:ind w:firstLineChars="200" w:firstLine="420"/>
        <w:rPr>
          <w:bCs/>
          <w:szCs w:val="21"/>
        </w:rPr>
      </w:pPr>
      <w:r>
        <w:rPr>
          <w:rFonts w:hint="eastAsia"/>
          <w:bCs/>
          <w:szCs w:val="21"/>
        </w:rPr>
        <w:t>12</w:t>
      </w:r>
      <w:r>
        <w:rPr>
          <w:rFonts w:hint="eastAsia"/>
          <w:bCs/>
          <w:szCs w:val="21"/>
        </w:rPr>
        <w:t>、法律法规规定或中国证监会认定的其他情形。</w:t>
      </w:r>
    </w:p>
    <w:p w:rsidR="008711D3" w:rsidRDefault="004479D9">
      <w:pPr>
        <w:spacing w:line="360" w:lineRule="auto"/>
        <w:ind w:firstLineChars="200" w:firstLine="420"/>
        <w:rPr>
          <w:bCs/>
          <w:szCs w:val="21"/>
        </w:rPr>
      </w:pPr>
      <w:r>
        <w:rPr>
          <w:rFonts w:hint="eastAsia"/>
          <w:bCs/>
          <w:szCs w:val="21"/>
        </w:rPr>
        <w:t>发生上述第</w:t>
      </w:r>
      <w:r>
        <w:rPr>
          <w:rFonts w:hint="eastAsia"/>
          <w:bCs/>
          <w:szCs w:val="21"/>
        </w:rPr>
        <w:t>1</w:t>
      </w:r>
      <w:r>
        <w:rPr>
          <w:rFonts w:hint="eastAsia"/>
          <w:bCs/>
          <w:szCs w:val="21"/>
        </w:rPr>
        <w:t>项至第</w:t>
      </w:r>
      <w:r>
        <w:rPr>
          <w:rFonts w:hint="eastAsia"/>
          <w:bCs/>
          <w:szCs w:val="21"/>
        </w:rPr>
        <w:t>7</w:t>
      </w:r>
      <w:r>
        <w:rPr>
          <w:rFonts w:hint="eastAsia"/>
          <w:bCs/>
          <w:szCs w:val="21"/>
        </w:rPr>
        <w:t>项及第</w:t>
      </w:r>
      <w:r>
        <w:rPr>
          <w:rFonts w:hint="eastAsia"/>
          <w:bCs/>
          <w:szCs w:val="21"/>
        </w:rPr>
        <w:t>11</w:t>
      </w:r>
      <w:r>
        <w:rPr>
          <w:rFonts w:hint="eastAsia"/>
          <w:bCs/>
          <w:szCs w:val="21"/>
        </w:rPr>
        <w:t>、</w:t>
      </w:r>
      <w:r>
        <w:rPr>
          <w:rFonts w:hint="eastAsia"/>
          <w:bCs/>
          <w:szCs w:val="21"/>
        </w:rPr>
        <w:t>12</w:t>
      </w:r>
      <w:r>
        <w:rPr>
          <w:rFonts w:hint="eastAsia"/>
          <w:bCs/>
          <w:szCs w:val="21"/>
        </w:rPr>
        <w:t>项拒绝或暂停申购情形之一且基金管理人决定拒绝或暂停接受投资人申购申请时，基金管理人应当根据《信息披露办法》的规定在规定媒介上刊登暂停申购公告。如果投资人的申购申请被全部或部分拒绝的，被拒绝的申购款项（无利息）将退还给投资人。在暂停申购的情况消除时，基金管理人应及时恢复申购业务的办理。发生上述第</w:t>
      </w:r>
      <w:r>
        <w:rPr>
          <w:rFonts w:hint="eastAsia"/>
          <w:bCs/>
          <w:szCs w:val="21"/>
        </w:rPr>
        <w:t>8</w:t>
      </w:r>
      <w:r>
        <w:rPr>
          <w:rFonts w:hint="eastAsia"/>
          <w:bCs/>
          <w:szCs w:val="21"/>
        </w:rPr>
        <w:t>、</w:t>
      </w:r>
      <w:r>
        <w:rPr>
          <w:rFonts w:hint="eastAsia"/>
          <w:bCs/>
          <w:szCs w:val="21"/>
        </w:rPr>
        <w:t>9</w:t>
      </w:r>
      <w:r>
        <w:rPr>
          <w:rFonts w:hint="eastAsia"/>
          <w:bCs/>
          <w:szCs w:val="21"/>
        </w:rPr>
        <w:t>、</w:t>
      </w:r>
      <w:r>
        <w:rPr>
          <w:rFonts w:hint="eastAsia"/>
          <w:bCs/>
          <w:szCs w:val="21"/>
        </w:rPr>
        <w:t>10</w:t>
      </w:r>
      <w:r>
        <w:rPr>
          <w:rFonts w:hint="eastAsia"/>
          <w:bCs/>
          <w:szCs w:val="21"/>
        </w:rPr>
        <w:t>项拒绝或暂停申购情形之一的，基金管理人有权按照维护存量基金份</w:t>
      </w:r>
      <w:r>
        <w:rPr>
          <w:rFonts w:hint="eastAsia"/>
          <w:bCs/>
          <w:szCs w:val="21"/>
        </w:rPr>
        <w:lastRenderedPageBreak/>
        <w:t>额持有人利益的原则，决定拒绝或暂停接受投资人申购申请，或采取部分确认等方式对该投资人的申购申请进行限制。</w:t>
      </w:r>
    </w:p>
    <w:p w:rsidR="008711D3" w:rsidRDefault="004479D9">
      <w:pPr>
        <w:spacing w:line="360" w:lineRule="auto"/>
        <w:ind w:firstLineChars="200" w:firstLine="422"/>
        <w:rPr>
          <w:b/>
          <w:bCs/>
          <w:szCs w:val="21"/>
        </w:rPr>
      </w:pPr>
      <w:r>
        <w:rPr>
          <w:rFonts w:hint="eastAsia"/>
          <w:b/>
          <w:bCs/>
          <w:szCs w:val="21"/>
        </w:rPr>
        <w:t>（九）暂停赎回或延缓支付赎回款项的情形</w:t>
      </w:r>
    </w:p>
    <w:p w:rsidR="008711D3" w:rsidRDefault="004479D9">
      <w:pPr>
        <w:spacing w:line="360" w:lineRule="auto"/>
        <w:ind w:firstLineChars="200" w:firstLine="420"/>
        <w:rPr>
          <w:bCs/>
          <w:szCs w:val="21"/>
        </w:rPr>
      </w:pPr>
      <w:r>
        <w:rPr>
          <w:rFonts w:hint="eastAsia"/>
          <w:bCs/>
          <w:szCs w:val="21"/>
        </w:rPr>
        <w:t>发生下列情形之一时，基金管理人可暂停接受投资人的赎回申请或延缓支付赎回款项：</w:t>
      </w:r>
    </w:p>
    <w:p w:rsidR="008711D3" w:rsidRDefault="004479D9">
      <w:pPr>
        <w:spacing w:line="360" w:lineRule="auto"/>
        <w:ind w:firstLineChars="200" w:firstLine="420"/>
        <w:rPr>
          <w:bCs/>
          <w:szCs w:val="21"/>
        </w:rPr>
      </w:pPr>
      <w:r>
        <w:rPr>
          <w:rFonts w:hint="eastAsia"/>
          <w:bCs/>
          <w:szCs w:val="21"/>
        </w:rPr>
        <w:t>1</w:t>
      </w:r>
      <w:r>
        <w:rPr>
          <w:rFonts w:hint="eastAsia"/>
          <w:bCs/>
          <w:szCs w:val="21"/>
        </w:rPr>
        <w:t>、因不可抗力导致基金管理人不能支付赎回款项。</w:t>
      </w:r>
    </w:p>
    <w:p w:rsidR="008711D3" w:rsidRDefault="004479D9">
      <w:pPr>
        <w:spacing w:line="360" w:lineRule="auto"/>
        <w:ind w:firstLineChars="200" w:firstLine="420"/>
        <w:rPr>
          <w:bCs/>
          <w:szCs w:val="21"/>
        </w:rPr>
      </w:pPr>
      <w:r>
        <w:rPr>
          <w:rFonts w:hint="eastAsia"/>
          <w:bCs/>
          <w:szCs w:val="21"/>
        </w:rPr>
        <w:t>2</w:t>
      </w:r>
      <w:r>
        <w:rPr>
          <w:rFonts w:hint="eastAsia"/>
          <w:bCs/>
          <w:szCs w:val="21"/>
        </w:rPr>
        <w:t>、发生基金合同规定的暂停基金资产估值情况。</w:t>
      </w:r>
    </w:p>
    <w:p w:rsidR="008711D3" w:rsidRDefault="004479D9">
      <w:pPr>
        <w:spacing w:line="360" w:lineRule="auto"/>
        <w:ind w:firstLineChars="200" w:firstLine="420"/>
        <w:rPr>
          <w:bCs/>
          <w:szCs w:val="21"/>
        </w:rPr>
      </w:pPr>
      <w:r>
        <w:rPr>
          <w:rFonts w:hint="eastAsia"/>
          <w:bCs/>
          <w:szCs w:val="21"/>
        </w:rPr>
        <w:t>3</w:t>
      </w:r>
      <w:r>
        <w:rPr>
          <w:rFonts w:hint="eastAsia"/>
          <w:bCs/>
          <w:szCs w:val="21"/>
        </w:rPr>
        <w:t>、证券交易所、期货交易所或</w:t>
      </w:r>
      <w:r>
        <w:rPr>
          <w:bCs/>
          <w:szCs w:val="21"/>
        </w:rPr>
        <w:t>外汇市场</w:t>
      </w:r>
      <w:r>
        <w:rPr>
          <w:rFonts w:hint="eastAsia"/>
          <w:bCs/>
          <w:szCs w:val="21"/>
        </w:rPr>
        <w:t>交易时间非正常停市，导致基金管理人无法计算当日基金资产净值。</w:t>
      </w:r>
    </w:p>
    <w:p w:rsidR="008711D3" w:rsidRDefault="004479D9">
      <w:pPr>
        <w:spacing w:line="360" w:lineRule="auto"/>
        <w:ind w:firstLineChars="200" w:firstLine="420"/>
        <w:rPr>
          <w:bCs/>
          <w:szCs w:val="21"/>
        </w:rPr>
      </w:pPr>
      <w:r>
        <w:rPr>
          <w:rFonts w:hint="eastAsia"/>
          <w:bCs/>
          <w:szCs w:val="21"/>
        </w:rPr>
        <w:t>4</w:t>
      </w:r>
      <w:r>
        <w:rPr>
          <w:rFonts w:hint="eastAsia"/>
          <w:bCs/>
          <w:szCs w:val="21"/>
        </w:rPr>
        <w:t>、连续两个或两个以上开放日发生巨额赎回。</w:t>
      </w:r>
    </w:p>
    <w:p w:rsidR="008711D3" w:rsidRDefault="004479D9">
      <w:pPr>
        <w:spacing w:line="360" w:lineRule="auto"/>
        <w:ind w:firstLineChars="200" w:firstLine="420"/>
        <w:rPr>
          <w:bCs/>
          <w:szCs w:val="21"/>
        </w:rPr>
      </w:pPr>
      <w:r>
        <w:rPr>
          <w:rFonts w:hint="eastAsia"/>
          <w:bCs/>
          <w:szCs w:val="21"/>
        </w:rPr>
        <w:t>5</w:t>
      </w:r>
      <w:r>
        <w:rPr>
          <w:rFonts w:hint="eastAsia"/>
          <w:bCs/>
          <w:szCs w:val="21"/>
        </w:rPr>
        <w:t>、发生继续接受赎回申请将损害现有基金份额持有人利益的情形。</w:t>
      </w:r>
    </w:p>
    <w:p w:rsidR="008711D3" w:rsidRDefault="004479D9">
      <w:pPr>
        <w:spacing w:line="360" w:lineRule="auto"/>
        <w:ind w:firstLineChars="200" w:firstLine="420"/>
        <w:rPr>
          <w:bCs/>
          <w:szCs w:val="21"/>
        </w:rPr>
      </w:pPr>
      <w:r>
        <w:rPr>
          <w:rFonts w:hint="eastAsia"/>
          <w:bCs/>
          <w:szCs w:val="21"/>
        </w:rPr>
        <w:t>6</w:t>
      </w:r>
      <w:r>
        <w:rPr>
          <w:rFonts w:hint="eastAsia"/>
          <w:bCs/>
          <w:szCs w:val="21"/>
        </w:rPr>
        <w:t>、占前一估值日基金资产净值</w:t>
      </w:r>
      <w:r>
        <w:rPr>
          <w:rFonts w:hint="eastAsia"/>
          <w:bCs/>
          <w:szCs w:val="21"/>
        </w:rPr>
        <w:t>50%</w:t>
      </w:r>
      <w:r>
        <w:rPr>
          <w:rFonts w:hint="eastAsia"/>
          <w:bCs/>
          <w:szCs w:val="21"/>
        </w:rPr>
        <w:t>以上的资产出现无可参考的活跃市场价格且采用估值技术仍导致公允价值存在重大不确定性时，经与基金托管人协商确认后，基金管理人应当延缓支付赎回款项或暂停接受基金赎回申请。</w:t>
      </w:r>
    </w:p>
    <w:p w:rsidR="008711D3" w:rsidRDefault="004479D9">
      <w:pPr>
        <w:spacing w:line="360" w:lineRule="auto"/>
        <w:ind w:firstLineChars="200" w:firstLine="420"/>
        <w:rPr>
          <w:bCs/>
          <w:szCs w:val="21"/>
        </w:rPr>
      </w:pPr>
      <w:r>
        <w:rPr>
          <w:rFonts w:hint="eastAsia"/>
          <w:bCs/>
          <w:szCs w:val="21"/>
        </w:rPr>
        <w:t>7</w:t>
      </w:r>
      <w:r>
        <w:rPr>
          <w:rFonts w:hint="eastAsia"/>
          <w:bCs/>
          <w:szCs w:val="21"/>
        </w:rPr>
        <w:t>、法律法规规定或中国证监会认定的其他情形。</w:t>
      </w:r>
    </w:p>
    <w:p w:rsidR="008711D3" w:rsidRDefault="004479D9">
      <w:pPr>
        <w:spacing w:line="360" w:lineRule="auto"/>
        <w:ind w:firstLineChars="200" w:firstLine="420"/>
        <w:rPr>
          <w:bCs/>
          <w:szCs w:val="21"/>
        </w:rPr>
      </w:pPr>
      <w:r>
        <w:rPr>
          <w:rFonts w:hint="eastAsia"/>
          <w:bCs/>
          <w:szCs w:val="21"/>
        </w:rPr>
        <w:t>发生上述情形（第</w:t>
      </w:r>
      <w:r>
        <w:rPr>
          <w:rFonts w:hint="eastAsia"/>
          <w:bCs/>
          <w:szCs w:val="21"/>
        </w:rPr>
        <w:t>4</w:t>
      </w:r>
      <w:r>
        <w:rPr>
          <w:rFonts w:hint="eastAsia"/>
          <w:bCs/>
          <w:szCs w:val="21"/>
        </w:rPr>
        <w:t>项除外）之一且基金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Cs w:val="21"/>
        </w:rPr>
        <w:t>4</w:t>
      </w:r>
      <w:r>
        <w:rPr>
          <w:rFonts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8711D3" w:rsidRDefault="004479D9">
      <w:pPr>
        <w:spacing w:line="360" w:lineRule="auto"/>
        <w:ind w:firstLineChars="200" w:firstLine="422"/>
        <w:rPr>
          <w:b/>
          <w:bCs/>
          <w:szCs w:val="21"/>
        </w:rPr>
      </w:pPr>
      <w:r>
        <w:rPr>
          <w:rFonts w:hint="eastAsia"/>
          <w:b/>
          <w:bCs/>
          <w:szCs w:val="21"/>
        </w:rPr>
        <w:t>（十）巨额赎回的情形及处理方式</w:t>
      </w:r>
    </w:p>
    <w:p w:rsidR="008711D3" w:rsidRDefault="004479D9">
      <w:pPr>
        <w:spacing w:line="360" w:lineRule="auto"/>
        <w:ind w:firstLineChars="200" w:firstLine="420"/>
        <w:rPr>
          <w:bCs/>
          <w:szCs w:val="21"/>
        </w:rPr>
      </w:pPr>
      <w:r>
        <w:rPr>
          <w:rFonts w:hint="eastAsia"/>
          <w:bCs/>
          <w:szCs w:val="21"/>
        </w:rPr>
        <w:t>1</w:t>
      </w:r>
      <w:r>
        <w:rPr>
          <w:rFonts w:hint="eastAsia"/>
          <w:bCs/>
          <w:szCs w:val="21"/>
        </w:rPr>
        <w:t>、巨额赎回的认定</w:t>
      </w:r>
    </w:p>
    <w:p w:rsidR="008711D3" w:rsidRDefault="004479D9">
      <w:pPr>
        <w:spacing w:line="360" w:lineRule="auto"/>
        <w:ind w:firstLineChars="200" w:firstLine="420"/>
        <w:rPr>
          <w:bCs/>
          <w:szCs w:val="21"/>
        </w:rPr>
      </w:pPr>
      <w:r>
        <w:rPr>
          <w:rFonts w:hint="eastAsia"/>
          <w:bCs/>
          <w:szCs w:val="21"/>
        </w:rPr>
        <w:t>若本基金单个开放日内的基金份额净赎回申请</w:t>
      </w:r>
      <w:r>
        <w:rPr>
          <w:rFonts w:hint="eastAsia"/>
          <w:bCs/>
          <w:szCs w:val="21"/>
        </w:rPr>
        <w:t>(</w:t>
      </w:r>
      <w:r>
        <w:rPr>
          <w:rFonts w:hint="eastAsia"/>
          <w:bCs/>
          <w:szCs w:val="21"/>
        </w:rPr>
        <w:t>赎回申请份额总数加上基金转换中转出申请份额总数后扣除申购申请份额总数及基金转换中转入申请份额总数后的余额</w:t>
      </w:r>
      <w:r>
        <w:rPr>
          <w:rFonts w:hint="eastAsia"/>
          <w:bCs/>
          <w:szCs w:val="21"/>
        </w:rPr>
        <w:t>)</w:t>
      </w:r>
      <w:r>
        <w:rPr>
          <w:rFonts w:hint="eastAsia"/>
          <w:bCs/>
          <w:szCs w:val="21"/>
        </w:rPr>
        <w:t>超过前一工作日的基金总份额的</w:t>
      </w:r>
      <w:r>
        <w:rPr>
          <w:rFonts w:hint="eastAsia"/>
          <w:bCs/>
          <w:szCs w:val="21"/>
        </w:rPr>
        <w:t>10%</w:t>
      </w:r>
      <w:r>
        <w:rPr>
          <w:rFonts w:hint="eastAsia"/>
          <w:bCs/>
          <w:szCs w:val="21"/>
        </w:rPr>
        <w:t>，即认为是发生了巨额赎回。</w:t>
      </w:r>
    </w:p>
    <w:p w:rsidR="008711D3" w:rsidRDefault="004479D9">
      <w:pPr>
        <w:spacing w:line="360" w:lineRule="auto"/>
        <w:ind w:firstLineChars="200" w:firstLine="420"/>
        <w:rPr>
          <w:bCs/>
          <w:szCs w:val="21"/>
        </w:rPr>
      </w:pPr>
      <w:r>
        <w:rPr>
          <w:rFonts w:hint="eastAsia"/>
          <w:bCs/>
          <w:szCs w:val="21"/>
        </w:rPr>
        <w:t>2</w:t>
      </w:r>
      <w:r>
        <w:rPr>
          <w:rFonts w:hint="eastAsia"/>
          <w:bCs/>
          <w:szCs w:val="21"/>
        </w:rPr>
        <w:t>、巨额赎回的处理方式</w:t>
      </w:r>
    </w:p>
    <w:p w:rsidR="008711D3" w:rsidRDefault="004479D9">
      <w:pPr>
        <w:spacing w:line="360" w:lineRule="auto"/>
        <w:ind w:firstLineChars="200" w:firstLine="420"/>
        <w:rPr>
          <w:bCs/>
          <w:szCs w:val="21"/>
        </w:rPr>
      </w:pPr>
      <w:r>
        <w:rPr>
          <w:rFonts w:hint="eastAsia"/>
          <w:bCs/>
          <w:szCs w:val="21"/>
        </w:rPr>
        <w:t>当基金出现巨额赎回时，基金管理人可以根据基金当时的资产组合状况决定全额赎回或部分延期赎回。</w:t>
      </w:r>
    </w:p>
    <w:p w:rsidR="008711D3" w:rsidRDefault="004479D9">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）全额赎回：当基金管理人认为有能力支付投资人的全部赎回申请时，按正常赎回程序执行。</w:t>
      </w:r>
    </w:p>
    <w:p w:rsidR="008711D3" w:rsidRDefault="004479D9">
      <w:pPr>
        <w:spacing w:line="360" w:lineRule="auto"/>
        <w:ind w:firstLineChars="200" w:firstLine="420"/>
        <w:rPr>
          <w:bCs/>
          <w:szCs w:val="21"/>
        </w:rPr>
      </w:pPr>
      <w:r>
        <w:rPr>
          <w:rFonts w:hint="eastAsia"/>
          <w:bCs/>
          <w:szCs w:val="21"/>
        </w:rPr>
        <w:lastRenderedPageBreak/>
        <w:t>（</w:t>
      </w:r>
      <w:r>
        <w:rPr>
          <w:rFonts w:hint="eastAsia"/>
          <w:bCs/>
          <w:szCs w:val="21"/>
        </w:rPr>
        <w:t>2</w:t>
      </w:r>
      <w:r>
        <w:rPr>
          <w:rFonts w:hint="eastAsia"/>
          <w:bCs/>
          <w:szCs w:val="21"/>
        </w:rPr>
        <w:t>）部分延期赎回：当基金管理人认为支付投资人的全部赎回申请有困难或认为因支付投资人的赎回申请而进行的财产变现可能会对基金资产净值造成较大波动时，基金管理人在当日接受赎回比例不低于上一工作日基金总份额的</w:t>
      </w:r>
      <w:r>
        <w:rPr>
          <w:rFonts w:hint="eastAsia"/>
          <w:bCs/>
          <w:szCs w:val="21"/>
        </w:rPr>
        <w:t>10%</w:t>
      </w:r>
      <w:r>
        <w:rPr>
          <w:rFonts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8711D3" w:rsidRDefault="004479D9">
      <w:pPr>
        <w:spacing w:line="360" w:lineRule="auto"/>
        <w:ind w:firstLineChars="200" w:firstLine="420"/>
        <w:rPr>
          <w:bCs/>
          <w:szCs w:val="21"/>
        </w:rPr>
      </w:pPr>
      <w:r>
        <w:rPr>
          <w:rFonts w:hint="eastAsia"/>
          <w:bCs/>
          <w:szCs w:val="21"/>
        </w:rPr>
        <w:t>若基金发生巨额赎回且基金管理人决定部分延期赎回并在当日接受赎回比例不低于上一工作日基金总份额</w:t>
      </w:r>
      <w:r>
        <w:rPr>
          <w:rFonts w:hint="eastAsia"/>
          <w:bCs/>
          <w:szCs w:val="21"/>
        </w:rPr>
        <w:t>10%</w:t>
      </w:r>
      <w:r>
        <w:rPr>
          <w:rFonts w:hint="eastAsia"/>
          <w:bCs/>
          <w:szCs w:val="21"/>
        </w:rPr>
        <w:t>的前提下，如出现单个基金份额持有人超过前一工作日基金总份额</w:t>
      </w:r>
      <w:r>
        <w:rPr>
          <w:rFonts w:hint="eastAsia"/>
          <w:bCs/>
          <w:szCs w:val="21"/>
        </w:rPr>
        <w:t>20%</w:t>
      </w:r>
      <w:r>
        <w:rPr>
          <w:rFonts w:hint="eastAsia"/>
          <w:bCs/>
          <w:szCs w:val="21"/>
        </w:rPr>
        <w:t>的赎回申请（“大额赎回申请人”）的，基金管理人有权按照优先确认其他赎回申请人（“小额赎回申请人”）赎回申请的原则，对当日的赎回申请按照以下原则办理：如小额赎回申请人的赎回申请能在当日被全部确认，则在仍可接受赎回申请的范围内对大额赎回申请人的赎回申请按比例（单个大额赎回申请人的赎回申请量</w:t>
      </w:r>
      <w:r>
        <w:rPr>
          <w:rFonts w:hint="eastAsia"/>
          <w:bCs/>
          <w:szCs w:val="21"/>
        </w:rPr>
        <w:t>/</w:t>
      </w:r>
      <w:r>
        <w:rPr>
          <w:rFonts w:hint="eastAsia"/>
          <w:bCs/>
          <w:szCs w:val="21"/>
        </w:rPr>
        <w:t>当日大额赎回申请总量）确认，对大额赎回申请人未予确认的赎回申请延期办理；如小额赎回申请人的赎回申请在当日不能被全部确认，则按照单个小额赎回申请人的赎回申请量占当日小额赎回申请总量的比例，确认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按照《信息披露办法》的规定在规定媒介上刊登公告。</w:t>
      </w:r>
    </w:p>
    <w:p w:rsidR="008711D3" w:rsidRDefault="004479D9">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）暂停赎回：连续</w:t>
      </w:r>
      <w:r>
        <w:rPr>
          <w:rFonts w:hint="eastAsia"/>
          <w:bCs/>
          <w:szCs w:val="21"/>
        </w:rPr>
        <w:t>2</w:t>
      </w:r>
      <w:r>
        <w:rPr>
          <w:rFonts w:hint="eastAsia"/>
          <w:bCs/>
          <w:szCs w:val="21"/>
        </w:rPr>
        <w:t>个开放日以上</w:t>
      </w:r>
      <w:r>
        <w:rPr>
          <w:rFonts w:hint="eastAsia"/>
          <w:bCs/>
          <w:szCs w:val="21"/>
        </w:rPr>
        <w:t>(</w:t>
      </w:r>
      <w:r>
        <w:rPr>
          <w:rFonts w:hint="eastAsia"/>
          <w:bCs/>
          <w:szCs w:val="21"/>
        </w:rPr>
        <w:t>含本数</w:t>
      </w:r>
      <w:r>
        <w:rPr>
          <w:rFonts w:hint="eastAsia"/>
          <w:bCs/>
          <w:szCs w:val="21"/>
        </w:rPr>
        <w:t>)</w:t>
      </w:r>
      <w:r>
        <w:rPr>
          <w:rFonts w:hint="eastAsia"/>
          <w:bCs/>
          <w:szCs w:val="21"/>
        </w:rPr>
        <w:t>发生巨额赎回，如基金管理人认为有必要，可暂停接受基金的赎回申请；已经接受的赎回申请可以延缓支付赎回款项，但不得超过</w:t>
      </w:r>
      <w:r>
        <w:rPr>
          <w:rFonts w:hint="eastAsia"/>
          <w:bCs/>
          <w:szCs w:val="21"/>
        </w:rPr>
        <w:t>20</w:t>
      </w:r>
      <w:r>
        <w:rPr>
          <w:rFonts w:hint="eastAsia"/>
          <w:bCs/>
          <w:szCs w:val="21"/>
        </w:rPr>
        <w:t>个工作日，并应当按照《信息披露办法》的规定在规定媒介上进行公告。</w:t>
      </w:r>
    </w:p>
    <w:p w:rsidR="008711D3" w:rsidRDefault="004479D9">
      <w:pPr>
        <w:spacing w:line="360" w:lineRule="auto"/>
        <w:ind w:firstLineChars="200" w:firstLine="420"/>
        <w:rPr>
          <w:bCs/>
          <w:szCs w:val="21"/>
        </w:rPr>
      </w:pPr>
      <w:r>
        <w:rPr>
          <w:rFonts w:hint="eastAsia"/>
          <w:bCs/>
          <w:szCs w:val="21"/>
        </w:rPr>
        <w:t>3</w:t>
      </w:r>
      <w:r>
        <w:rPr>
          <w:rFonts w:hint="eastAsia"/>
          <w:bCs/>
          <w:szCs w:val="21"/>
        </w:rPr>
        <w:t>、巨额赎回的公告</w:t>
      </w:r>
    </w:p>
    <w:p w:rsidR="008711D3" w:rsidRDefault="004479D9">
      <w:pPr>
        <w:spacing w:line="360" w:lineRule="auto"/>
        <w:ind w:firstLineChars="200" w:firstLine="420"/>
        <w:rPr>
          <w:bCs/>
          <w:szCs w:val="21"/>
        </w:rPr>
      </w:pPr>
      <w:r>
        <w:rPr>
          <w:rFonts w:hint="eastAsia"/>
          <w:bCs/>
          <w:szCs w:val="21"/>
        </w:rPr>
        <w:t>当发生上述巨额赎回并延期办理时，基金管理人应当通过邮寄、传真、公告或者招募说明书规定的其他方式在</w:t>
      </w:r>
      <w:r>
        <w:rPr>
          <w:rFonts w:hint="eastAsia"/>
          <w:bCs/>
          <w:szCs w:val="21"/>
        </w:rPr>
        <w:t>3</w:t>
      </w:r>
      <w:r>
        <w:rPr>
          <w:rFonts w:hint="eastAsia"/>
          <w:bCs/>
          <w:szCs w:val="21"/>
        </w:rPr>
        <w:t>个交易日内通知基金份额持有人，说明有关处理方法，并依照《信息披露办法》的有关规定在规定媒介上刊登公告。</w:t>
      </w:r>
    </w:p>
    <w:p w:rsidR="008711D3" w:rsidRDefault="004479D9">
      <w:pPr>
        <w:spacing w:line="360" w:lineRule="auto"/>
        <w:ind w:firstLineChars="200" w:firstLine="422"/>
        <w:rPr>
          <w:b/>
          <w:bCs/>
          <w:szCs w:val="21"/>
        </w:rPr>
      </w:pPr>
      <w:r>
        <w:rPr>
          <w:rFonts w:hint="eastAsia"/>
          <w:b/>
          <w:bCs/>
          <w:szCs w:val="21"/>
        </w:rPr>
        <w:t>（十一）暂停申购或赎回的公告和重新开放申购或赎回的公告</w:t>
      </w:r>
    </w:p>
    <w:p w:rsidR="008711D3" w:rsidRDefault="004479D9">
      <w:pPr>
        <w:spacing w:line="360" w:lineRule="auto"/>
        <w:ind w:firstLineChars="200" w:firstLine="420"/>
        <w:rPr>
          <w:bCs/>
          <w:szCs w:val="21"/>
        </w:rPr>
      </w:pPr>
      <w:r>
        <w:rPr>
          <w:rFonts w:hint="eastAsia"/>
          <w:bCs/>
          <w:szCs w:val="21"/>
        </w:rPr>
        <w:lastRenderedPageBreak/>
        <w:t>1</w:t>
      </w:r>
      <w:r>
        <w:rPr>
          <w:rFonts w:hint="eastAsia"/>
          <w:bCs/>
          <w:szCs w:val="21"/>
        </w:rPr>
        <w:t>、发生上述暂停申购或赎回情况的，基金管理人应在规定期限内在规定媒介上刊登暂停公告。</w:t>
      </w:r>
    </w:p>
    <w:p w:rsidR="008711D3" w:rsidRDefault="004479D9">
      <w:pPr>
        <w:spacing w:line="360" w:lineRule="auto"/>
        <w:ind w:firstLineChars="200" w:firstLine="420"/>
        <w:rPr>
          <w:bCs/>
          <w:szCs w:val="21"/>
        </w:rPr>
      </w:pPr>
      <w:r>
        <w:rPr>
          <w:rFonts w:hint="eastAsia"/>
          <w:bCs/>
          <w:szCs w:val="21"/>
        </w:rPr>
        <w:t>2</w:t>
      </w:r>
      <w:r>
        <w:rPr>
          <w:rFonts w:hint="eastAsia"/>
          <w:bCs/>
          <w:szCs w:val="21"/>
        </w:rPr>
        <w:t>、如发生暂停的时间为</w:t>
      </w:r>
      <w:r>
        <w:rPr>
          <w:rFonts w:hint="eastAsia"/>
          <w:bCs/>
          <w:szCs w:val="21"/>
        </w:rPr>
        <w:t>1</w:t>
      </w:r>
      <w:r>
        <w:rPr>
          <w:rFonts w:hint="eastAsia"/>
          <w:bCs/>
          <w:szCs w:val="21"/>
        </w:rPr>
        <w:t>日，基金管理人应于重新开放日，按照《信息披露办法》的规定在规定媒介上刊登基金重新开放申购或赎回公告，并公布最近</w:t>
      </w:r>
      <w:r>
        <w:rPr>
          <w:rFonts w:hint="eastAsia"/>
          <w:bCs/>
          <w:szCs w:val="21"/>
        </w:rPr>
        <w:t>1</w:t>
      </w:r>
      <w:r>
        <w:rPr>
          <w:rFonts w:hint="eastAsia"/>
          <w:bCs/>
          <w:szCs w:val="21"/>
        </w:rPr>
        <w:t>个开放日的基金份额净值。</w:t>
      </w:r>
    </w:p>
    <w:p w:rsidR="008711D3" w:rsidRDefault="004479D9">
      <w:pPr>
        <w:spacing w:line="360" w:lineRule="auto"/>
        <w:ind w:firstLineChars="200" w:firstLine="420"/>
        <w:rPr>
          <w:bCs/>
          <w:szCs w:val="21"/>
        </w:rPr>
      </w:pPr>
      <w:r>
        <w:rPr>
          <w:rFonts w:hint="eastAsia"/>
          <w:bCs/>
          <w:szCs w:val="21"/>
        </w:rPr>
        <w:t>3</w:t>
      </w:r>
      <w:r>
        <w:rPr>
          <w:rFonts w:hint="eastAsia"/>
          <w:bCs/>
          <w:szCs w:val="21"/>
        </w:rPr>
        <w:t>、若暂停时间超过</w:t>
      </w:r>
      <w:r>
        <w:rPr>
          <w:rFonts w:hint="eastAsia"/>
          <w:bCs/>
          <w:szCs w:val="21"/>
        </w:rPr>
        <w:t>1</w:t>
      </w:r>
      <w:r>
        <w:rPr>
          <w:rFonts w:hint="eastAsia"/>
          <w:bCs/>
          <w:szCs w:val="21"/>
        </w:rPr>
        <w:t>日，基金管理人可以根据《信息披露办法》的规定自行确定增加公告的次数，但基金管理人须依照《信息披露办法》，最迟于重新开放日在规定媒介上刊登重新开放申购或赎回的公告，或根据实际情况在暂停公告中明确重新开放申购或赎回的时间，届时可不再另行发布重新开放的公告。</w:t>
      </w:r>
    </w:p>
    <w:p w:rsidR="008711D3" w:rsidRDefault="004479D9">
      <w:pPr>
        <w:spacing w:line="360" w:lineRule="auto"/>
        <w:ind w:firstLineChars="200" w:firstLine="422"/>
        <w:rPr>
          <w:b/>
          <w:bCs/>
          <w:szCs w:val="21"/>
        </w:rPr>
      </w:pPr>
      <w:r>
        <w:rPr>
          <w:rFonts w:hint="eastAsia"/>
          <w:b/>
          <w:bCs/>
          <w:szCs w:val="21"/>
        </w:rPr>
        <w:t>（十二）基金转换</w:t>
      </w:r>
    </w:p>
    <w:p w:rsidR="008711D3" w:rsidRDefault="004479D9">
      <w:pPr>
        <w:spacing w:line="360" w:lineRule="auto"/>
        <w:ind w:firstLineChars="200" w:firstLine="420"/>
        <w:rPr>
          <w:bCs/>
          <w:szCs w:val="21"/>
        </w:rPr>
      </w:pPr>
      <w:r>
        <w:rPr>
          <w:rFonts w:hint="eastAsia"/>
          <w:bCs/>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8711D3" w:rsidRDefault="004479D9">
      <w:pPr>
        <w:spacing w:line="360" w:lineRule="auto"/>
        <w:ind w:firstLineChars="200" w:firstLine="422"/>
        <w:rPr>
          <w:b/>
          <w:bCs/>
          <w:szCs w:val="21"/>
        </w:rPr>
      </w:pPr>
      <w:r>
        <w:rPr>
          <w:rFonts w:hint="eastAsia"/>
          <w:b/>
          <w:bCs/>
          <w:szCs w:val="21"/>
        </w:rPr>
        <w:t>（十三）基金的非交易过户</w:t>
      </w:r>
    </w:p>
    <w:p w:rsidR="008711D3" w:rsidRDefault="004479D9">
      <w:pPr>
        <w:spacing w:line="360" w:lineRule="auto"/>
        <w:ind w:firstLineChars="200" w:firstLine="420"/>
        <w:rPr>
          <w:bCs/>
          <w:szCs w:val="21"/>
        </w:rPr>
      </w:pPr>
      <w:r>
        <w:rPr>
          <w:rFonts w:hint="eastAsia"/>
          <w:bCs/>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8711D3" w:rsidRDefault="004479D9">
      <w:pPr>
        <w:spacing w:line="360" w:lineRule="auto"/>
        <w:ind w:firstLineChars="200" w:firstLine="420"/>
        <w:rPr>
          <w:bCs/>
          <w:szCs w:val="21"/>
        </w:rPr>
      </w:pPr>
      <w:r>
        <w:rPr>
          <w:rFonts w:hint="eastAsia"/>
          <w:bCs/>
          <w:szCs w:val="21"/>
        </w:rPr>
        <w:t>继承是指基金份额持有人死亡，其持有的基金份额由其合法的继承人继承；捐赠指基金份额持有人将其合法持有的基金份额捐赠给公益性质的基金会或社会团体；司法强制执行是指司法机构依据生效司法文书和协助执行通知书要求登记机构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8711D3" w:rsidRDefault="004479D9">
      <w:pPr>
        <w:spacing w:line="360" w:lineRule="auto"/>
        <w:ind w:firstLineChars="200" w:firstLine="422"/>
        <w:rPr>
          <w:b/>
          <w:bCs/>
          <w:szCs w:val="21"/>
        </w:rPr>
      </w:pPr>
      <w:r>
        <w:rPr>
          <w:rFonts w:hint="eastAsia"/>
          <w:b/>
          <w:bCs/>
          <w:szCs w:val="21"/>
        </w:rPr>
        <w:t>（十四）基金的转托管</w:t>
      </w:r>
    </w:p>
    <w:p w:rsidR="008711D3" w:rsidRDefault="004479D9">
      <w:pPr>
        <w:spacing w:line="360" w:lineRule="auto"/>
        <w:ind w:firstLineChars="200" w:firstLine="420"/>
        <w:rPr>
          <w:bCs/>
          <w:szCs w:val="21"/>
        </w:rPr>
      </w:pPr>
      <w:r>
        <w:rPr>
          <w:rFonts w:hint="eastAsia"/>
          <w:bCs/>
          <w:szCs w:val="21"/>
        </w:rPr>
        <w:t>基金份额持有人可向其销售机构申请办理已持有基金份额在不同销售机构之间的转托管，基金销售机构可以按照规定的标准收取转托管费。尽管有前述约定，基金销售机构仍有权决定是否办理基金份额的转托管业务。</w:t>
      </w:r>
    </w:p>
    <w:p w:rsidR="008711D3" w:rsidRDefault="004479D9">
      <w:pPr>
        <w:spacing w:line="360" w:lineRule="auto"/>
        <w:ind w:firstLineChars="200" w:firstLine="422"/>
        <w:rPr>
          <w:b/>
          <w:bCs/>
          <w:szCs w:val="21"/>
        </w:rPr>
      </w:pPr>
      <w:r>
        <w:rPr>
          <w:rFonts w:hint="eastAsia"/>
          <w:b/>
          <w:bCs/>
          <w:szCs w:val="21"/>
        </w:rPr>
        <w:t>（十五）定期定额投资计划</w:t>
      </w:r>
    </w:p>
    <w:p w:rsidR="008711D3" w:rsidRDefault="004479D9">
      <w:pPr>
        <w:spacing w:line="360" w:lineRule="auto"/>
        <w:ind w:firstLineChars="200" w:firstLine="420"/>
        <w:rPr>
          <w:bCs/>
          <w:szCs w:val="21"/>
        </w:rPr>
      </w:pPr>
      <w:r>
        <w:rPr>
          <w:rFonts w:hint="eastAsia"/>
          <w:bCs/>
          <w:szCs w:val="21"/>
        </w:rPr>
        <w:t>基金管理人可以为投资人办理定期定额投资计划，具体规则由基金管理人另行规定。投资人在办理定期定额投资计划时可自行约定每期扣款金额，每期扣款金额必须不低于基金管</w:t>
      </w:r>
      <w:r>
        <w:rPr>
          <w:rFonts w:hint="eastAsia"/>
          <w:bCs/>
          <w:szCs w:val="21"/>
        </w:rPr>
        <w:lastRenderedPageBreak/>
        <w:t>理人在相关公告或更新的招募说明书中所规定的定期定额投资计划最低申购金额。</w:t>
      </w:r>
    </w:p>
    <w:p w:rsidR="008711D3" w:rsidRDefault="004479D9">
      <w:pPr>
        <w:spacing w:line="360" w:lineRule="auto"/>
        <w:ind w:firstLineChars="200" w:firstLine="422"/>
        <w:rPr>
          <w:b/>
          <w:bCs/>
          <w:szCs w:val="21"/>
        </w:rPr>
      </w:pPr>
      <w:r>
        <w:rPr>
          <w:rFonts w:hint="eastAsia"/>
          <w:b/>
          <w:bCs/>
          <w:szCs w:val="21"/>
        </w:rPr>
        <w:t>（十六）基金份额的冻结和解冻</w:t>
      </w:r>
    </w:p>
    <w:p w:rsidR="008711D3" w:rsidRDefault="004479D9">
      <w:pPr>
        <w:spacing w:line="360" w:lineRule="auto"/>
        <w:ind w:firstLineChars="200" w:firstLine="420"/>
        <w:rPr>
          <w:bCs/>
          <w:szCs w:val="21"/>
        </w:rPr>
      </w:pPr>
      <w:r>
        <w:rPr>
          <w:rFonts w:hint="eastAsia"/>
          <w:bCs/>
          <w:szCs w:val="21"/>
        </w:rPr>
        <w:t>基金登记机构只受理国家有权机关依法要求的基金份额的冻结与解冻，以及登记机构认可、符合法律法规的其他情况下的冻结与解冻。</w:t>
      </w:r>
    </w:p>
    <w:p w:rsidR="008711D3" w:rsidRDefault="004479D9">
      <w:pPr>
        <w:spacing w:line="360" w:lineRule="auto"/>
        <w:ind w:firstLineChars="200" w:firstLine="420"/>
        <w:rPr>
          <w:bCs/>
          <w:szCs w:val="21"/>
          <w:shd w:val="pct10" w:color="auto" w:fill="FFFFFF"/>
        </w:rPr>
      </w:pPr>
      <w:r>
        <w:rPr>
          <w:rFonts w:hint="eastAsia"/>
          <w:bCs/>
          <w:szCs w:val="21"/>
        </w:rPr>
        <w:t>基金份额被冻结的，被冻结部分产生的权益一并冻结，被冻结部分份额仍然参与收益分配。法律法规或监管机构另有规定的除外。</w:t>
      </w:r>
    </w:p>
    <w:p w:rsidR="008711D3" w:rsidRDefault="004479D9">
      <w:pPr>
        <w:spacing w:line="360" w:lineRule="auto"/>
        <w:ind w:firstLineChars="200" w:firstLine="422"/>
        <w:rPr>
          <w:b/>
          <w:bCs/>
          <w:szCs w:val="21"/>
        </w:rPr>
      </w:pPr>
      <w:r>
        <w:rPr>
          <w:rFonts w:hint="eastAsia"/>
          <w:b/>
          <w:bCs/>
          <w:szCs w:val="21"/>
        </w:rPr>
        <w:t>（十七）实施侧袋机制期间本基金的申购与赎回</w:t>
      </w:r>
    </w:p>
    <w:p w:rsidR="008711D3" w:rsidRDefault="004479D9">
      <w:pPr>
        <w:spacing w:line="360" w:lineRule="auto"/>
        <w:ind w:firstLineChars="200" w:firstLine="420"/>
        <w:rPr>
          <w:bCs/>
          <w:szCs w:val="21"/>
        </w:rPr>
      </w:pPr>
      <w:r>
        <w:rPr>
          <w:rFonts w:hint="eastAsia"/>
          <w:bCs/>
          <w:szCs w:val="21"/>
        </w:rPr>
        <w:t>本基金实施侧袋机制的，本基金的申购和赎回安排详见招募说明书“侧袋机制”部分的规定或相关公告。</w:t>
      </w:r>
    </w:p>
    <w:p w:rsidR="008711D3" w:rsidRDefault="004479D9">
      <w:pPr>
        <w:spacing w:line="360" w:lineRule="auto"/>
        <w:ind w:firstLineChars="200" w:firstLine="422"/>
        <w:rPr>
          <w:bCs/>
          <w:szCs w:val="21"/>
        </w:rPr>
      </w:pPr>
      <w:r>
        <w:rPr>
          <w:rFonts w:hint="eastAsia"/>
          <w:b/>
          <w:bCs/>
          <w:szCs w:val="21"/>
        </w:rPr>
        <w:t>（十八）基金管理人在不违反法律法规、且对基金份额持有人的利益无实质不利影响的前提下，可对上述申购和赎回安排进行调整，或者安排本基金的一类或多类基金份额在证券交易所上市、申购和赎回，无需召开持有人大会进行审议。</w:t>
      </w:r>
    </w:p>
    <w:p w:rsidR="008711D3" w:rsidRDefault="004479D9">
      <w:pPr>
        <w:pStyle w:val="1"/>
        <w:spacing w:before="340" w:after="330"/>
        <w:jc w:val="center"/>
        <w:rPr>
          <w:rFonts w:hAnsi="宋体"/>
          <w:bCs/>
          <w:color w:val="auto"/>
          <w:kern w:val="44"/>
          <w:sz w:val="21"/>
          <w:szCs w:val="21"/>
        </w:rPr>
      </w:pPr>
      <w:bookmarkStart w:id="76" w:name="_Toc334542641"/>
      <w:bookmarkStart w:id="77" w:name="_Toc334542958"/>
      <w:bookmarkStart w:id="78" w:name="_Toc329187119"/>
      <w:r>
        <w:rPr>
          <w:rFonts w:hAnsi="宋体"/>
          <w:bCs/>
          <w:color w:val="auto"/>
          <w:kern w:val="44"/>
          <w:sz w:val="21"/>
          <w:szCs w:val="21"/>
        </w:rPr>
        <w:br w:type="page"/>
      </w:r>
      <w:bookmarkStart w:id="79" w:name="_Toc71748067"/>
      <w:r>
        <w:rPr>
          <w:rFonts w:hAnsi="宋体" w:hint="eastAsia"/>
          <w:bCs/>
          <w:color w:val="auto"/>
          <w:kern w:val="44"/>
          <w:sz w:val="21"/>
          <w:szCs w:val="21"/>
        </w:rPr>
        <w:lastRenderedPageBreak/>
        <w:t>九、基金的投资</w:t>
      </w:r>
      <w:bookmarkEnd w:id="76"/>
      <w:bookmarkEnd w:id="77"/>
      <w:bookmarkEnd w:id="78"/>
      <w:bookmarkEnd w:id="79"/>
    </w:p>
    <w:p w:rsidR="008711D3" w:rsidRDefault="004479D9">
      <w:pPr>
        <w:spacing w:line="360" w:lineRule="auto"/>
        <w:ind w:firstLineChars="200" w:firstLine="422"/>
        <w:rPr>
          <w:b/>
          <w:szCs w:val="21"/>
        </w:rPr>
      </w:pPr>
      <w:bookmarkStart w:id="80" w:name="_Toc334542959"/>
      <w:bookmarkStart w:id="81" w:name="_Toc329187120"/>
      <w:bookmarkStart w:id="82" w:name="_Toc334542642"/>
      <w:r>
        <w:rPr>
          <w:rFonts w:hint="eastAsia"/>
          <w:b/>
          <w:szCs w:val="21"/>
        </w:rPr>
        <w:t>（一）投资目标</w:t>
      </w:r>
    </w:p>
    <w:p w:rsidR="008711D3" w:rsidRDefault="004479D9">
      <w:pPr>
        <w:spacing w:line="360" w:lineRule="auto"/>
        <w:ind w:firstLineChars="200" w:firstLine="420"/>
        <w:rPr>
          <w:szCs w:val="21"/>
        </w:rPr>
      </w:pPr>
      <w:r>
        <w:rPr>
          <w:rFonts w:hint="eastAsia"/>
          <w:bCs/>
          <w:szCs w:val="21"/>
        </w:rPr>
        <w:t>本基金力争在严格控制风险的前提下，通过积极主动的资产配置和对优势个股的研究与遴选，实现基金资产的持续稳定增值。</w:t>
      </w:r>
    </w:p>
    <w:p w:rsidR="008711D3" w:rsidRDefault="004479D9">
      <w:pPr>
        <w:spacing w:line="360" w:lineRule="auto"/>
        <w:ind w:firstLineChars="200" w:firstLine="422"/>
        <w:rPr>
          <w:b/>
          <w:szCs w:val="21"/>
        </w:rPr>
      </w:pPr>
      <w:r>
        <w:rPr>
          <w:rFonts w:hint="eastAsia"/>
          <w:b/>
          <w:szCs w:val="21"/>
        </w:rPr>
        <w:t>（二）投资范围</w:t>
      </w:r>
    </w:p>
    <w:p w:rsidR="008711D3" w:rsidRDefault="004479D9">
      <w:pPr>
        <w:spacing w:line="360" w:lineRule="auto"/>
        <w:ind w:firstLineChars="200" w:firstLine="420"/>
        <w:rPr>
          <w:rFonts w:ascii="宋体" w:hAnsi="宋体"/>
          <w:szCs w:val="21"/>
        </w:rPr>
      </w:pPr>
      <w:r>
        <w:rPr>
          <w:rFonts w:ascii="宋体" w:hAnsi="宋体" w:hint="eastAsia"/>
          <w:szCs w:val="21"/>
        </w:rPr>
        <w:t>本基金投资于国内依法发行上市的股票（包含创业板、存托凭证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券、超短期融资券、中期票据等）、资产支持证券、债券回购、同业存单、银行存款、股指期货、国债期货、股票期权、现金以及法律法规或中国证监会允许基金投资的其他金融工具（但须符合中国证监会的相关规定）。</w:t>
      </w:r>
    </w:p>
    <w:p w:rsidR="008711D3" w:rsidRDefault="004479D9">
      <w:pPr>
        <w:spacing w:line="360" w:lineRule="auto"/>
        <w:ind w:firstLineChars="200" w:firstLine="420"/>
        <w:rPr>
          <w:rFonts w:ascii="宋体" w:hAnsi="宋体"/>
          <w:szCs w:val="21"/>
        </w:rPr>
      </w:pPr>
      <w:r>
        <w:rPr>
          <w:rFonts w:ascii="宋体" w:hAnsi="宋体" w:hint="eastAsia"/>
          <w:szCs w:val="21"/>
        </w:rPr>
        <w:t>本基金可根据相关法律法规和基金合同的约定，参与融资业务。</w:t>
      </w:r>
    </w:p>
    <w:p w:rsidR="008711D3" w:rsidRDefault="004479D9">
      <w:pPr>
        <w:spacing w:line="360" w:lineRule="auto"/>
        <w:ind w:firstLineChars="200" w:firstLine="420"/>
        <w:rPr>
          <w:rFonts w:ascii="宋体" w:hAnsi="宋体"/>
          <w:szCs w:val="21"/>
        </w:rPr>
      </w:pPr>
      <w:r>
        <w:rPr>
          <w:rFonts w:ascii="宋体" w:hAnsi="宋体" w:hint="eastAsia"/>
          <w:szCs w:val="21"/>
        </w:rPr>
        <w:t>如法律法规或监管机构以后允许基金投资其他品种，基金管理人在履行适当程序后，可以将其纳入投资范围。</w:t>
      </w:r>
    </w:p>
    <w:p w:rsidR="008711D3" w:rsidRDefault="004479D9">
      <w:pPr>
        <w:spacing w:line="360" w:lineRule="auto"/>
        <w:ind w:firstLine="480"/>
        <w:rPr>
          <w:rFonts w:ascii="宋体" w:hAnsi="宋体"/>
          <w:szCs w:val="21"/>
        </w:rPr>
      </w:pPr>
      <w:r>
        <w:rPr>
          <w:rFonts w:ascii="宋体" w:hAnsi="宋体" w:hint="eastAsia"/>
          <w:szCs w:val="21"/>
        </w:rPr>
        <w:t>基金的投资组合比例为：股票资产占基金资产的比例为60%-95%，其中投资于港股通标的股票的比例占股票资产的0-50%。本基金应当保持不低于基金资产净值的5%的现金或到期日在一年以内的政府债券，其中现金不包括结算备付金、存出保证金、应收申购款等。股指期货、国债期货、股票期权及其他金融工具的投资比例符合法律法规和监管机构的规定。</w:t>
      </w:r>
    </w:p>
    <w:p w:rsidR="008711D3" w:rsidRDefault="004479D9">
      <w:pPr>
        <w:spacing w:line="360" w:lineRule="auto"/>
        <w:ind w:firstLine="480"/>
        <w:rPr>
          <w:b/>
          <w:szCs w:val="21"/>
        </w:rPr>
      </w:pPr>
      <w:r>
        <w:rPr>
          <w:rFonts w:hint="eastAsia"/>
          <w:b/>
          <w:szCs w:val="21"/>
        </w:rPr>
        <w:t>（三）投资策略</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A、资产配置策略</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本基金将根据对宏观经济周期的分析研究，结合基本面、市面场、政策面等多种因素的综合考量，研判所处经济周期的位置及未来发展方向，以确定组合中股票、债券、货币市场工具及其他金融工具的比例。</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B、股票投资策略</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1、行业投资策略</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本基金将在考虑行业生命周期、景气程度、估值水平以及股票市场行业轮动规律的基础上决定行业的配置，同时本基金将根据宏观经济和证券市场环境的变化，及时对行业配置进行动态调整。</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lastRenderedPageBreak/>
        <w:t>2、个股投资策略</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本基金采用“自下而上”为主“自上而下”为辅的选股策略，聚焦发展前景良好、具备竞争优势的公司，同时结合宏观经济状况和中观产业趋势，精选具备价值优势的公司。</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自下而上，本基金以合理、偏低的价格为前提，精选发展前景良好、于同行相比具备竞争优势、投入资本回报高的公司，获取公司创造的复利资本回报；同时本基金从价值思路入手，结合行业基本面发展趋势，积极挖掘“估值优势+边际改善”的“戴维斯双击型”标的，主要从盈利边际改善和估值扩张两个角度寻求投资机会，力求提高组合安全边际和上涨空间，避开价值陷阱。</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在具体个股的选择上，选取的标准包括但不限于：</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（1）定性分析：公司治理情况、历史诚信问题、融资和收购历史；管理层能力、企业家精神、公司战略和发展方向；公司竞争力、壁垒、护城河的可持续性、技术颠覆性；</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（2）定量分析：历史上创造自由现金流的能力以及与利润的匹配度；过去五年ROE和ROIC的变化情况、业绩增长和利润率的稳定性；未来盈利增速的预测；资产负债率、资产周转率等指标；</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（3）合理的估值以及良好的风险收益比。</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3、港股通投资策略</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本基金将结合国内经济和相关行业发展前景、A股和港股对投资者的相对吸引力、主流投资者市场行为、公司基本面、国际可比公司估值水平等影响港股投资的主要因素来决定港股权重配置和个股选择。</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可通过内地与香港股票市场交易互联互通机制投资于香港股票市场，不使用合格境内机构投资者(QDII)境外投资额度进行境外投资。本基金将遵循上述投资策略，将符合上述选股标准的优质港股纳入本基金的股票投资组合。</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4、存托凭证投资策略</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本基金可投资存托凭证，本基金将结合对宏观经济状况、行业景气度、公司竞争优势、公司治理结构、估值水平等因素的分析判断，选择投资价值高的存托凭证进行投资。</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C、债券投资策略</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通过综合分析国内外宏观经济态势、利率走势、收益率曲线变化趋势和信用风险变化等因素，并结合各种固定收益类资产在特定经济形势下的估值水平、预期收益和预期风险特征，在符合本基金相关投资比例规定的前提下，决定组合的久期水平、期限结构和类属配置，并在此基础之上实施积极的债券投资组合管理，力争获取较高的投资收益。</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lastRenderedPageBreak/>
        <w:t>1、利率策略</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本基金将通过对宏观经济变量和宏观经济政策进行分析，积极主动的预测未来的利率趋势。组合久期是反映利率风险最重要的指标，本基金管理人将根据相关因素的研判调整组合久期。</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2、信用债券投资策略</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通过承担适度的信用风险来获取信用溢价，主要关注个别债券的选择和行业配置两方面。在定性与定量分析结合的基础上，通过自下而上的策略，在信用类固定收益金融工具中进行个债的精选，结合适度分散的行业配置策略，构造和优化组合。</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通过采用“嘉实信用分析系统”的信用评级和信用分析，包括宏观信用环境分析、行业趋势分析、管理层素质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D、衍生品投资策略</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的衍生品投资将严格遵守中国证监会及相关法律法规的约束，合理利用股指期货、国债期货和股票期权等衍生工具，将根据风险管理的原则，主要选择流动性好、交易活跃的股指期货、国债期货、股票期权合约进行交易，以对冲投资组合的风险、有效管理现金流量或降低建仓或调仓过程中的冲击成本等。</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1、股指期货投资策略</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基金管理人针对股指期货交易制订严格的授权管理制度和投资决策流程，确保研究分析、投资决策、交易执行及风险控制各环节的独立运作，并明确相关岗位职责。</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2、国债期货投资策略</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本基金参与国债期货投资将根据风险管理的原则，以套期保值为目的。本基金将在风险可控的前提下，本着谨慎原则，参与国债期货的投资，以管理投资组合的系统性风险，改善组合的风险收益特性。</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lastRenderedPageBreak/>
        <w:t>基金管理人针对国债期货交易制订严格的授权管理制度和投资决策流程，确保研究分析、投资决策、交易执行及风险控制各环节的独立运作，并明确相关岗位职责。</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3、股票期权投资策略</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基金管理人将针对股票期权交易制订严格的授权管理制度和投资决策流程，确保投资、风控等核心岗位人员具备股票期权业务知识和相应的专业能力，严格防范股票期权投资的风险。</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E、资产支持证券投资策略</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将通过对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F、融资策略</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为更好地实现投资目标，在加强风险防范并遵守审慎原则的前提下，本基金可根据投资管理的需要参与融资业务。若相关融资业务的法律法规发生变化，本基金将从其最新规定。</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G、风险管理策略</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本基金将借鉴国外风险管理的成功经验，并结合公司现有的风险管理流程，在各个投资环节中来识别、度量和控制投资风险，并通过调整投资组合的风险结构，来优化基金的风险收益匹配。</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具体而言，在大类资产配置策略的风险控制上，由投资决策委员会及宏观策略研究小组进行监控；在个股投资的风险控制上，本基金将严格遵守公司的内部规章制度，控制单一个股投资风险。</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（八）投资决策依据和决策程序</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1、投资决策依据</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（1）国家有关法律、法规、基金合同和基金管理人管理制度的有关规定。依法决策是</w:t>
      </w:r>
      <w:r>
        <w:rPr>
          <w:rFonts w:asciiTheme="minorEastAsia" w:eastAsiaTheme="minorEastAsia" w:hAnsiTheme="minorEastAsia" w:hint="eastAsia"/>
          <w:bCs/>
          <w:szCs w:val="21"/>
        </w:rPr>
        <w:lastRenderedPageBreak/>
        <w:t>本基金进行投资的前提；</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（2）宏观经济发展态势、行业发展变化、微观企业运作状况及证券市场走势。这是本基金投资决策的基础；</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（3）投资对象收益和风险的配比关系。在充分权衡投资对象的收益和风险的前提下做出投资决策。</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2、投资决策程序</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（1）决定主要投资原则：投资决策委员会必要时决定基金的主要投资原则，并对资产配置等提出指导性意见。</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（2）提出投资建议：研究员以内外部研究报告、实地调研以及其他信息来源作为参考，对宏观经济运行状况、行业发展趋势及个股、个券基本面进行多维度研究，推荐投资标的。</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（3）制定投资决策：基金经理在遵守投资决策委员会制定的投资原则前提下，根据研究员提供的投资建议以及自己的分析判断，做出具体的投资决策。</w:t>
      </w:r>
    </w:p>
    <w:p w:rsidR="008711D3" w:rsidRDefault="004479D9">
      <w:pPr>
        <w:spacing w:line="360" w:lineRule="auto"/>
        <w:ind w:firstLine="480"/>
        <w:rPr>
          <w:rFonts w:asciiTheme="minorEastAsia" w:eastAsiaTheme="minorEastAsia" w:hAnsiTheme="minorEastAsia"/>
          <w:bCs/>
          <w:szCs w:val="21"/>
        </w:rPr>
      </w:pPr>
      <w:r>
        <w:rPr>
          <w:rFonts w:asciiTheme="minorEastAsia" w:eastAsiaTheme="minorEastAsia" w:hAnsiTheme="minorEastAsia" w:hint="eastAsia"/>
          <w:bCs/>
          <w:szCs w:val="21"/>
        </w:rPr>
        <w:t>（4）进行风险评估：风险管理部门对本基金的风险进行监测和评估，并出具风险监控报告。</w:t>
      </w:r>
    </w:p>
    <w:p w:rsidR="008711D3" w:rsidRDefault="004479D9">
      <w:pPr>
        <w:spacing w:line="360" w:lineRule="auto"/>
        <w:ind w:firstLine="480"/>
        <w:rPr>
          <w:bCs/>
          <w:szCs w:val="21"/>
        </w:rPr>
      </w:pPr>
      <w:r>
        <w:rPr>
          <w:rFonts w:asciiTheme="minorEastAsia" w:eastAsiaTheme="minorEastAsia" w:hAnsiTheme="minorEastAsia" w:hint="eastAsia"/>
          <w:bCs/>
          <w:szCs w:val="21"/>
        </w:rPr>
        <w:t>（5）动态的组合管理：基金经理根据证券市场和投资标的基本面的变化，结合本基金的投资目标及流动性管理等因素，对投资组合进行动态调整。</w:t>
      </w:r>
    </w:p>
    <w:p w:rsidR="008711D3" w:rsidRDefault="004479D9">
      <w:pPr>
        <w:spacing w:line="360" w:lineRule="auto"/>
        <w:ind w:firstLineChars="200" w:firstLine="422"/>
        <w:rPr>
          <w:b/>
          <w:szCs w:val="21"/>
        </w:rPr>
      </w:pPr>
      <w:r>
        <w:rPr>
          <w:rFonts w:hint="eastAsia"/>
          <w:b/>
          <w:szCs w:val="21"/>
        </w:rPr>
        <w:t>（四）投资限制</w:t>
      </w:r>
    </w:p>
    <w:p w:rsidR="008711D3" w:rsidRDefault="004479D9">
      <w:pPr>
        <w:spacing w:line="360" w:lineRule="auto"/>
        <w:ind w:firstLineChars="200" w:firstLine="420"/>
        <w:rPr>
          <w:szCs w:val="21"/>
        </w:rPr>
      </w:pPr>
      <w:r>
        <w:rPr>
          <w:szCs w:val="21"/>
        </w:rPr>
        <w:t>1</w:t>
      </w:r>
      <w:r>
        <w:rPr>
          <w:rFonts w:hint="eastAsia"/>
          <w:szCs w:val="21"/>
        </w:rPr>
        <w:t>、组合限制</w:t>
      </w:r>
    </w:p>
    <w:p w:rsidR="008711D3" w:rsidRDefault="004479D9">
      <w:pPr>
        <w:spacing w:line="360" w:lineRule="auto"/>
        <w:ind w:firstLineChars="200" w:firstLine="420"/>
        <w:rPr>
          <w:szCs w:val="21"/>
        </w:rPr>
      </w:pPr>
      <w:r>
        <w:rPr>
          <w:rFonts w:hint="eastAsia"/>
          <w:szCs w:val="21"/>
        </w:rPr>
        <w:t>基金的投资组合应遵循以下限制：</w:t>
      </w:r>
    </w:p>
    <w:p w:rsidR="008711D3" w:rsidRDefault="004479D9">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）股票资产占基金资产的比例为</w:t>
      </w:r>
      <w:r>
        <w:rPr>
          <w:bCs/>
          <w:szCs w:val="21"/>
        </w:rPr>
        <w:t>6</w:t>
      </w:r>
      <w:r>
        <w:rPr>
          <w:rFonts w:hint="eastAsia"/>
          <w:bCs/>
          <w:szCs w:val="21"/>
        </w:rPr>
        <w:t>0%-95%</w:t>
      </w:r>
      <w:r>
        <w:rPr>
          <w:bCs/>
          <w:szCs w:val="21"/>
        </w:rPr>
        <w:t>，</w:t>
      </w:r>
      <w:r>
        <w:rPr>
          <w:rFonts w:hint="eastAsia"/>
          <w:bCs/>
          <w:szCs w:val="21"/>
        </w:rPr>
        <w:t>其中投资于港股通标的股票的比例占股票资产的</w:t>
      </w:r>
      <w:r>
        <w:rPr>
          <w:rFonts w:hint="eastAsia"/>
          <w:bCs/>
          <w:szCs w:val="21"/>
        </w:rPr>
        <w:t>0-50%</w:t>
      </w:r>
      <w:r>
        <w:rPr>
          <w:rFonts w:hint="eastAsia"/>
          <w:bCs/>
          <w:szCs w:val="21"/>
        </w:rPr>
        <w:t>；</w:t>
      </w:r>
    </w:p>
    <w:p w:rsidR="008711D3" w:rsidRDefault="004479D9">
      <w:pPr>
        <w:spacing w:line="360" w:lineRule="auto"/>
        <w:ind w:firstLineChars="200" w:firstLine="420"/>
        <w:rPr>
          <w:szCs w:val="21"/>
        </w:rPr>
      </w:pPr>
      <w:r>
        <w:rPr>
          <w:rFonts w:hint="eastAsia"/>
          <w:szCs w:val="21"/>
        </w:rPr>
        <w:t>（</w:t>
      </w:r>
      <w:r>
        <w:rPr>
          <w:szCs w:val="21"/>
        </w:rPr>
        <w:t>2</w:t>
      </w:r>
      <w:r>
        <w:rPr>
          <w:rFonts w:hint="eastAsia"/>
          <w:szCs w:val="21"/>
        </w:rPr>
        <w:t>）本基金应当保持不低于基金资产净值</w:t>
      </w:r>
      <w:r>
        <w:rPr>
          <w:szCs w:val="21"/>
        </w:rPr>
        <w:t>5</w:t>
      </w:r>
      <w:r>
        <w:rPr>
          <w:rFonts w:hint="eastAsia"/>
          <w:szCs w:val="21"/>
        </w:rPr>
        <w:t>％的现金或者到期日在一年以内的政府债券，其中现金不包括结算备付金、存出保证金和应收申购款等；</w:t>
      </w:r>
    </w:p>
    <w:p w:rsidR="008711D3" w:rsidRDefault="004479D9">
      <w:pPr>
        <w:spacing w:line="360" w:lineRule="auto"/>
        <w:ind w:firstLineChars="200" w:firstLine="420"/>
        <w:rPr>
          <w:szCs w:val="21"/>
        </w:rPr>
      </w:pPr>
      <w:r>
        <w:rPr>
          <w:rFonts w:hint="eastAsia"/>
          <w:szCs w:val="21"/>
        </w:rPr>
        <w:t>（</w:t>
      </w:r>
      <w:r>
        <w:rPr>
          <w:szCs w:val="21"/>
        </w:rPr>
        <w:t>3</w:t>
      </w:r>
      <w:r>
        <w:rPr>
          <w:rFonts w:hint="eastAsia"/>
          <w:szCs w:val="21"/>
        </w:rPr>
        <w:t>）本基金持有一家公司发行的证券，其市值不超过基金资产净值的</w:t>
      </w:r>
      <w:r>
        <w:rPr>
          <w:szCs w:val="21"/>
        </w:rPr>
        <w:t>10</w:t>
      </w:r>
      <w:r>
        <w:rPr>
          <w:bCs/>
          <w:szCs w:val="21"/>
        </w:rPr>
        <w:t>％</w:t>
      </w:r>
      <w:r>
        <w:rPr>
          <w:rFonts w:hint="eastAsia"/>
          <w:szCs w:val="21"/>
        </w:rPr>
        <w:t>；</w:t>
      </w:r>
    </w:p>
    <w:p w:rsidR="008711D3" w:rsidRDefault="004479D9">
      <w:pPr>
        <w:spacing w:line="360" w:lineRule="auto"/>
        <w:ind w:firstLineChars="200" w:firstLine="420"/>
        <w:rPr>
          <w:szCs w:val="21"/>
        </w:rPr>
      </w:pPr>
      <w:r>
        <w:rPr>
          <w:rFonts w:hint="eastAsia"/>
          <w:szCs w:val="21"/>
        </w:rPr>
        <w:t>（</w:t>
      </w:r>
      <w:r>
        <w:rPr>
          <w:szCs w:val="21"/>
        </w:rPr>
        <w:t>4</w:t>
      </w:r>
      <w:r>
        <w:rPr>
          <w:rFonts w:hint="eastAsia"/>
          <w:szCs w:val="21"/>
        </w:rPr>
        <w:t>）本基金管理人管理的全部基金持有一家公司发行的证券，不超过该证券的</w:t>
      </w:r>
      <w:r>
        <w:rPr>
          <w:szCs w:val="21"/>
        </w:rPr>
        <w:t>10</w:t>
      </w:r>
      <w:r>
        <w:rPr>
          <w:bCs/>
          <w:szCs w:val="21"/>
        </w:rPr>
        <w:t>％</w:t>
      </w:r>
      <w:r>
        <w:rPr>
          <w:rFonts w:hint="eastAsia"/>
          <w:szCs w:val="21"/>
        </w:rPr>
        <w:t>；</w:t>
      </w:r>
    </w:p>
    <w:p w:rsidR="008711D3" w:rsidRDefault="004479D9">
      <w:pPr>
        <w:spacing w:line="360" w:lineRule="auto"/>
        <w:ind w:firstLineChars="200" w:firstLine="420"/>
        <w:rPr>
          <w:szCs w:val="21"/>
        </w:rPr>
      </w:pPr>
      <w:r>
        <w:rPr>
          <w:rFonts w:hint="eastAsia"/>
          <w:szCs w:val="21"/>
        </w:rPr>
        <w:t>（</w:t>
      </w:r>
      <w:r>
        <w:rPr>
          <w:szCs w:val="21"/>
        </w:rPr>
        <w:t>5</w:t>
      </w:r>
      <w:r>
        <w:rPr>
          <w:rFonts w:hint="eastAsia"/>
          <w:szCs w:val="21"/>
        </w:rPr>
        <w:t>）本基金投资于同一原始权益人的各类资产支持证券的比例，不得超过基金资产净值的</w:t>
      </w:r>
      <w:r>
        <w:rPr>
          <w:szCs w:val="21"/>
        </w:rPr>
        <w:t>10</w:t>
      </w:r>
      <w:r>
        <w:rPr>
          <w:rFonts w:hint="eastAsia"/>
          <w:szCs w:val="21"/>
        </w:rPr>
        <w:t>％；</w:t>
      </w:r>
    </w:p>
    <w:p w:rsidR="008711D3" w:rsidRDefault="004479D9">
      <w:pPr>
        <w:spacing w:line="360" w:lineRule="auto"/>
        <w:ind w:firstLineChars="200" w:firstLine="420"/>
        <w:rPr>
          <w:szCs w:val="21"/>
        </w:rPr>
      </w:pPr>
      <w:r>
        <w:rPr>
          <w:rFonts w:hint="eastAsia"/>
          <w:szCs w:val="21"/>
        </w:rPr>
        <w:t>（</w:t>
      </w:r>
      <w:r>
        <w:rPr>
          <w:bCs/>
          <w:szCs w:val="21"/>
        </w:rPr>
        <w:t>6</w:t>
      </w:r>
      <w:r>
        <w:rPr>
          <w:rFonts w:hint="eastAsia"/>
          <w:szCs w:val="21"/>
        </w:rPr>
        <w:t>）本基金持有的全部资产支持证券，其市值不得超过基金资产净值的</w:t>
      </w:r>
      <w:r>
        <w:rPr>
          <w:szCs w:val="21"/>
        </w:rPr>
        <w:t>20</w:t>
      </w:r>
      <w:r>
        <w:rPr>
          <w:rFonts w:hint="eastAsia"/>
          <w:szCs w:val="21"/>
        </w:rPr>
        <w:t>％；</w:t>
      </w:r>
    </w:p>
    <w:p w:rsidR="008711D3" w:rsidRDefault="004479D9">
      <w:pPr>
        <w:spacing w:line="360" w:lineRule="auto"/>
        <w:ind w:firstLineChars="200" w:firstLine="420"/>
        <w:rPr>
          <w:szCs w:val="21"/>
        </w:rPr>
      </w:pPr>
      <w:r>
        <w:rPr>
          <w:rFonts w:hint="eastAsia"/>
          <w:szCs w:val="21"/>
        </w:rPr>
        <w:t>（</w:t>
      </w:r>
      <w:r>
        <w:rPr>
          <w:bCs/>
          <w:szCs w:val="21"/>
        </w:rPr>
        <w:t>7</w:t>
      </w:r>
      <w:r>
        <w:rPr>
          <w:rFonts w:hint="eastAsia"/>
          <w:szCs w:val="21"/>
        </w:rPr>
        <w:t>）本基金持有的同一</w:t>
      </w:r>
      <w:r>
        <w:rPr>
          <w:szCs w:val="21"/>
        </w:rPr>
        <w:t>(</w:t>
      </w:r>
      <w:r>
        <w:rPr>
          <w:rFonts w:hint="eastAsia"/>
          <w:szCs w:val="21"/>
        </w:rPr>
        <w:t>指同一信用级别</w:t>
      </w:r>
      <w:r>
        <w:rPr>
          <w:szCs w:val="21"/>
        </w:rPr>
        <w:t>)</w:t>
      </w:r>
      <w:r>
        <w:rPr>
          <w:rFonts w:hint="eastAsia"/>
          <w:szCs w:val="21"/>
        </w:rPr>
        <w:t>资产支持证券的比例，不得超过该资产支持证券规模的</w:t>
      </w:r>
      <w:r>
        <w:rPr>
          <w:szCs w:val="21"/>
        </w:rPr>
        <w:t>10</w:t>
      </w:r>
      <w:r>
        <w:rPr>
          <w:rFonts w:hint="eastAsia"/>
          <w:szCs w:val="21"/>
        </w:rPr>
        <w:t>％；</w:t>
      </w:r>
    </w:p>
    <w:p w:rsidR="008711D3" w:rsidRDefault="004479D9">
      <w:pPr>
        <w:spacing w:line="360" w:lineRule="auto"/>
        <w:ind w:firstLineChars="200" w:firstLine="420"/>
        <w:rPr>
          <w:szCs w:val="21"/>
        </w:rPr>
      </w:pPr>
      <w:r>
        <w:rPr>
          <w:rFonts w:hint="eastAsia"/>
          <w:szCs w:val="21"/>
        </w:rPr>
        <w:lastRenderedPageBreak/>
        <w:t>（</w:t>
      </w:r>
      <w:r>
        <w:rPr>
          <w:bCs/>
          <w:szCs w:val="21"/>
        </w:rPr>
        <w:t>8</w:t>
      </w:r>
      <w:r>
        <w:rPr>
          <w:rFonts w:hint="eastAsia"/>
          <w:szCs w:val="21"/>
        </w:rPr>
        <w:t>）本基金管理人管理的全部基金投资于同一原始权益人的各类资产支持证券，不得超过其各类资产支持证券合计规模的</w:t>
      </w:r>
      <w:r>
        <w:rPr>
          <w:szCs w:val="21"/>
        </w:rPr>
        <w:t>10</w:t>
      </w:r>
      <w:r>
        <w:rPr>
          <w:rFonts w:hint="eastAsia"/>
          <w:szCs w:val="21"/>
        </w:rPr>
        <w:t>％；</w:t>
      </w:r>
    </w:p>
    <w:p w:rsidR="008711D3" w:rsidRDefault="004479D9">
      <w:pPr>
        <w:spacing w:line="360" w:lineRule="auto"/>
        <w:ind w:firstLineChars="200" w:firstLine="420"/>
        <w:rPr>
          <w:szCs w:val="21"/>
        </w:rPr>
      </w:pPr>
      <w:r>
        <w:rPr>
          <w:rFonts w:hint="eastAsia"/>
          <w:szCs w:val="21"/>
        </w:rPr>
        <w:t>（</w:t>
      </w:r>
      <w:r>
        <w:rPr>
          <w:bCs/>
          <w:szCs w:val="21"/>
        </w:rPr>
        <w:t>9</w:t>
      </w:r>
      <w:r>
        <w:rPr>
          <w:rFonts w:hint="eastAsia"/>
          <w:szCs w:val="21"/>
        </w:rPr>
        <w:t>）本基金应投资于信用级别评级为</w:t>
      </w:r>
      <w:r>
        <w:rPr>
          <w:szCs w:val="21"/>
        </w:rPr>
        <w:t>BBB</w:t>
      </w:r>
      <w:r>
        <w:rPr>
          <w:rFonts w:hint="eastAsia"/>
          <w:szCs w:val="21"/>
        </w:rPr>
        <w:t>以上</w:t>
      </w:r>
      <w:r>
        <w:rPr>
          <w:szCs w:val="21"/>
        </w:rPr>
        <w:t>(</w:t>
      </w:r>
      <w:r>
        <w:rPr>
          <w:rFonts w:hint="eastAsia"/>
          <w:szCs w:val="21"/>
        </w:rPr>
        <w:t>含</w:t>
      </w:r>
      <w:r>
        <w:rPr>
          <w:szCs w:val="21"/>
        </w:rPr>
        <w:t>BBB)</w:t>
      </w:r>
      <w:r>
        <w:rPr>
          <w:rFonts w:hint="eastAsia"/>
          <w:szCs w:val="21"/>
        </w:rPr>
        <w:t>的资产支持证券。基金持有资产支持证券期间，如果其信用等级下降、不再符合投资标准，应在评级报告发布之日起</w:t>
      </w:r>
      <w:r>
        <w:rPr>
          <w:szCs w:val="21"/>
        </w:rPr>
        <w:t>3</w:t>
      </w:r>
      <w:r>
        <w:rPr>
          <w:rFonts w:hint="eastAsia"/>
          <w:szCs w:val="21"/>
        </w:rPr>
        <w:t>个月内予以全部卖出；</w:t>
      </w:r>
    </w:p>
    <w:p w:rsidR="008711D3" w:rsidRDefault="004479D9">
      <w:pPr>
        <w:spacing w:line="360" w:lineRule="auto"/>
        <w:ind w:firstLineChars="200" w:firstLine="420"/>
        <w:rPr>
          <w:szCs w:val="21"/>
        </w:rPr>
      </w:pPr>
      <w:r>
        <w:rPr>
          <w:rFonts w:hint="eastAsia"/>
          <w:szCs w:val="21"/>
        </w:rPr>
        <w:t>（</w:t>
      </w:r>
      <w:r>
        <w:rPr>
          <w:rFonts w:hint="eastAsia"/>
          <w:bCs/>
          <w:szCs w:val="21"/>
        </w:rPr>
        <w:t>1</w:t>
      </w:r>
      <w:r>
        <w:rPr>
          <w:bCs/>
          <w:szCs w:val="21"/>
        </w:rPr>
        <w:t>0</w:t>
      </w:r>
      <w:r>
        <w:rPr>
          <w:rFonts w:hint="eastAsia"/>
          <w:szCs w:val="21"/>
        </w:rPr>
        <w:t>）基金财产参与股票发行申购，本基金所申报的金额不超过本基金的总资产，本基金所申报的股票数量不超过拟发行股票公司本次发行股票的总量；</w:t>
      </w:r>
    </w:p>
    <w:p w:rsidR="008711D3" w:rsidRDefault="004479D9">
      <w:pPr>
        <w:spacing w:line="360" w:lineRule="auto"/>
        <w:ind w:firstLineChars="200" w:firstLine="420"/>
        <w:rPr>
          <w:szCs w:val="21"/>
        </w:rPr>
      </w:pPr>
      <w:r>
        <w:rPr>
          <w:rFonts w:hint="eastAsia"/>
          <w:szCs w:val="21"/>
        </w:rPr>
        <w:t>（</w:t>
      </w:r>
      <w:r>
        <w:rPr>
          <w:rFonts w:hint="eastAsia"/>
          <w:bCs/>
          <w:szCs w:val="21"/>
        </w:rPr>
        <w:t>1</w:t>
      </w:r>
      <w:r>
        <w:rPr>
          <w:bCs/>
          <w:szCs w:val="21"/>
        </w:rPr>
        <w:t>1</w:t>
      </w:r>
      <w:r>
        <w:rPr>
          <w:rFonts w:hint="eastAsia"/>
          <w:szCs w:val="21"/>
        </w:rPr>
        <w:t>）本基金进入全国银行间同业市场进行债券回购的资金余额不得超过基金资产净值的</w:t>
      </w:r>
      <w:r>
        <w:rPr>
          <w:szCs w:val="21"/>
        </w:rPr>
        <w:t>40%</w:t>
      </w:r>
      <w:r>
        <w:rPr>
          <w:rFonts w:hint="eastAsia"/>
          <w:szCs w:val="21"/>
        </w:rPr>
        <w:t>，进入全国银行间同业市场进行债券回购的最长期限为</w:t>
      </w:r>
      <w:r>
        <w:rPr>
          <w:szCs w:val="21"/>
        </w:rPr>
        <w:t>1</w:t>
      </w:r>
      <w:r>
        <w:rPr>
          <w:rFonts w:hint="eastAsia"/>
          <w:szCs w:val="21"/>
        </w:rPr>
        <w:t>年，债券回购到期后不得展期；</w:t>
      </w:r>
    </w:p>
    <w:p w:rsidR="008711D3" w:rsidRDefault="004479D9">
      <w:pPr>
        <w:spacing w:line="360" w:lineRule="auto"/>
        <w:ind w:firstLineChars="200" w:firstLine="420"/>
        <w:rPr>
          <w:bCs/>
          <w:szCs w:val="21"/>
        </w:rPr>
      </w:pPr>
      <w:r>
        <w:rPr>
          <w:rFonts w:hint="eastAsia"/>
          <w:bCs/>
          <w:szCs w:val="21"/>
        </w:rPr>
        <w:t>（</w:t>
      </w:r>
      <w:r>
        <w:rPr>
          <w:rFonts w:hint="eastAsia"/>
          <w:bCs/>
          <w:szCs w:val="21"/>
        </w:rPr>
        <w:t>1</w:t>
      </w:r>
      <w:r>
        <w:rPr>
          <w:bCs/>
          <w:szCs w:val="21"/>
        </w:rPr>
        <w:t>2</w:t>
      </w:r>
      <w:r>
        <w:rPr>
          <w:rFonts w:hint="eastAsia"/>
          <w:bCs/>
          <w:szCs w:val="21"/>
        </w:rPr>
        <w:t>）本基金参与股指期货交易，应当遵守下列投资限制：</w:t>
      </w:r>
    </w:p>
    <w:p w:rsidR="008711D3" w:rsidRDefault="004479D9">
      <w:pPr>
        <w:spacing w:line="360" w:lineRule="auto"/>
        <w:ind w:firstLineChars="200" w:firstLine="420"/>
        <w:rPr>
          <w:bCs/>
          <w:szCs w:val="21"/>
        </w:rPr>
      </w:pPr>
      <w:r>
        <w:rPr>
          <w:rFonts w:hint="eastAsia"/>
          <w:bCs/>
          <w:szCs w:val="21"/>
        </w:rPr>
        <w:t>①本基金在任何交易日日终，持有的买入股指期货合约价值，不得超过基金资产净值的</w:t>
      </w:r>
      <w:r>
        <w:rPr>
          <w:rFonts w:hint="eastAsia"/>
          <w:bCs/>
          <w:szCs w:val="21"/>
        </w:rPr>
        <w:t>10%</w:t>
      </w:r>
      <w:r>
        <w:rPr>
          <w:rFonts w:hint="eastAsia"/>
          <w:bCs/>
          <w:szCs w:val="21"/>
        </w:rPr>
        <w:t>；</w:t>
      </w:r>
    </w:p>
    <w:p w:rsidR="008711D3" w:rsidRDefault="004479D9">
      <w:pPr>
        <w:spacing w:line="360" w:lineRule="auto"/>
        <w:ind w:firstLineChars="200" w:firstLine="420"/>
        <w:rPr>
          <w:bCs/>
          <w:szCs w:val="21"/>
        </w:rPr>
      </w:pPr>
      <w:r>
        <w:rPr>
          <w:rFonts w:hint="eastAsia"/>
          <w:bCs/>
          <w:szCs w:val="21"/>
        </w:rPr>
        <w:t>②每个交易日日终在扣除股指期货合约和国债期货合约需缴纳的交易保证金后，应当保持不低于基金资产净值的</w:t>
      </w:r>
      <w:r>
        <w:rPr>
          <w:rFonts w:hint="eastAsia"/>
          <w:bCs/>
          <w:szCs w:val="21"/>
        </w:rPr>
        <w:t>5%</w:t>
      </w:r>
      <w:r>
        <w:rPr>
          <w:rFonts w:hint="eastAsia"/>
          <w:bCs/>
          <w:szCs w:val="21"/>
        </w:rPr>
        <w:t>的现金或到期日在一年以内的政府债券，其中现金不包括结算备付金、存出保证金、应收申购款等；</w:t>
      </w:r>
    </w:p>
    <w:p w:rsidR="008711D3" w:rsidRDefault="004479D9">
      <w:pPr>
        <w:spacing w:line="360" w:lineRule="auto"/>
        <w:ind w:firstLineChars="200" w:firstLine="420"/>
        <w:rPr>
          <w:bCs/>
          <w:szCs w:val="21"/>
        </w:rPr>
      </w:pPr>
      <w:r>
        <w:rPr>
          <w:rFonts w:hint="eastAsia"/>
          <w:bCs/>
          <w:szCs w:val="21"/>
        </w:rPr>
        <w:t>③本基金在任何交易日日终，持有的买入国债期货和股指期货合约价值与有价证券市值之和，不得超过基金资产净值的</w:t>
      </w:r>
      <w:r>
        <w:rPr>
          <w:rFonts w:hint="eastAsia"/>
          <w:bCs/>
          <w:szCs w:val="21"/>
        </w:rPr>
        <w:t>95%</w:t>
      </w:r>
      <w:r>
        <w:rPr>
          <w:rFonts w:hint="eastAsia"/>
          <w:bCs/>
          <w:szCs w:val="21"/>
        </w:rPr>
        <w:t>。</w:t>
      </w:r>
    </w:p>
    <w:p w:rsidR="008711D3" w:rsidRDefault="004479D9">
      <w:pPr>
        <w:spacing w:line="360" w:lineRule="auto"/>
        <w:ind w:firstLineChars="200" w:firstLine="420"/>
        <w:rPr>
          <w:bCs/>
          <w:szCs w:val="21"/>
        </w:rPr>
      </w:pPr>
      <w:r>
        <w:rPr>
          <w:rFonts w:hint="eastAsia"/>
          <w:bCs/>
          <w:szCs w:val="21"/>
        </w:rPr>
        <w:t>其中，有价证券指股票、债券（不含到期日在一年以内的政府债券）、资产支持证券、买入返售金融资产（不含质押式回购）等；</w:t>
      </w:r>
    </w:p>
    <w:p w:rsidR="008711D3" w:rsidRDefault="004479D9">
      <w:pPr>
        <w:spacing w:line="360" w:lineRule="auto"/>
        <w:ind w:firstLineChars="200" w:firstLine="420"/>
        <w:rPr>
          <w:bCs/>
          <w:szCs w:val="21"/>
        </w:rPr>
      </w:pPr>
      <w:r>
        <w:rPr>
          <w:rFonts w:hint="eastAsia"/>
          <w:bCs/>
          <w:szCs w:val="21"/>
        </w:rPr>
        <w:t>④本基金在任何交易日日终，持有的卖出股指期货合约价值不得超过基金持有的股票总市值的</w:t>
      </w:r>
      <w:r>
        <w:rPr>
          <w:rFonts w:hint="eastAsia"/>
          <w:bCs/>
          <w:szCs w:val="21"/>
        </w:rPr>
        <w:t>20%</w:t>
      </w:r>
      <w:r>
        <w:rPr>
          <w:rFonts w:hint="eastAsia"/>
          <w:bCs/>
          <w:szCs w:val="21"/>
        </w:rPr>
        <w:t>；</w:t>
      </w:r>
    </w:p>
    <w:p w:rsidR="008711D3" w:rsidRDefault="004479D9">
      <w:pPr>
        <w:spacing w:line="360" w:lineRule="auto"/>
        <w:ind w:firstLineChars="200" w:firstLine="420"/>
        <w:rPr>
          <w:bCs/>
          <w:szCs w:val="21"/>
        </w:rPr>
      </w:pPr>
      <w:r>
        <w:rPr>
          <w:rFonts w:hint="eastAsia"/>
          <w:bCs/>
          <w:szCs w:val="21"/>
        </w:rPr>
        <w:t>⑤本基金所持有的股票市值和买入、卖出股指期货合约价值，合计（轧差计算）应当符合《基金合同》关于股票投资比例的有关规定；</w:t>
      </w:r>
    </w:p>
    <w:p w:rsidR="008711D3" w:rsidRDefault="004479D9">
      <w:pPr>
        <w:spacing w:line="360" w:lineRule="auto"/>
        <w:ind w:firstLineChars="200" w:firstLine="420"/>
        <w:rPr>
          <w:bCs/>
          <w:szCs w:val="21"/>
        </w:rPr>
      </w:pPr>
      <w:r>
        <w:rPr>
          <w:rFonts w:hint="eastAsia"/>
          <w:bCs/>
          <w:szCs w:val="21"/>
        </w:rPr>
        <w:t>⑥本基金在任何交易日内交易（不包括平仓）的股指期货合约的成交金额不得超过上一交易日基金资产净值的</w:t>
      </w:r>
      <w:r>
        <w:rPr>
          <w:rFonts w:hint="eastAsia"/>
          <w:bCs/>
          <w:szCs w:val="21"/>
        </w:rPr>
        <w:t>20%</w:t>
      </w:r>
      <w:r>
        <w:rPr>
          <w:rFonts w:hint="eastAsia"/>
          <w:bCs/>
          <w:szCs w:val="21"/>
        </w:rPr>
        <w:t>；</w:t>
      </w:r>
    </w:p>
    <w:p w:rsidR="008711D3" w:rsidRDefault="004479D9">
      <w:pPr>
        <w:spacing w:line="360" w:lineRule="auto"/>
        <w:ind w:firstLineChars="200" w:firstLine="420"/>
        <w:rPr>
          <w:bCs/>
          <w:szCs w:val="21"/>
        </w:rPr>
      </w:pPr>
      <w:r>
        <w:rPr>
          <w:rFonts w:hint="eastAsia"/>
          <w:bCs/>
          <w:szCs w:val="21"/>
        </w:rPr>
        <w:t>（</w:t>
      </w:r>
      <w:r>
        <w:rPr>
          <w:rFonts w:hint="eastAsia"/>
          <w:bCs/>
          <w:szCs w:val="21"/>
        </w:rPr>
        <w:t>13</w:t>
      </w:r>
      <w:r>
        <w:rPr>
          <w:rFonts w:hint="eastAsia"/>
          <w:bCs/>
          <w:szCs w:val="21"/>
        </w:rPr>
        <w:t>）本基金参与国债期货交易，应当遵守下列投资限制：</w:t>
      </w:r>
    </w:p>
    <w:p w:rsidR="008711D3" w:rsidRDefault="004479D9">
      <w:pPr>
        <w:spacing w:line="360" w:lineRule="auto"/>
        <w:ind w:firstLineChars="200" w:firstLine="420"/>
        <w:rPr>
          <w:bCs/>
          <w:szCs w:val="21"/>
        </w:rPr>
      </w:pPr>
      <w:r>
        <w:rPr>
          <w:rFonts w:hint="eastAsia"/>
          <w:bCs/>
          <w:szCs w:val="21"/>
        </w:rPr>
        <w:t>①本基金在任何交易日日终，持有的买入国债期货合约价值，不得超过基金资产净值的</w:t>
      </w:r>
      <w:r>
        <w:rPr>
          <w:rFonts w:hint="eastAsia"/>
          <w:bCs/>
          <w:szCs w:val="21"/>
        </w:rPr>
        <w:t xml:space="preserve"> 15%</w:t>
      </w:r>
      <w:r>
        <w:rPr>
          <w:rFonts w:hint="eastAsia"/>
          <w:bCs/>
          <w:szCs w:val="21"/>
        </w:rPr>
        <w:t>；</w:t>
      </w:r>
    </w:p>
    <w:p w:rsidR="008711D3" w:rsidRDefault="004479D9">
      <w:pPr>
        <w:spacing w:line="360" w:lineRule="auto"/>
        <w:ind w:firstLineChars="200" w:firstLine="420"/>
        <w:rPr>
          <w:bCs/>
          <w:szCs w:val="21"/>
        </w:rPr>
      </w:pPr>
      <w:r>
        <w:rPr>
          <w:rFonts w:hint="eastAsia"/>
          <w:bCs/>
          <w:szCs w:val="21"/>
        </w:rPr>
        <w:t>②每个交易日日终在扣除股指期货合约和国债期货合约需缴纳的交易保证金后，应当保</w:t>
      </w:r>
      <w:r>
        <w:rPr>
          <w:rFonts w:hint="eastAsia"/>
          <w:bCs/>
          <w:szCs w:val="21"/>
        </w:rPr>
        <w:lastRenderedPageBreak/>
        <w:t>持不低于基金资产净值的</w:t>
      </w:r>
      <w:r>
        <w:rPr>
          <w:rFonts w:hint="eastAsia"/>
          <w:bCs/>
          <w:szCs w:val="21"/>
        </w:rPr>
        <w:t>5%</w:t>
      </w:r>
      <w:r>
        <w:rPr>
          <w:rFonts w:hint="eastAsia"/>
          <w:bCs/>
          <w:szCs w:val="21"/>
        </w:rPr>
        <w:t>的现金或到期日在一年以内的政府债券，其中现金不包括结算备付金、存出保证金、应收申购款等；</w:t>
      </w:r>
    </w:p>
    <w:p w:rsidR="008711D3" w:rsidRDefault="004479D9">
      <w:pPr>
        <w:spacing w:line="360" w:lineRule="auto"/>
        <w:ind w:firstLineChars="200" w:firstLine="420"/>
        <w:rPr>
          <w:bCs/>
          <w:szCs w:val="21"/>
        </w:rPr>
      </w:pPr>
      <w:r>
        <w:rPr>
          <w:rFonts w:hint="eastAsia"/>
          <w:bCs/>
          <w:szCs w:val="21"/>
        </w:rPr>
        <w:t>③本基金在任何交易日日终，持有的买入国债期货和股指期货合约价值与有价证券市值之和，不得超过基金资产净值的</w:t>
      </w:r>
      <w:r>
        <w:rPr>
          <w:rFonts w:hint="eastAsia"/>
          <w:bCs/>
          <w:szCs w:val="21"/>
        </w:rPr>
        <w:t>95%</w:t>
      </w:r>
      <w:r>
        <w:rPr>
          <w:rFonts w:hint="eastAsia"/>
          <w:bCs/>
          <w:szCs w:val="21"/>
        </w:rPr>
        <w:t>。</w:t>
      </w:r>
    </w:p>
    <w:p w:rsidR="008711D3" w:rsidRDefault="004479D9">
      <w:pPr>
        <w:spacing w:line="360" w:lineRule="auto"/>
        <w:ind w:firstLineChars="200" w:firstLine="420"/>
        <w:rPr>
          <w:bCs/>
          <w:szCs w:val="21"/>
        </w:rPr>
      </w:pPr>
      <w:r>
        <w:rPr>
          <w:rFonts w:hint="eastAsia"/>
          <w:bCs/>
          <w:szCs w:val="21"/>
        </w:rPr>
        <w:t>其中，有价证券指股票、债券（不含到期日在一年以内的政府债券）、资产支持证券、买入返售金融资产（不含质押式回购）等；</w:t>
      </w:r>
    </w:p>
    <w:p w:rsidR="008711D3" w:rsidRDefault="004479D9">
      <w:pPr>
        <w:spacing w:line="360" w:lineRule="auto"/>
        <w:ind w:firstLineChars="200" w:firstLine="420"/>
        <w:rPr>
          <w:bCs/>
          <w:szCs w:val="21"/>
        </w:rPr>
      </w:pPr>
      <w:r>
        <w:rPr>
          <w:rFonts w:hint="eastAsia"/>
          <w:bCs/>
          <w:szCs w:val="21"/>
        </w:rPr>
        <w:t>④本基金在任何交易日日终，持有的卖出国债期货合约价值，不得超过基金持有的债券总市值的</w:t>
      </w:r>
      <w:r>
        <w:rPr>
          <w:rFonts w:hint="eastAsia"/>
          <w:bCs/>
          <w:szCs w:val="21"/>
        </w:rPr>
        <w:t xml:space="preserve"> 30%</w:t>
      </w:r>
      <w:r>
        <w:rPr>
          <w:rFonts w:hint="eastAsia"/>
          <w:bCs/>
          <w:szCs w:val="21"/>
        </w:rPr>
        <w:t>；</w:t>
      </w:r>
    </w:p>
    <w:p w:rsidR="008711D3" w:rsidRDefault="004479D9">
      <w:pPr>
        <w:spacing w:line="360" w:lineRule="auto"/>
        <w:ind w:firstLineChars="200" w:firstLine="420"/>
        <w:rPr>
          <w:bCs/>
          <w:szCs w:val="21"/>
        </w:rPr>
      </w:pPr>
      <w:r>
        <w:rPr>
          <w:rFonts w:hint="eastAsia"/>
          <w:bCs/>
          <w:szCs w:val="21"/>
        </w:rPr>
        <w:t>⑤本基金所持有的债券（不含到期日在一年以内的政府债券）市值和买入、卖出国债期货合约价值，合计（轧差计算）应当符合基金合同关于债券投资比例的有关约定；</w:t>
      </w:r>
    </w:p>
    <w:p w:rsidR="008711D3" w:rsidRDefault="004479D9">
      <w:pPr>
        <w:spacing w:line="360" w:lineRule="auto"/>
        <w:ind w:firstLineChars="200" w:firstLine="420"/>
        <w:rPr>
          <w:bCs/>
          <w:szCs w:val="21"/>
        </w:rPr>
      </w:pPr>
      <w:r>
        <w:rPr>
          <w:rFonts w:hint="eastAsia"/>
          <w:bCs/>
          <w:szCs w:val="21"/>
        </w:rPr>
        <w:t>⑥本基金在任何交易日内交易（不包括平仓）的国债期货合约的成交金额不得超过上一交易日基金资产净值的</w:t>
      </w:r>
      <w:r>
        <w:rPr>
          <w:rFonts w:hint="eastAsia"/>
          <w:bCs/>
          <w:szCs w:val="21"/>
        </w:rPr>
        <w:t xml:space="preserve"> 30%</w:t>
      </w:r>
      <w:r>
        <w:rPr>
          <w:rFonts w:hint="eastAsia"/>
          <w:bCs/>
          <w:szCs w:val="21"/>
        </w:rPr>
        <w:t>；</w:t>
      </w:r>
    </w:p>
    <w:p w:rsidR="008711D3" w:rsidRDefault="004479D9">
      <w:pPr>
        <w:spacing w:line="360" w:lineRule="auto"/>
        <w:ind w:firstLineChars="200" w:firstLine="420"/>
        <w:rPr>
          <w:bCs/>
          <w:szCs w:val="21"/>
        </w:rPr>
      </w:pPr>
      <w:r>
        <w:rPr>
          <w:rFonts w:hint="eastAsia"/>
          <w:bCs/>
          <w:szCs w:val="21"/>
        </w:rPr>
        <w:t>（</w:t>
      </w:r>
      <w:r>
        <w:rPr>
          <w:rFonts w:hint="eastAsia"/>
          <w:bCs/>
          <w:szCs w:val="21"/>
        </w:rPr>
        <w:t>1</w:t>
      </w:r>
      <w:r>
        <w:rPr>
          <w:bCs/>
          <w:szCs w:val="21"/>
        </w:rPr>
        <w:t>4</w:t>
      </w:r>
      <w:r>
        <w:rPr>
          <w:rFonts w:hint="eastAsia"/>
          <w:bCs/>
          <w:szCs w:val="21"/>
        </w:rPr>
        <w:t>）本基金参与股票期权交易，应当遵守下列投资限制：</w:t>
      </w:r>
    </w:p>
    <w:p w:rsidR="008711D3" w:rsidRDefault="004479D9">
      <w:pPr>
        <w:spacing w:line="360" w:lineRule="auto"/>
        <w:ind w:firstLineChars="200" w:firstLine="420"/>
        <w:rPr>
          <w:bCs/>
          <w:szCs w:val="21"/>
        </w:rPr>
      </w:pPr>
      <w:r>
        <w:rPr>
          <w:rFonts w:hint="eastAsia"/>
          <w:bCs/>
          <w:szCs w:val="21"/>
        </w:rPr>
        <w:t>①本基金因未平仓的股票期权合约支付和收取的权利金总额不得超过基金资产净值的</w:t>
      </w:r>
      <w:r>
        <w:rPr>
          <w:rFonts w:hint="eastAsia"/>
          <w:bCs/>
          <w:szCs w:val="21"/>
        </w:rPr>
        <w:t>10%</w:t>
      </w:r>
      <w:r>
        <w:rPr>
          <w:rFonts w:hint="eastAsia"/>
          <w:bCs/>
          <w:szCs w:val="21"/>
        </w:rPr>
        <w:t>；</w:t>
      </w:r>
    </w:p>
    <w:p w:rsidR="008711D3" w:rsidRDefault="004479D9">
      <w:pPr>
        <w:spacing w:line="360" w:lineRule="auto"/>
        <w:ind w:firstLineChars="200" w:firstLine="420"/>
        <w:rPr>
          <w:bCs/>
          <w:szCs w:val="21"/>
        </w:rPr>
      </w:pPr>
      <w:r>
        <w:rPr>
          <w:rFonts w:hint="eastAsia"/>
          <w:bCs/>
          <w:szCs w:val="21"/>
        </w:rPr>
        <w:t>②本基金开仓卖出认购股票期权的，应持有足额标的证券；开仓卖出认沽股票期权的，应持有合约行权所需的全额现金或交易所规则认可的可冲抵股票期权保证金的现金等价物；</w:t>
      </w:r>
    </w:p>
    <w:p w:rsidR="008711D3" w:rsidRDefault="004479D9">
      <w:pPr>
        <w:spacing w:line="360" w:lineRule="auto"/>
        <w:ind w:firstLineChars="200" w:firstLine="420"/>
        <w:rPr>
          <w:bCs/>
          <w:szCs w:val="21"/>
        </w:rPr>
      </w:pPr>
      <w:r>
        <w:rPr>
          <w:rFonts w:hint="eastAsia"/>
          <w:bCs/>
          <w:szCs w:val="21"/>
        </w:rPr>
        <w:t>③本基金未平仓的股票期权合约面值不得超过基金资产净值的</w:t>
      </w:r>
      <w:r>
        <w:rPr>
          <w:rFonts w:hint="eastAsia"/>
          <w:bCs/>
          <w:szCs w:val="21"/>
        </w:rPr>
        <w:t>20%</w:t>
      </w:r>
      <w:r>
        <w:rPr>
          <w:rFonts w:hint="eastAsia"/>
          <w:bCs/>
          <w:szCs w:val="21"/>
        </w:rPr>
        <w:t>。其中，合约面值按照行权价乘以合约乘数计算；</w:t>
      </w:r>
    </w:p>
    <w:p w:rsidR="008711D3" w:rsidRDefault="004479D9">
      <w:pPr>
        <w:spacing w:line="360" w:lineRule="auto"/>
        <w:ind w:firstLineChars="200" w:firstLine="420"/>
        <w:rPr>
          <w:szCs w:val="21"/>
        </w:rPr>
      </w:pPr>
      <w:r>
        <w:rPr>
          <w:rFonts w:hint="eastAsia"/>
          <w:szCs w:val="21"/>
        </w:rPr>
        <w:t>（</w:t>
      </w:r>
      <w:r>
        <w:rPr>
          <w:szCs w:val="21"/>
        </w:rPr>
        <w:t>15</w:t>
      </w:r>
      <w:r>
        <w:rPr>
          <w:rFonts w:hint="eastAsia"/>
          <w:szCs w:val="21"/>
        </w:rPr>
        <w:t>）本基金管理人管理的全部开放式基金持有一家上市公司发行的可流通股票，不得超过该上市公司可流通股票的</w:t>
      </w:r>
      <w:r>
        <w:rPr>
          <w:szCs w:val="21"/>
        </w:rPr>
        <w:t>15%</w:t>
      </w:r>
      <w:r>
        <w:rPr>
          <w:rFonts w:hint="eastAsia"/>
          <w:szCs w:val="21"/>
        </w:rPr>
        <w:t>；本基金管理人管理的全部投资组合持有一家上市公司发行的可流通股票，不得超过该上市公司可流通股票的</w:t>
      </w:r>
      <w:r>
        <w:rPr>
          <w:szCs w:val="21"/>
        </w:rPr>
        <w:t>30%</w:t>
      </w:r>
      <w:r>
        <w:rPr>
          <w:rFonts w:hint="eastAsia"/>
          <w:szCs w:val="21"/>
        </w:rPr>
        <w:t>；</w:t>
      </w:r>
    </w:p>
    <w:p w:rsidR="008711D3" w:rsidRDefault="004479D9">
      <w:pPr>
        <w:spacing w:line="360" w:lineRule="auto"/>
        <w:ind w:firstLineChars="200" w:firstLine="420"/>
        <w:rPr>
          <w:szCs w:val="21"/>
        </w:rPr>
      </w:pPr>
      <w:r>
        <w:rPr>
          <w:rFonts w:hint="eastAsia"/>
          <w:szCs w:val="21"/>
        </w:rPr>
        <w:t>（</w:t>
      </w:r>
      <w:r>
        <w:rPr>
          <w:szCs w:val="21"/>
        </w:rPr>
        <w:t>16</w:t>
      </w:r>
      <w:r>
        <w:rPr>
          <w:rFonts w:hint="eastAsia"/>
          <w:szCs w:val="21"/>
        </w:rPr>
        <w:t>）本基金主动投资于流动性受限资产的市值合计不得超过基金资产净值的</w:t>
      </w:r>
      <w:r>
        <w:rPr>
          <w:szCs w:val="21"/>
        </w:rPr>
        <w:t>15%</w:t>
      </w:r>
      <w:r>
        <w:rPr>
          <w:rFonts w:hint="eastAsia"/>
          <w:szCs w:val="21"/>
        </w:rPr>
        <w:t>；因证券市场波动、上市公司股票停牌、基金规模变动等基金管理人之外的因素致使基金不符合该比例限制的，基金管理人不得主动新增流动性受限资产的投资；</w:t>
      </w:r>
    </w:p>
    <w:p w:rsidR="008711D3" w:rsidRDefault="004479D9">
      <w:pPr>
        <w:spacing w:line="360" w:lineRule="auto"/>
        <w:ind w:firstLineChars="200" w:firstLine="420"/>
        <w:rPr>
          <w:szCs w:val="21"/>
        </w:rPr>
      </w:pPr>
      <w:r>
        <w:rPr>
          <w:rFonts w:hint="eastAsia"/>
          <w:szCs w:val="21"/>
        </w:rPr>
        <w:t>（</w:t>
      </w:r>
      <w:r>
        <w:rPr>
          <w:szCs w:val="21"/>
        </w:rPr>
        <w:t>17</w:t>
      </w:r>
      <w:r>
        <w:rPr>
          <w:rFonts w:hint="eastAsia"/>
          <w:szCs w:val="21"/>
        </w:rPr>
        <w:t>）本基金与私募类证券资管产品及中国证监会认定的其他主体为交易对手开展逆回购交易的，可接受质押品的资质要求应当与基金合同约定的投资范围保持一致；</w:t>
      </w:r>
    </w:p>
    <w:p w:rsidR="008711D3" w:rsidRDefault="004479D9">
      <w:pPr>
        <w:spacing w:line="360" w:lineRule="auto"/>
        <w:ind w:firstLineChars="200" w:firstLine="420"/>
        <w:rPr>
          <w:szCs w:val="21"/>
        </w:rPr>
      </w:pPr>
      <w:r>
        <w:rPr>
          <w:rFonts w:hint="eastAsia"/>
          <w:szCs w:val="21"/>
        </w:rPr>
        <w:t>（</w:t>
      </w:r>
      <w:r>
        <w:rPr>
          <w:szCs w:val="21"/>
        </w:rPr>
        <w:t>18</w:t>
      </w:r>
      <w:r>
        <w:rPr>
          <w:rFonts w:hint="eastAsia"/>
          <w:szCs w:val="21"/>
        </w:rPr>
        <w:t>）本基金资产总值不超过基金资产净值的</w:t>
      </w:r>
      <w:r>
        <w:rPr>
          <w:szCs w:val="21"/>
        </w:rPr>
        <w:t>140%</w:t>
      </w:r>
      <w:r>
        <w:rPr>
          <w:rFonts w:hint="eastAsia"/>
          <w:szCs w:val="21"/>
        </w:rPr>
        <w:t>；</w:t>
      </w:r>
    </w:p>
    <w:p w:rsidR="008711D3" w:rsidRDefault="004479D9">
      <w:pPr>
        <w:spacing w:line="360" w:lineRule="auto"/>
        <w:ind w:firstLineChars="200" w:firstLine="420"/>
        <w:rPr>
          <w:bCs/>
          <w:szCs w:val="21"/>
        </w:rPr>
      </w:pPr>
      <w:r>
        <w:rPr>
          <w:rFonts w:hint="eastAsia"/>
          <w:szCs w:val="21"/>
        </w:rPr>
        <w:t>（</w:t>
      </w:r>
      <w:r>
        <w:rPr>
          <w:szCs w:val="21"/>
        </w:rPr>
        <w:t>19</w:t>
      </w:r>
      <w:r>
        <w:rPr>
          <w:rFonts w:hint="eastAsia"/>
          <w:szCs w:val="21"/>
        </w:rPr>
        <w:t>）</w:t>
      </w:r>
      <w:r>
        <w:rPr>
          <w:rFonts w:hint="eastAsia"/>
          <w:bCs/>
          <w:szCs w:val="21"/>
        </w:rPr>
        <w:t>本基金参与融资的，每个交易日日终，本基金持有的融资买入股票与其他有价证券市值之和，不得超过基金资产净值的</w:t>
      </w:r>
      <w:r>
        <w:rPr>
          <w:rFonts w:hint="eastAsia"/>
          <w:bCs/>
          <w:szCs w:val="21"/>
        </w:rPr>
        <w:t>95%</w:t>
      </w:r>
      <w:r>
        <w:rPr>
          <w:rFonts w:hint="eastAsia"/>
          <w:bCs/>
          <w:szCs w:val="21"/>
        </w:rPr>
        <w:t>；</w:t>
      </w:r>
    </w:p>
    <w:p w:rsidR="008711D3" w:rsidRDefault="004479D9">
      <w:pPr>
        <w:spacing w:line="360" w:lineRule="auto"/>
        <w:ind w:firstLineChars="200" w:firstLine="420"/>
        <w:rPr>
          <w:bCs/>
          <w:szCs w:val="21"/>
        </w:rPr>
      </w:pPr>
      <w:r>
        <w:rPr>
          <w:rFonts w:ascii="宋体" w:hAnsi="宋体" w:hint="eastAsia"/>
          <w:bCs/>
          <w:szCs w:val="21"/>
        </w:rPr>
        <w:lastRenderedPageBreak/>
        <w:t>（20）本基金投资存托凭证的比例限制依照国内依法发行上市的股票执行，与国内依法发行上市的股票合并计算；</w:t>
      </w:r>
    </w:p>
    <w:p w:rsidR="008711D3" w:rsidRDefault="004479D9">
      <w:pPr>
        <w:spacing w:line="360" w:lineRule="auto"/>
        <w:ind w:firstLineChars="200" w:firstLine="420"/>
        <w:rPr>
          <w:szCs w:val="21"/>
        </w:rPr>
      </w:pPr>
      <w:r>
        <w:rPr>
          <w:bCs/>
          <w:szCs w:val="21"/>
        </w:rPr>
        <w:t>（</w:t>
      </w:r>
      <w:r>
        <w:rPr>
          <w:rFonts w:hint="eastAsia"/>
          <w:bCs/>
          <w:szCs w:val="21"/>
        </w:rPr>
        <w:t>2</w:t>
      </w:r>
      <w:r>
        <w:rPr>
          <w:bCs/>
          <w:szCs w:val="21"/>
        </w:rPr>
        <w:t>1</w:t>
      </w:r>
      <w:r>
        <w:rPr>
          <w:bCs/>
          <w:szCs w:val="21"/>
        </w:rPr>
        <w:t>）</w:t>
      </w:r>
      <w:r>
        <w:rPr>
          <w:rFonts w:hint="eastAsia"/>
          <w:szCs w:val="21"/>
        </w:rPr>
        <w:t>法律法规及中国证监会规定的和基金合同约定的其他投资限制。</w:t>
      </w:r>
    </w:p>
    <w:p w:rsidR="008711D3" w:rsidRDefault="004479D9">
      <w:pPr>
        <w:spacing w:line="360" w:lineRule="auto"/>
        <w:ind w:firstLineChars="200" w:firstLine="420"/>
        <w:rPr>
          <w:szCs w:val="21"/>
        </w:rPr>
      </w:pPr>
      <w:r>
        <w:rPr>
          <w:rFonts w:hint="eastAsia"/>
          <w:szCs w:val="21"/>
        </w:rPr>
        <w:t>除上述</w:t>
      </w:r>
      <w:r>
        <w:rPr>
          <w:bCs/>
          <w:szCs w:val="21"/>
        </w:rPr>
        <w:t>（</w:t>
      </w:r>
      <w:r>
        <w:rPr>
          <w:rFonts w:hint="eastAsia"/>
          <w:bCs/>
          <w:szCs w:val="21"/>
        </w:rPr>
        <w:t>2</w:t>
      </w:r>
      <w:r>
        <w:rPr>
          <w:bCs/>
          <w:szCs w:val="21"/>
        </w:rPr>
        <w:t>）、（</w:t>
      </w:r>
      <w:r>
        <w:rPr>
          <w:bCs/>
          <w:szCs w:val="21"/>
        </w:rPr>
        <w:t>9</w:t>
      </w:r>
      <w:r>
        <w:rPr>
          <w:bCs/>
          <w:szCs w:val="21"/>
        </w:rPr>
        <w:t>）、（</w:t>
      </w:r>
      <w:r>
        <w:rPr>
          <w:rFonts w:hint="eastAsia"/>
          <w:bCs/>
          <w:szCs w:val="21"/>
        </w:rPr>
        <w:t>1</w:t>
      </w:r>
      <w:r>
        <w:rPr>
          <w:bCs/>
          <w:szCs w:val="21"/>
        </w:rPr>
        <w:t>6</w:t>
      </w:r>
      <w:r>
        <w:rPr>
          <w:bCs/>
          <w:szCs w:val="21"/>
        </w:rPr>
        <w:t>）、（</w:t>
      </w:r>
      <w:r>
        <w:rPr>
          <w:rFonts w:hint="eastAsia"/>
          <w:bCs/>
          <w:szCs w:val="21"/>
        </w:rPr>
        <w:t>1</w:t>
      </w:r>
      <w:r>
        <w:rPr>
          <w:bCs/>
          <w:szCs w:val="21"/>
        </w:rPr>
        <w:t>7</w:t>
      </w:r>
      <w:r>
        <w:rPr>
          <w:bCs/>
          <w:szCs w:val="21"/>
        </w:rPr>
        <w:t>）</w:t>
      </w:r>
      <w:r>
        <w:rPr>
          <w:rFonts w:hint="eastAsia"/>
          <w:szCs w:val="21"/>
        </w:rPr>
        <w:t>情形之外，因</w:t>
      </w:r>
      <w:r>
        <w:rPr>
          <w:bCs/>
          <w:szCs w:val="21"/>
        </w:rPr>
        <w:t>证券</w:t>
      </w:r>
      <w:r>
        <w:rPr>
          <w:rFonts w:hint="eastAsia"/>
          <w:bCs/>
          <w:szCs w:val="21"/>
        </w:rPr>
        <w:t>、</w:t>
      </w:r>
      <w:r>
        <w:rPr>
          <w:bCs/>
          <w:szCs w:val="21"/>
        </w:rPr>
        <w:t>期货市场</w:t>
      </w:r>
      <w:r>
        <w:rPr>
          <w:rFonts w:hint="eastAsia"/>
          <w:szCs w:val="21"/>
        </w:rPr>
        <w:t>波动、证券发行人合并、基金规模变动等基金管理人之外的因素致使基金投资比例不符合上述规定投资比例的，基金管理人应当在</w:t>
      </w:r>
      <w:r>
        <w:rPr>
          <w:rFonts w:hint="eastAsia"/>
          <w:bCs/>
          <w:szCs w:val="21"/>
        </w:rPr>
        <w:t>所涉证券可交易之日起</w:t>
      </w:r>
      <w:r>
        <w:rPr>
          <w:szCs w:val="21"/>
        </w:rPr>
        <w:t>10</w:t>
      </w:r>
      <w:r>
        <w:rPr>
          <w:rFonts w:hint="eastAsia"/>
          <w:szCs w:val="21"/>
        </w:rPr>
        <w:t>个交易日内进行调整，但中国证监会规定的特殊情形除外。法律法规另有规定的，从其规定。</w:t>
      </w:r>
    </w:p>
    <w:p w:rsidR="008711D3" w:rsidRDefault="004479D9">
      <w:pPr>
        <w:spacing w:line="360" w:lineRule="auto"/>
        <w:ind w:firstLineChars="200" w:firstLine="420"/>
        <w:rPr>
          <w:szCs w:val="21"/>
        </w:rPr>
      </w:pPr>
      <w:r>
        <w:rPr>
          <w:rFonts w:hint="eastAsia"/>
          <w:szCs w:val="21"/>
        </w:rPr>
        <w:t>基金管理人应当自基金合同生效之日起</w:t>
      </w:r>
      <w:r>
        <w:rPr>
          <w:szCs w:val="21"/>
        </w:rPr>
        <w:t>6</w:t>
      </w:r>
      <w:r>
        <w:rPr>
          <w:rFonts w:hint="eastAsia"/>
          <w:szCs w:val="21"/>
        </w:rPr>
        <w:t>个月内使基金的投资组合比例符合基金合同的有关约定。在上述期间内，本基金的投资范围、投资策略应当符合基金合同的约定。基金托管人对基金投资的监督与检查自基金合同生效之日起开始。</w:t>
      </w:r>
    </w:p>
    <w:p w:rsidR="008711D3" w:rsidRDefault="004479D9">
      <w:pPr>
        <w:spacing w:line="360" w:lineRule="auto"/>
        <w:ind w:firstLineChars="200" w:firstLine="420"/>
        <w:rPr>
          <w:szCs w:val="21"/>
        </w:rPr>
      </w:pPr>
      <w:r>
        <w:rPr>
          <w:szCs w:val="21"/>
        </w:rPr>
        <w:t>2</w:t>
      </w:r>
      <w:r>
        <w:rPr>
          <w:rFonts w:hint="eastAsia"/>
          <w:szCs w:val="21"/>
        </w:rPr>
        <w:t>、禁止行为</w:t>
      </w:r>
    </w:p>
    <w:p w:rsidR="008711D3" w:rsidRDefault="004479D9">
      <w:pPr>
        <w:spacing w:line="360" w:lineRule="auto"/>
        <w:ind w:firstLineChars="200" w:firstLine="420"/>
        <w:rPr>
          <w:szCs w:val="21"/>
        </w:rPr>
      </w:pPr>
      <w:r>
        <w:rPr>
          <w:rFonts w:hint="eastAsia"/>
          <w:szCs w:val="21"/>
        </w:rPr>
        <w:t>为维护基金份额持有人的合法权益，基金财产不得用于下列投资或者活动：</w:t>
      </w:r>
    </w:p>
    <w:p w:rsidR="008711D3" w:rsidRDefault="004479D9">
      <w:pPr>
        <w:spacing w:line="360" w:lineRule="auto"/>
        <w:ind w:firstLineChars="200" w:firstLine="420"/>
        <w:rPr>
          <w:szCs w:val="21"/>
        </w:rPr>
      </w:pPr>
      <w:r>
        <w:rPr>
          <w:rFonts w:hint="eastAsia"/>
          <w:szCs w:val="21"/>
        </w:rPr>
        <w:t>（</w:t>
      </w:r>
      <w:r>
        <w:rPr>
          <w:szCs w:val="21"/>
        </w:rPr>
        <w:t>1</w:t>
      </w:r>
      <w:r>
        <w:rPr>
          <w:rFonts w:hint="eastAsia"/>
          <w:szCs w:val="21"/>
        </w:rPr>
        <w:t>）承销证券；</w:t>
      </w:r>
    </w:p>
    <w:p w:rsidR="008711D3" w:rsidRDefault="004479D9">
      <w:pPr>
        <w:spacing w:line="360" w:lineRule="auto"/>
        <w:ind w:firstLineChars="200" w:firstLine="420"/>
        <w:rPr>
          <w:szCs w:val="21"/>
        </w:rPr>
      </w:pPr>
      <w:r>
        <w:rPr>
          <w:rFonts w:hint="eastAsia"/>
          <w:szCs w:val="21"/>
        </w:rPr>
        <w:t>（</w:t>
      </w:r>
      <w:r>
        <w:rPr>
          <w:szCs w:val="21"/>
        </w:rPr>
        <w:t>2</w:t>
      </w:r>
      <w:r>
        <w:rPr>
          <w:rFonts w:hint="eastAsia"/>
          <w:szCs w:val="21"/>
        </w:rPr>
        <w:t>）违反规定向他人贷款或者提供担保；</w:t>
      </w:r>
    </w:p>
    <w:p w:rsidR="008711D3" w:rsidRDefault="004479D9">
      <w:pPr>
        <w:spacing w:line="360" w:lineRule="auto"/>
        <w:ind w:firstLineChars="200" w:firstLine="420"/>
        <w:rPr>
          <w:szCs w:val="21"/>
        </w:rPr>
      </w:pPr>
      <w:r>
        <w:rPr>
          <w:rFonts w:hint="eastAsia"/>
          <w:szCs w:val="21"/>
        </w:rPr>
        <w:t>（</w:t>
      </w:r>
      <w:r>
        <w:rPr>
          <w:szCs w:val="21"/>
        </w:rPr>
        <w:t>3</w:t>
      </w:r>
      <w:r>
        <w:rPr>
          <w:rFonts w:hint="eastAsia"/>
          <w:szCs w:val="21"/>
        </w:rPr>
        <w:t>）从事承担无限责任的投资；</w:t>
      </w:r>
    </w:p>
    <w:p w:rsidR="008711D3" w:rsidRDefault="004479D9">
      <w:pPr>
        <w:spacing w:line="360" w:lineRule="auto"/>
        <w:ind w:firstLineChars="200" w:firstLine="420"/>
        <w:rPr>
          <w:szCs w:val="21"/>
        </w:rPr>
      </w:pPr>
      <w:r>
        <w:rPr>
          <w:rFonts w:hint="eastAsia"/>
          <w:szCs w:val="21"/>
        </w:rPr>
        <w:t>（</w:t>
      </w:r>
      <w:r>
        <w:rPr>
          <w:szCs w:val="21"/>
        </w:rPr>
        <w:t>4</w:t>
      </w:r>
      <w:r>
        <w:rPr>
          <w:rFonts w:hint="eastAsia"/>
          <w:szCs w:val="21"/>
        </w:rPr>
        <w:t>）买卖其他基金份额，但是中国证监会另有规定的除外；</w:t>
      </w:r>
    </w:p>
    <w:p w:rsidR="008711D3" w:rsidRDefault="004479D9">
      <w:pPr>
        <w:spacing w:line="360" w:lineRule="auto"/>
        <w:ind w:firstLineChars="200" w:firstLine="420"/>
        <w:rPr>
          <w:szCs w:val="21"/>
        </w:rPr>
      </w:pPr>
      <w:r>
        <w:rPr>
          <w:rFonts w:hint="eastAsia"/>
          <w:szCs w:val="21"/>
        </w:rPr>
        <w:t>（</w:t>
      </w:r>
      <w:r>
        <w:rPr>
          <w:szCs w:val="21"/>
        </w:rPr>
        <w:t>5</w:t>
      </w:r>
      <w:r>
        <w:rPr>
          <w:rFonts w:hint="eastAsia"/>
          <w:szCs w:val="21"/>
        </w:rPr>
        <w:t>）向其基金管理人、基金托管人出资；</w:t>
      </w:r>
    </w:p>
    <w:p w:rsidR="008711D3" w:rsidRDefault="004479D9">
      <w:pPr>
        <w:spacing w:line="360" w:lineRule="auto"/>
        <w:ind w:firstLineChars="200" w:firstLine="420"/>
        <w:rPr>
          <w:szCs w:val="21"/>
        </w:rPr>
      </w:pPr>
      <w:r>
        <w:rPr>
          <w:rFonts w:hint="eastAsia"/>
          <w:szCs w:val="21"/>
        </w:rPr>
        <w:t>（</w:t>
      </w:r>
      <w:r>
        <w:rPr>
          <w:szCs w:val="21"/>
        </w:rPr>
        <w:t>6</w:t>
      </w:r>
      <w:r>
        <w:rPr>
          <w:rFonts w:hint="eastAsia"/>
          <w:szCs w:val="21"/>
        </w:rPr>
        <w:t>）从事内幕交易、操纵证券交易价格及其他不正当的证券交易活动；</w:t>
      </w:r>
    </w:p>
    <w:p w:rsidR="008711D3" w:rsidRDefault="004479D9">
      <w:pPr>
        <w:spacing w:line="360" w:lineRule="auto"/>
        <w:ind w:firstLineChars="200" w:firstLine="420"/>
        <w:rPr>
          <w:szCs w:val="21"/>
        </w:rPr>
      </w:pPr>
      <w:r>
        <w:rPr>
          <w:rFonts w:hint="eastAsia"/>
          <w:szCs w:val="21"/>
        </w:rPr>
        <w:t>（</w:t>
      </w:r>
      <w:r>
        <w:rPr>
          <w:szCs w:val="21"/>
        </w:rPr>
        <w:t>7</w:t>
      </w:r>
      <w:r>
        <w:rPr>
          <w:rFonts w:hint="eastAsia"/>
          <w:szCs w:val="21"/>
        </w:rPr>
        <w:t>）法律、行政法规和中国证监会规定禁止的其他活动。</w:t>
      </w:r>
    </w:p>
    <w:p w:rsidR="008711D3" w:rsidRDefault="004479D9">
      <w:pPr>
        <w:spacing w:line="360" w:lineRule="auto"/>
        <w:ind w:firstLineChars="200" w:firstLine="420"/>
        <w:rPr>
          <w:szCs w:val="21"/>
        </w:rPr>
      </w:pPr>
      <w:r>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rsidR="008711D3" w:rsidRDefault="004479D9">
      <w:pPr>
        <w:spacing w:line="360" w:lineRule="auto"/>
        <w:ind w:firstLineChars="200" w:firstLine="420"/>
        <w:rPr>
          <w:szCs w:val="21"/>
        </w:rPr>
      </w:pPr>
      <w:r>
        <w:rPr>
          <w:szCs w:val="21"/>
        </w:rPr>
        <w:t>3</w:t>
      </w:r>
      <w:r>
        <w:rPr>
          <w:rFonts w:hint="eastAsia"/>
          <w:szCs w:val="21"/>
        </w:rPr>
        <w:t>、法律法规或监管部门对基金合同所述投资比例、投资限制、组合限制、禁止行为等作出强制性调整的，本基金应当按照法律法规或监管部门的规定执行。</w:t>
      </w:r>
    </w:p>
    <w:p w:rsidR="008711D3" w:rsidRDefault="004479D9">
      <w:pPr>
        <w:spacing w:line="360" w:lineRule="auto"/>
        <w:ind w:firstLineChars="200" w:firstLine="422"/>
        <w:rPr>
          <w:b/>
          <w:bCs/>
          <w:szCs w:val="21"/>
        </w:rPr>
      </w:pPr>
      <w:r>
        <w:rPr>
          <w:rFonts w:hint="eastAsia"/>
          <w:b/>
          <w:szCs w:val="21"/>
        </w:rPr>
        <w:t>（五）业绩比较基准</w:t>
      </w:r>
    </w:p>
    <w:p w:rsidR="008711D3" w:rsidRDefault="004479D9">
      <w:pPr>
        <w:spacing w:line="360" w:lineRule="auto"/>
        <w:ind w:firstLineChars="200" w:firstLine="420"/>
        <w:rPr>
          <w:bCs/>
          <w:szCs w:val="21"/>
        </w:rPr>
      </w:pPr>
      <w:r>
        <w:rPr>
          <w:rFonts w:hint="eastAsia"/>
          <w:bCs/>
          <w:szCs w:val="21"/>
        </w:rPr>
        <w:t>沪深</w:t>
      </w:r>
      <w:r>
        <w:rPr>
          <w:rFonts w:hint="eastAsia"/>
          <w:bCs/>
          <w:szCs w:val="21"/>
        </w:rPr>
        <w:t>300</w:t>
      </w:r>
      <w:r>
        <w:rPr>
          <w:rFonts w:hint="eastAsia"/>
          <w:bCs/>
          <w:szCs w:val="21"/>
        </w:rPr>
        <w:t>指数收益率×</w:t>
      </w:r>
      <w:r>
        <w:rPr>
          <w:bCs/>
          <w:szCs w:val="21"/>
        </w:rPr>
        <w:t>60</w:t>
      </w:r>
      <w:r>
        <w:rPr>
          <w:rFonts w:hint="eastAsia"/>
          <w:bCs/>
          <w:szCs w:val="21"/>
        </w:rPr>
        <w:t>%+</w:t>
      </w:r>
      <w:r>
        <w:rPr>
          <w:rFonts w:hint="eastAsia"/>
          <w:bCs/>
          <w:szCs w:val="21"/>
        </w:rPr>
        <w:t>恒生指数收益率</w:t>
      </w:r>
      <w:r w:rsidR="004339AC">
        <w:rPr>
          <w:rFonts w:hint="eastAsia"/>
          <w:bCs/>
          <w:szCs w:val="21"/>
        </w:rPr>
        <w:t>（人民币计价）</w:t>
      </w:r>
      <w:r>
        <w:rPr>
          <w:rFonts w:hint="eastAsia"/>
          <w:bCs/>
          <w:szCs w:val="21"/>
        </w:rPr>
        <w:t>×</w:t>
      </w:r>
      <w:r>
        <w:rPr>
          <w:bCs/>
          <w:szCs w:val="21"/>
        </w:rPr>
        <w:t>30</w:t>
      </w:r>
      <w:r>
        <w:rPr>
          <w:rFonts w:hint="eastAsia"/>
          <w:bCs/>
          <w:szCs w:val="21"/>
        </w:rPr>
        <w:t>%+</w:t>
      </w:r>
      <w:r>
        <w:rPr>
          <w:rFonts w:hint="eastAsia"/>
          <w:bCs/>
          <w:szCs w:val="21"/>
        </w:rPr>
        <w:t>中债综合财富指数</w:t>
      </w:r>
      <w:r>
        <w:rPr>
          <w:rFonts w:hint="eastAsia"/>
          <w:bCs/>
          <w:szCs w:val="21"/>
        </w:rPr>
        <w:lastRenderedPageBreak/>
        <w:t>收益率×</w:t>
      </w:r>
      <w:r>
        <w:rPr>
          <w:bCs/>
          <w:szCs w:val="21"/>
        </w:rPr>
        <w:t>1</w:t>
      </w:r>
      <w:r>
        <w:rPr>
          <w:rFonts w:hint="eastAsia"/>
          <w:bCs/>
          <w:szCs w:val="21"/>
        </w:rPr>
        <w:t>0%</w:t>
      </w:r>
    </w:p>
    <w:p w:rsidR="008711D3" w:rsidRDefault="004479D9">
      <w:pPr>
        <w:spacing w:line="360" w:lineRule="auto"/>
        <w:ind w:firstLineChars="200" w:firstLine="420"/>
        <w:rPr>
          <w:bCs/>
          <w:szCs w:val="21"/>
        </w:rPr>
      </w:pPr>
      <w:r>
        <w:rPr>
          <w:rFonts w:hint="eastAsia"/>
          <w:bCs/>
          <w:szCs w:val="21"/>
        </w:rPr>
        <w:t>沪深</w:t>
      </w:r>
      <w:r>
        <w:rPr>
          <w:rFonts w:hint="eastAsia"/>
          <w:bCs/>
          <w:szCs w:val="21"/>
        </w:rPr>
        <w:t>300</w:t>
      </w:r>
      <w:r>
        <w:rPr>
          <w:rFonts w:hint="eastAsia"/>
          <w:bCs/>
          <w:szCs w:val="21"/>
        </w:rPr>
        <w:t>指数为中证指数有限公司开发的中国</w:t>
      </w:r>
      <w:r>
        <w:rPr>
          <w:rFonts w:hint="eastAsia"/>
          <w:bCs/>
          <w:szCs w:val="21"/>
        </w:rPr>
        <w:t>A</w:t>
      </w:r>
      <w:r>
        <w:rPr>
          <w:rFonts w:hint="eastAsia"/>
          <w:bCs/>
          <w:szCs w:val="21"/>
        </w:rPr>
        <w:t>股市场指数，沪深</w:t>
      </w:r>
      <w:r>
        <w:rPr>
          <w:rFonts w:hint="eastAsia"/>
          <w:bCs/>
          <w:szCs w:val="21"/>
        </w:rPr>
        <w:t>300</w:t>
      </w:r>
      <w:r>
        <w:rPr>
          <w:rFonts w:hint="eastAsia"/>
          <w:bCs/>
          <w:szCs w:val="21"/>
        </w:rPr>
        <w:t>指数由上海和深圳证券市场中市值大、流动性好的</w:t>
      </w:r>
      <w:r>
        <w:rPr>
          <w:rFonts w:hint="eastAsia"/>
          <w:bCs/>
          <w:szCs w:val="21"/>
        </w:rPr>
        <w:t>300</w:t>
      </w:r>
      <w:r>
        <w:rPr>
          <w:rFonts w:hint="eastAsia"/>
          <w:bCs/>
          <w:szCs w:val="21"/>
        </w:rPr>
        <w:t>只股票组成，综合反映中国</w:t>
      </w:r>
      <w:r>
        <w:rPr>
          <w:rFonts w:hint="eastAsia"/>
          <w:bCs/>
          <w:szCs w:val="21"/>
        </w:rPr>
        <w:t>A</w:t>
      </w:r>
      <w:r>
        <w:rPr>
          <w:rFonts w:hint="eastAsia"/>
          <w:bCs/>
          <w:szCs w:val="21"/>
        </w:rPr>
        <w:t>股市场上市股票价格的整体表现，是</w:t>
      </w:r>
      <w:r>
        <w:rPr>
          <w:rFonts w:hint="eastAsia"/>
          <w:bCs/>
          <w:szCs w:val="21"/>
        </w:rPr>
        <w:t>A</w:t>
      </w:r>
      <w:r>
        <w:rPr>
          <w:rFonts w:hint="eastAsia"/>
          <w:bCs/>
          <w:szCs w:val="21"/>
        </w:rPr>
        <w:t>股市场最具代表性的指数之一。恒生指数是由恒生指数服务有限公司编制，以香港股票市场中的</w:t>
      </w:r>
      <w:r>
        <w:rPr>
          <w:rFonts w:hint="eastAsia"/>
          <w:bCs/>
          <w:szCs w:val="21"/>
        </w:rPr>
        <w:t>50</w:t>
      </w:r>
      <w:r>
        <w:rPr>
          <w:rFonts w:hint="eastAsia"/>
          <w:bCs/>
          <w:szCs w:val="21"/>
        </w:rPr>
        <w:t>家上市股票为成分股样本，以其发行量为权数的加权平均股价指数，是反映香港股市价幅趋势最有影响的一种股价指数。中债综合财富指数为中央国债登记结算有限责任公司编制并发布。该指数的样本券包括了商业银行债券、央行票据、证券公司债、证券公司短期融资券、政策性银行债券、地方债、中期票据、记账式国债、国际机构债券、非银行金融机构债、短期融资券、中央债等债券，综合反映了债券市场整体价格和回报情况，该指数以债券托管量市值作为样本券的权重因子，每日计算债券市场整体表现，是目前市场上较为权威的反映债券市场整体走势的基准指数之一，适合作为本基金债券部分的业绩比较基准。</w:t>
      </w:r>
    </w:p>
    <w:p w:rsidR="008711D3" w:rsidRDefault="004479D9">
      <w:pPr>
        <w:spacing w:line="360" w:lineRule="auto"/>
        <w:ind w:firstLineChars="200" w:firstLine="420"/>
        <w:rPr>
          <w:bCs/>
          <w:szCs w:val="21"/>
        </w:rPr>
      </w:pPr>
      <w:r>
        <w:rPr>
          <w:rFonts w:hint="eastAsia"/>
          <w:bCs/>
          <w:szCs w:val="21"/>
        </w:rPr>
        <w:t>如果今后法律法规发生变化，或上述业绩比较基准涉及的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rsidR="008711D3" w:rsidRDefault="004479D9">
      <w:pPr>
        <w:spacing w:line="360" w:lineRule="auto"/>
        <w:ind w:firstLineChars="200" w:firstLine="420"/>
        <w:rPr>
          <w:szCs w:val="21"/>
        </w:rPr>
      </w:pPr>
      <w:r>
        <w:rPr>
          <w:rFonts w:hint="eastAsia"/>
          <w:bCs/>
          <w:szCs w:val="21"/>
        </w:rPr>
        <w:t>经基金管理人与基金托管人协商一致，在按照监管部门要求履行适当程序后本基金可以变更业绩比较基准并及时公告，无须召开基金份额持有人大会。</w:t>
      </w:r>
    </w:p>
    <w:p w:rsidR="008711D3" w:rsidRDefault="004479D9">
      <w:pPr>
        <w:spacing w:line="360" w:lineRule="auto"/>
        <w:ind w:firstLineChars="135" w:firstLine="285"/>
        <w:rPr>
          <w:b/>
          <w:szCs w:val="21"/>
        </w:rPr>
      </w:pPr>
      <w:r>
        <w:rPr>
          <w:rFonts w:hint="eastAsia"/>
          <w:b/>
          <w:szCs w:val="21"/>
        </w:rPr>
        <w:t>（六）风险收益特征</w:t>
      </w:r>
    </w:p>
    <w:p w:rsidR="008711D3" w:rsidRDefault="004479D9">
      <w:pPr>
        <w:spacing w:line="360" w:lineRule="auto"/>
        <w:ind w:firstLineChars="200" w:firstLine="420"/>
        <w:rPr>
          <w:bCs/>
          <w:szCs w:val="21"/>
        </w:rPr>
      </w:pPr>
      <w:r>
        <w:rPr>
          <w:rFonts w:hint="eastAsia"/>
          <w:bCs/>
          <w:szCs w:val="21"/>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p>
    <w:p w:rsidR="008711D3" w:rsidRDefault="004479D9">
      <w:pPr>
        <w:spacing w:line="360" w:lineRule="auto"/>
        <w:ind w:firstLineChars="200" w:firstLine="422"/>
        <w:rPr>
          <w:b/>
          <w:szCs w:val="21"/>
        </w:rPr>
      </w:pPr>
      <w:r>
        <w:rPr>
          <w:rFonts w:hint="eastAsia"/>
          <w:b/>
          <w:szCs w:val="21"/>
        </w:rPr>
        <w:t>（七）基金管理人代表基金行使股东或债权人权利的处理原则及方法</w:t>
      </w:r>
    </w:p>
    <w:p w:rsidR="008711D3" w:rsidRDefault="004479D9">
      <w:pPr>
        <w:spacing w:line="360" w:lineRule="auto"/>
        <w:ind w:firstLineChars="200" w:firstLine="420"/>
        <w:rPr>
          <w:szCs w:val="21"/>
        </w:rPr>
      </w:pPr>
      <w:r>
        <w:rPr>
          <w:szCs w:val="21"/>
        </w:rPr>
        <w:t>1</w:t>
      </w:r>
      <w:r>
        <w:rPr>
          <w:rFonts w:hint="eastAsia"/>
          <w:szCs w:val="21"/>
        </w:rPr>
        <w:t>、基金管理人按照国家有关规定代表基金独立行使股东或债权人权利，保护基金份额持有人的利益；</w:t>
      </w:r>
      <w:r>
        <w:rPr>
          <w:szCs w:val="21"/>
        </w:rPr>
        <w:t xml:space="preserve"> </w:t>
      </w:r>
    </w:p>
    <w:p w:rsidR="008711D3" w:rsidRDefault="004479D9">
      <w:pPr>
        <w:spacing w:line="360" w:lineRule="auto"/>
        <w:ind w:firstLineChars="200" w:firstLine="420"/>
        <w:rPr>
          <w:szCs w:val="21"/>
        </w:rPr>
      </w:pPr>
      <w:r>
        <w:rPr>
          <w:szCs w:val="21"/>
        </w:rPr>
        <w:t>2</w:t>
      </w:r>
      <w:r>
        <w:rPr>
          <w:rFonts w:hint="eastAsia"/>
          <w:szCs w:val="21"/>
        </w:rPr>
        <w:t>、不谋求对上市公司的控股；</w:t>
      </w:r>
      <w:r>
        <w:rPr>
          <w:szCs w:val="21"/>
        </w:rPr>
        <w:t xml:space="preserve"> </w:t>
      </w:r>
    </w:p>
    <w:p w:rsidR="008711D3" w:rsidRDefault="004479D9">
      <w:pPr>
        <w:spacing w:line="360" w:lineRule="auto"/>
        <w:ind w:firstLineChars="200" w:firstLine="420"/>
        <w:rPr>
          <w:szCs w:val="21"/>
        </w:rPr>
      </w:pPr>
      <w:r>
        <w:rPr>
          <w:szCs w:val="21"/>
        </w:rPr>
        <w:t>3</w:t>
      </w:r>
      <w:r>
        <w:rPr>
          <w:rFonts w:hint="eastAsia"/>
          <w:szCs w:val="21"/>
        </w:rPr>
        <w:t>、有利于基金财产的安全与增值；</w:t>
      </w:r>
      <w:r>
        <w:rPr>
          <w:szCs w:val="21"/>
        </w:rPr>
        <w:t xml:space="preserve"> </w:t>
      </w:r>
    </w:p>
    <w:p w:rsidR="008711D3" w:rsidRDefault="004479D9">
      <w:pPr>
        <w:spacing w:line="360" w:lineRule="auto"/>
        <w:ind w:firstLineChars="200" w:firstLine="420"/>
        <w:rPr>
          <w:szCs w:val="21"/>
        </w:rPr>
      </w:pPr>
      <w:r>
        <w:rPr>
          <w:szCs w:val="21"/>
        </w:rPr>
        <w:t>4</w:t>
      </w:r>
      <w:r>
        <w:rPr>
          <w:rFonts w:hint="eastAsia"/>
          <w:szCs w:val="21"/>
        </w:rPr>
        <w:t>、不通过关联交易为自身、雇员、授权代理人或任何存在利害关系的第三人牟取任何不当利益。</w:t>
      </w:r>
    </w:p>
    <w:p w:rsidR="008711D3" w:rsidRDefault="004479D9">
      <w:pPr>
        <w:spacing w:line="360" w:lineRule="auto"/>
        <w:ind w:firstLineChars="200" w:firstLine="422"/>
        <w:rPr>
          <w:b/>
          <w:bCs/>
          <w:szCs w:val="21"/>
        </w:rPr>
      </w:pPr>
      <w:r>
        <w:rPr>
          <w:rFonts w:hint="eastAsia"/>
          <w:b/>
          <w:bCs/>
          <w:szCs w:val="21"/>
        </w:rPr>
        <w:t>（八）</w:t>
      </w:r>
      <w:r>
        <w:rPr>
          <w:rFonts w:hint="eastAsia"/>
          <w:b/>
          <w:bCs/>
          <w:szCs w:val="21"/>
        </w:rPr>
        <w:t xml:space="preserve"> </w:t>
      </w:r>
      <w:r>
        <w:rPr>
          <w:rFonts w:hint="eastAsia"/>
          <w:b/>
          <w:bCs/>
          <w:szCs w:val="21"/>
        </w:rPr>
        <w:t>侧袋机制的实施和投资运作安排</w:t>
      </w:r>
    </w:p>
    <w:p w:rsidR="008711D3" w:rsidRDefault="004479D9">
      <w:pPr>
        <w:spacing w:line="360" w:lineRule="auto"/>
        <w:ind w:firstLineChars="200" w:firstLine="420"/>
        <w:rPr>
          <w:bCs/>
          <w:szCs w:val="21"/>
        </w:rPr>
      </w:pPr>
      <w:r>
        <w:rPr>
          <w:rFonts w:hint="eastAsia"/>
          <w:bCs/>
          <w:szCs w:val="21"/>
        </w:rPr>
        <w:lastRenderedPageBreak/>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8711D3" w:rsidRDefault="004479D9">
      <w:pPr>
        <w:spacing w:line="360" w:lineRule="auto"/>
        <w:ind w:firstLineChars="200" w:firstLine="420"/>
        <w:rPr>
          <w:bCs/>
          <w:szCs w:val="21"/>
        </w:rPr>
      </w:pPr>
      <w:r>
        <w:rPr>
          <w:rFonts w:hint="eastAsia"/>
          <w:bCs/>
          <w:szCs w:val="21"/>
        </w:rPr>
        <w:t>侧袋机制实施期间，本部分约定的投资组合比例、投资策略、组合限制、业绩比较基准、风险收益特征等约定仅适用于主袋账户。</w:t>
      </w:r>
    </w:p>
    <w:p w:rsidR="008711D3" w:rsidRDefault="004479D9">
      <w:pPr>
        <w:spacing w:line="360" w:lineRule="auto"/>
        <w:ind w:firstLineChars="200" w:firstLine="420"/>
        <w:rPr>
          <w:bCs/>
          <w:szCs w:val="21"/>
        </w:rPr>
      </w:pPr>
      <w:r>
        <w:rPr>
          <w:rFonts w:hint="eastAsia"/>
          <w:bCs/>
          <w:szCs w:val="21"/>
        </w:rPr>
        <w:t>侧袋账户的实施条件、实施程序、运作安排、投资安排、特定资产的处置变现和支付等对投资者权益有重大影响的事项详见招募说明书“侧袋机制”部分的规定。</w:t>
      </w:r>
    </w:p>
    <w:p w:rsidR="008711D3" w:rsidRDefault="008711D3">
      <w:pPr>
        <w:spacing w:line="360" w:lineRule="auto"/>
        <w:ind w:firstLineChars="200" w:firstLine="420"/>
        <w:rPr>
          <w:bCs/>
          <w:szCs w:val="21"/>
        </w:rPr>
      </w:pPr>
    </w:p>
    <w:p w:rsidR="008711D3" w:rsidRDefault="008711D3">
      <w:pPr>
        <w:spacing w:line="360" w:lineRule="auto"/>
        <w:ind w:firstLineChars="200" w:firstLine="420"/>
        <w:rPr>
          <w:bCs/>
          <w:szCs w:val="21"/>
        </w:rPr>
      </w:pPr>
    </w:p>
    <w:p w:rsidR="008711D3" w:rsidRDefault="008711D3">
      <w:pPr>
        <w:spacing w:line="360" w:lineRule="auto"/>
        <w:ind w:firstLineChars="200" w:firstLine="420"/>
        <w:rPr>
          <w:bCs/>
          <w:szCs w:val="21"/>
        </w:rPr>
      </w:pPr>
    </w:p>
    <w:p w:rsidR="008711D3" w:rsidRDefault="008711D3">
      <w:pPr>
        <w:spacing w:line="360" w:lineRule="auto"/>
        <w:ind w:firstLineChars="200" w:firstLine="420"/>
        <w:rPr>
          <w:bCs/>
          <w:szCs w:val="21"/>
        </w:rPr>
      </w:pPr>
    </w:p>
    <w:p w:rsidR="008711D3" w:rsidRDefault="008711D3">
      <w:pPr>
        <w:spacing w:line="360" w:lineRule="auto"/>
        <w:ind w:firstLineChars="200" w:firstLine="420"/>
        <w:rPr>
          <w:bCs/>
          <w:szCs w:val="21"/>
        </w:rPr>
      </w:pPr>
    </w:p>
    <w:p w:rsidR="008711D3" w:rsidRDefault="008711D3">
      <w:pPr>
        <w:spacing w:line="360" w:lineRule="auto"/>
        <w:ind w:firstLineChars="200" w:firstLine="420"/>
        <w:rPr>
          <w:bCs/>
          <w:szCs w:val="21"/>
        </w:rPr>
      </w:pPr>
    </w:p>
    <w:p w:rsidR="008711D3" w:rsidRDefault="008711D3">
      <w:pPr>
        <w:spacing w:line="360" w:lineRule="auto"/>
        <w:ind w:firstLineChars="200" w:firstLine="420"/>
        <w:rPr>
          <w:bCs/>
          <w:szCs w:val="21"/>
        </w:rPr>
      </w:pPr>
    </w:p>
    <w:p w:rsidR="008711D3" w:rsidRDefault="004479D9">
      <w:pPr>
        <w:spacing w:before="340" w:after="330"/>
        <w:jc w:val="center"/>
        <w:rPr>
          <w:rFonts w:hAnsi="宋体"/>
          <w:bCs/>
          <w:kern w:val="44"/>
          <w:szCs w:val="21"/>
        </w:rPr>
      </w:pPr>
      <w:r>
        <w:rPr>
          <w:rFonts w:hAnsi="宋体" w:hint="eastAsia"/>
          <w:bCs/>
          <w:kern w:val="44"/>
          <w:szCs w:val="21"/>
        </w:rPr>
        <w:br w:type="page"/>
      </w:r>
    </w:p>
    <w:p w:rsidR="008711D3" w:rsidRDefault="004479D9">
      <w:pPr>
        <w:pStyle w:val="1"/>
        <w:spacing w:before="340" w:after="330"/>
        <w:jc w:val="center"/>
        <w:rPr>
          <w:rFonts w:hAnsi="宋体"/>
          <w:bCs/>
          <w:kern w:val="44"/>
          <w:szCs w:val="21"/>
        </w:rPr>
      </w:pPr>
      <w:bookmarkStart w:id="83" w:name="_Toc71748068"/>
      <w:r>
        <w:rPr>
          <w:rFonts w:hAnsi="宋体" w:hint="eastAsia"/>
          <w:bCs/>
          <w:color w:val="auto"/>
          <w:kern w:val="44"/>
          <w:sz w:val="21"/>
          <w:szCs w:val="21"/>
        </w:rPr>
        <w:lastRenderedPageBreak/>
        <w:t>十、基金的财产</w:t>
      </w:r>
      <w:bookmarkEnd w:id="80"/>
      <w:bookmarkEnd w:id="81"/>
      <w:bookmarkEnd w:id="82"/>
      <w:bookmarkEnd w:id="83"/>
    </w:p>
    <w:p w:rsidR="008711D3" w:rsidRDefault="008711D3">
      <w:pPr>
        <w:spacing w:line="360" w:lineRule="auto"/>
        <w:rPr>
          <w:szCs w:val="21"/>
        </w:rPr>
      </w:pPr>
      <w:bookmarkStart w:id="84" w:name="_Toc329187121"/>
      <w:bookmarkStart w:id="85" w:name="_Toc334542960"/>
      <w:bookmarkStart w:id="86" w:name="_Toc334542643"/>
    </w:p>
    <w:p w:rsidR="008711D3" w:rsidRDefault="004479D9">
      <w:pPr>
        <w:spacing w:line="360" w:lineRule="auto"/>
        <w:ind w:firstLineChars="200" w:firstLine="422"/>
        <w:rPr>
          <w:b/>
          <w:szCs w:val="21"/>
        </w:rPr>
      </w:pPr>
      <w:r>
        <w:rPr>
          <w:rFonts w:hint="eastAsia"/>
          <w:b/>
          <w:szCs w:val="21"/>
        </w:rPr>
        <w:t>（一）基金资产总值</w:t>
      </w:r>
    </w:p>
    <w:p w:rsidR="008711D3" w:rsidRDefault="004479D9">
      <w:pPr>
        <w:spacing w:line="360" w:lineRule="auto"/>
        <w:ind w:firstLineChars="200" w:firstLine="420"/>
        <w:rPr>
          <w:szCs w:val="21"/>
        </w:rPr>
      </w:pPr>
      <w:r>
        <w:rPr>
          <w:rFonts w:hint="eastAsia"/>
          <w:szCs w:val="21"/>
        </w:rPr>
        <w:t>基金资产总值是指基金持有的各类证券及票据价值、银行存款本息和基金应收的申购款以及其他投资所形成的价值总和。</w:t>
      </w:r>
    </w:p>
    <w:p w:rsidR="008711D3" w:rsidRDefault="004479D9">
      <w:pPr>
        <w:spacing w:line="360" w:lineRule="auto"/>
        <w:ind w:firstLineChars="200" w:firstLine="422"/>
        <w:rPr>
          <w:b/>
          <w:szCs w:val="21"/>
        </w:rPr>
      </w:pPr>
      <w:r>
        <w:rPr>
          <w:rFonts w:hint="eastAsia"/>
          <w:b/>
          <w:szCs w:val="21"/>
        </w:rPr>
        <w:t>（二）基金资产净值</w:t>
      </w:r>
    </w:p>
    <w:p w:rsidR="008711D3" w:rsidRDefault="004479D9">
      <w:pPr>
        <w:spacing w:line="360" w:lineRule="auto"/>
        <w:ind w:firstLineChars="200" w:firstLine="420"/>
        <w:rPr>
          <w:szCs w:val="21"/>
        </w:rPr>
      </w:pPr>
      <w:r>
        <w:rPr>
          <w:rFonts w:hint="eastAsia"/>
          <w:szCs w:val="21"/>
        </w:rPr>
        <w:t>基金资产净值是指基金资产总值减去基金负债后的价值。</w:t>
      </w:r>
    </w:p>
    <w:p w:rsidR="008711D3" w:rsidRDefault="004479D9">
      <w:pPr>
        <w:spacing w:line="360" w:lineRule="auto"/>
        <w:ind w:firstLineChars="200" w:firstLine="422"/>
        <w:rPr>
          <w:b/>
          <w:szCs w:val="21"/>
        </w:rPr>
      </w:pPr>
      <w:r>
        <w:rPr>
          <w:rFonts w:hint="eastAsia"/>
          <w:b/>
          <w:szCs w:val="21"/>
        </w:rPr>
        <w:t>（三）基金财产的账户</w:t>
      </w:r>
    </w:p>
    <w:p w:rsidR="008711D3" w:rsidRDefault="004479D9">
      <w:pPr>
        <w:spacing w:line="360" w:lineRule="auto"/>
        <w:ind w:firstLineChars="200" w:firstLine="420"/>
        <w:rPr>
          <w:szCs w:val="21"/>
        </w:rPr>
      </w:pPr>
      <w:r>
        <w:rPr>
          <w:rFonts w:hint="eastAsia"/>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8711D3" w:rsidRDefault="004479D9">
      <w:pPr>
        <w:spacing w:line="360" w:lineRule="auto"/>
        <w:ind w:firstLineChars="200" w:firstLine="422"/>
        <w:rPr>
          <w:b/>
          <w:szCs w:val="21"/>
        </w:rPr>
      </w:pPr>
      <w:r>
        <w:rPr>
          <w:rFonts w:hint="eastAsia"/>
          <w:b/>
          <w:szCs w:val="21"/>
        </w:rPr>
        <w:t>（四）基金财产的保管和处分</w:t>
      </w:r>
    </w:p>
    <w:p w:rsidR="008711D3" w:rsidRDefault="004479D9">
      <w:pPr>
        <w:spacing w:line="360" w:lineRule="auto"/>
        <w:ind w:firstLineChars="200" w:firstLine="420"/>
        <w:rPr>
          <w:szCs w:val="21"/>
        </w:rPr>
      </w:pPr>
      <w:r>
        <w:rPr>
          <w:rFonts w:hint="eastAsia"/>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8711D3" w:rsidRDefault="004479D9">
      <w:pPr>
        <w:spacing w:line="360" w:lineRule="auto"/>
        <w:ind w:firstLineChars="200" w:firstLine="420"/>
        <w:rPr>
          <w:szCs w:val="21"/>
        </w:rPr>
      </w:pPr>
      <w:r>
        <w:rPr>
          <w:rFonts w:hint="eastAsia"/>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8711D3" w:rsidRDefault="008711D3">
      <w:pPr>
        <w:spacing w:line="360" w:lineRule="auto"/>
        <w:ind w:firstLineChars="200" w:firstLine="420"/>
        <w:rPr>
          <w:bCs/>
          <w:szCs w:val="21"/>
        </w:rPr>
      </w:pPr>
    </w:p>
    <w:p w:rsidR="008711D3" w:rsidRDefault="008711D3">
      <w:pPr>
        <w:spacing w:line="360" w:lineRule="auto"/>
        <w:ind w:firstLineChars="200" w:firstLine="420"/>
        <w:rPr>
          <w:bCs/>
          <w:szCs w:val="21"/>
        </w:rPr>
      </w:pPr>
    </w:p>
    <w:p w:rsidR="008711D3" w:rsidRDefault="008711D3">
      <w:pPr>
        <w:spacing w:line="360" w:lineRule="auto"/>
        <w:ind w:firstLineChars="200" w:firstLine="420"/>
        <w:rPr>
          <w:bCs/>
          <w:szCs w:val="21"/>
        </w:rPr>
      </w:pPr>
    </w:p>
    <w:p w:rsidR="008711D3" w:rsidRDefault="004479D9">
      <w:pPr>
        <w:widowControl/>
        <w:jc w:val="left"/>
        <w:rPr>
          <w:rFonts w:ascii="宋体" w:hAnsi="宋体"/>
          <w:b/>
          <w:bCs/>
          <w:kern w:val="44"/>
          <w:szCs w:val="21"/>
          <w:lang w:val="zh-CN"/>
        </w:rPr>
      </w:pPr>
      <w:bookmarkStart w:id="87" w:name="_Hlt88900062"/>
      <w:bookmarkStart w:id="88" w:name="_Hlt88841837"/>
      <w:bookmarkEnd w:id="87"/>
      <w:bookmarkEnd w:id="88"/>
      <w:r>
        <w:rPr>
          <w:rFonts w:hAnsi="宋体"/>
          <w:bCs/>
          <w:kern w:val="44"/>
          <w:szCs w:val="21"/>
        </w:rPr>
        <w:br w:type="page"/>
      </w:r>
    </w:p>
    <w:p w:rsidR="008711D3" w:rsidRDefault="004479D9">
      <w:pPr>
        <w:pStyle w:val="1"/>
        <w:spacing w:before="340" w:after="330"/>
        <w:jc w:val="center"/>
        <w:rPr>
          <w:rFonts w:hAnsi="宋体"/>
          <w:bCs/>
          <w:color w:val="auto"/>
          <w:kern w:val="44"/>
          <w:sz w:val="21"/>
          <w:szCs w:val="21"/>
        </w:rPr>
      </w:pPr>
      <w:bookmarkStart w:id="89" w:name="_Toc71748069"/>
      <w:r>
        <w:rPr>
          <w:rFonts w:hAnsi="宋体" w:hint="eastAsia"/>
          <w:bCs/>
          <w:color w:val="auto"/>
          <w:kern w:val="44"/>
          <w:sz w:val="21"/>
          <w:szCs w:val="21"/>
        </w:rPr>
        <w:lastRenderedPageBreak/>
        <w:t>十一、基金资产的估值</w:t>
      </w:r>
      <w:bookmarkEnd w:id="84"/>
      <w:bookmarkEnd w:id="85"/>
      <w:bookmarkEnd w:id="86"/>
      <w:bookmarkEnd w:id="89"/>
    </w:p>
    <w:p w:rsidR="008711D3" w:rsidRDefault="004479D9">
      <w:pPr>
        <w:spacing w:line="360" w:lineRule="auto"/>
        <w:ind w:firstLineChars="200" w:firstLine="422"/>
        <w:rPr>
          <w:b/>
          <w:szCs w:val="21"/>
        </w:rPr>
      </w:pPr>
      <w:bookmarkStart w:id="90" w:name="_Toc334542644"/>
      <w:bookmarkStart w:id="91" w:name="_Toc334542961"/>
      <w:bookmarkStart w:id="92" w:name="_Toc329187122"/>
      <w:r>
        <w:rPr>
          <w:rFonts w:hint="eastAsia"/>
          <w:b/>
          <w:szCs w:val="21"/>
        </w:rPr>
        <w:t>（一）估值日</w:t>
      </w:r>
    </w:p>
    <w:p w:rsidR="008711D3" w:rsidRDefault="004479D9">
      <w:pPr>
        <w:spacing w:line="360" w:lineRule="auto"/>
        <w:ind w:firstLineChars="200" w:firstLine="420"/>
        <w:rPr>
          <w:szCs w:val="21"/>
        </w:rPr>
      </w:pPr>
      <w:r>
        <w:rPr>
          <w:rFonts w:hint="eastAsia"/>
          <w:szCs w:val="21"/>
        </w:rPr>
        <w:t>本基金的估值日为本基金相关的证券交易场所的交易日以及国家法律法规规定需要对外披露基金净值的非交易日。</w:t>
      </w:r>
    </w:p>
    <w:p w:rsidR="008711D3" w:rsidRDefault="004479D9">
      <w:pPr>
        <w:spacing w:line="360" w:lineRule="auto"/>
        <w:ind w:firstLineChars="200" w:firstLine="422"/>
        <w:rPr>
          <w:b/>
          <w:szCs w:val="21"/>
        </w:rPr>
      </w:pPr>
      <w:r>
        <w:rPr>
          <w:rFonts w:hint="eastAsia"/>
          <w:b/>
          <w:szCs w:val="21"/>
        </w:rPr>
        <w:t>（二）估值对象</w:t>
      </w:r>
    </w:p>
    <w:p w:rsidR="008711D3" w:rsidRDefault="004479D9">
      <w:pPr>
        <w:spacing w:line="360" w:lineRule="auto"/>
        <w:ind w:firstLineChars="200" w:firstLine="420"/>
        <w:rPr>
          <w:szCs w:val="21"/>
        </w:rPr>
      </w:pPr>
      <w:r>
        <w:rPr>
          <w:rFonts w:hint="eastAsia"/>
          <w:szCs w:val="21"/>
        </w:rPr>
        <w:t>基金所拥有的股票、债券和银行存款本息、应收款项、</w:t>
      </w:r>
      <w:r>
        <w:rPr>
          <w:rFonts w:hint="eastAsia"/>
          <w:bCs/>
          <w:szCs w:val="21"/>
        </w:rPr>
        <w:t>股指期货合约、国债期货合约、股票期权合约、</w:t>
      </w:r>
      <w:r>
        <w:rPr>
          <w:rFonts w:hint="eastAsia"/>
          <w:szCs w:val="21"/>
        </w:rPr>
        <w:t>其它投资等资产及负债。</w:t>
      </w:r>
    </w:p>
    <w:p w:rsidR="008711D3" w:rsidRDefault="004479D9">
      <w:pPr>
        <w:spacing w:line="360" w:lineRule="auto"/>
        <w:ind w:firstLineChars="200" w:firstLine="422"/>
        <w:rPr>
          <w:b/>
          <w:szCs w:val="21"/>
        </w:rPr>
      </w:pPr>
      <w:r>
        <w:rPr>
          <w:rFonts w:hint="eastAsia"/>
          <w:b/>
          <w:bCs/>
          <w:szCs w:val="21"/>
        </w:rPr>
        <w:t>（三）</w:t>
      </w:r>
      <w:r>
        <w:rPr>
          <w:rFonts w:hint="eastAsia"/>
          <w:b/>
          <w:szCs w:val="21"/>
        </w:rPr>
        <w:t>估值原则</w:t>
      </w:r>
    </w:p>
    <w:p w:rsidR="008711D3" w:rsidRDefault="004479D9">
      <w:pPr>
        <w:spacing w:line="360" w:lineRule="auto"/>
        <w:rPr>
          <w:szCs w:val="21"/>
        </w:rPr>
      </w:pPr>
      <w:r>
        <w:rPr>
          <w:rFonts w:hint="eastAsia"/>
          <w:szCs w:val="21"/>
        </w:rPr>
        <w:t xml:space="preserve">　　基金管理人在确定相关金融资产和金融负债的公允价值时，应符合《企业会计准则》、监管部门有关规定。</w:t>
      </w:r>
    </w:p>
    <w:p w:rsidR="008711D3" w:rsidRDefault="004479D9">
      <w:pPr>
        <w:spacing w:line="360" w:lineRule="auto"/>
        <w:ind w:firstLineChars="200" w:firstLine="420"/>
        <w:rPr>
          <w:szCs w:val="21"/>
        </w:rPr>
      </w:pPr>
      <w:r>
        <w:rPr>
          <w:rFonts w:hint="eastAsia"/>
          <w:bCs/>
          <w:szCs w:val="21"/>
        </w:rPr>
        <w:t>1</w:t>
      </w:r>
      <w:r>
        <w:rPr>
          <w:rFonts w:hint="eastAsia"/>
          <w:bCs/>
          <w:szCs w:val="21"/>
        </w:rPr>
        <w:t>、</w:t>
      </w:r>
      <w:r>
        <w:rPr>
          <w:rFonts w:hint="eastAsia"/>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8711D3" w:rsidRDefault="004479D9">
      <w:pPr>
        <w:spacing w:line="360" w:lineRule="auto"/>
        <w:ind w:firstLineChars="200" w:firstLine="420"/>
        <w:rPr>
          <w:szCs w:val="21"/>
        </w:rPr>
      </w:pPr>
      <w:r>
        <w:rPr>
          <w:rFonts w:hint="eastAsia"/>
          <w:szCs w:val="21"/>
        </w:rPr>
        <w:t>与上述投资品种</w:t>
      </w:r>
      <w:r>
        <w:rPr>
          <w:rFonts w:hint="eastAsia"/>
          <w:bCs/>
          <w:szCs w:val="21"/>
        </w:rPr>
        <w:t>相同</w:t>
      </w:r>
      <w:r>
        <w:rPr>
          <w:rFonts w:hint="eastAsia"/>
          <w:szCs w:val="21"/>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8711D3" w:rsidRDefault="004479D9">
      <w:pPr>
        <w:spacing w:line="360" w:lineRule="auto"/>
        <w:ind w:firstLineChars="200" w:firstLine="420"/>
        <w:rPr>
          <w:szCs w:val="21"/>
        </w:rPr>
      </w:pPr>
      <w:r>
        <w:rPr>
          <w:rFonts w:hint="eastAsia"/>
          <w:bCs/>
          <w:szCs w:val="21"/>
        </w:rPr>
        <w:t>2</w:t>
      </w:r>
      <w:r>
        <w:rPr>
          <w:rFonts w:hint="eastAsia"/>
          <w:bCs/>
          <w:szCs w:val="21"/>
        </w:rPr>
        <w:t>、</w:t>
      </w:r>
      <w:r>
        <w:rPr>
          <w:rFonts w:hint="eastAsia"/>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8711D3" w:rsidRDefault="004479D9">
      <w:pPr>
        <w:spacing w:line="360" w:lineRule="auto"/>
        <w:ind w:firstLineChars="200" w:firstLine="420"/>
        <w:rPr>
          <w:szCs w:val="21"/>
        </w:rPr>
      </w:pPr>
      <w:r>
        <w:rPr>
          <w:rFonts w:hint="eastAsia"/>
          <w:bCs/>
          <w:szCs w:val="21"/>
        </w:rPr>
        <w:t>3</w:t>
      </w:r>
      <w:r>
        <w:rPr>
          <w:rFonts w:hint="eastAsia"/>
          <w:bCs/>
          <w:szCs w:val="21"/>
        </w:rPr>
        <w:t>、</w:t>
      </w:r>
      <w:r>
        <w:rPr>
          <w:rFonts w:hint="eastAsia"/>
          <w:szCs w:val="21"/>
        </w:rPr>
        <w:t>如经济环境发生重大变化或证券发行人发生影响证券价格的重大事件，使潜在估值调整对前一估值日的基金资产净值的影响在</w:t>
      </w:r>
      <w:r>
        <w:rPr>
          <w:szCs w:val="21"/>
        </w:rPr>
        <w:t>0.25%</w:t>
      </w:r>
      <w:r>
        <w:rPr>
          <w:rFonts w:hint="eastAsia"/>
          <w:szCs w:val="21"/>
        </w:rPr>
        <w:t>以上的，应对估值进行调整并确定公允价值。</w:t>
      </w:r>
    </w:p>
    <w:p w:rsidR="008711D3" w:rsidRDefault="004479D9">
      <w:pPr>
        <w:spacing w:line="360" w:lineRule="auto"/>
        <w:ind w:firstLineChars="200" w:firstLine="422"/>
        <w:rPr>
          <w:b/>
          <w:szCs w:val="21"/>
        </w:rPr>
      </w:pPr>
      <w:r>
        <w:rPr>
          <w:rFonts w:hint="eastAsia"/>
          <w:b/>
          <w:szCs w:val="21"/>
        </w:rPr>
        <w:t>（四）估值方法</w:t>
      </w:r>
    </w:p>
    <w:p w:rsidR="008711D3" w:rsidRDefault="004479D9">
      <w:pPr>
        <w:spacing w:line="360" w:lineRule="auto"/>
        <w:ind w:firstLineChars="200" w:firstLine="420"/>
        <w:rPr>
          <w:szCs w:val="21"/>
        </w:rPr>
      </w:pPr>
      <w:r>
        <w:rPr>
          <w:szCs w:val="21"/>
        </w:rPr>
        <w:t>1</w:t>
      </w:r>
      <w:r>
        <w:rPr>
          <w:rFonts w:hint="eastAsia"/>
          <w:szCs w:val="21"/>
        </w:rPr>
        <w:t>、证券交易所上市的有价证券的估值</w:t>
      </w:r>
    </w:p>
    <w:p w:rsidR="008711D3" w:rsidRDefault="004479D9">
      <w:pPr>
        <w:spacing w:line="360" w:lineRule="auto"/>
        <w:ind w:firstLineChars="200" w:firstLine="420"/>
        <w:rPr>
          <w:szCs w:val="21"/>
        </w:rPr>
      </w:pPr>
      <w:r>
        <w:rPr>
          <w:rFonts w:hint="eastAsia"/>
          <w:szCs w:val="21"/>
        </w:rPr>
        <w:t>（</w:t>
      </w:r>
      <w:r>
        <w:rPr>
          <w:szCs w:val="21"/>
        </w:rPr>
        <w:t>1</w:t>
      </w:r>
      <w:r>
        <w:rPr>
          <w:rFonts w:hint="eastAsia"/>
          <w:szCs w:val="21"/>
        </w:rPr>
        <w:t>）交易所上市的有价证券（包括股票等），以其估值日在证券交易所挂牌的市价（收</w:t>
      </w:r>
      <w:r>
        <w:rPr>
          <w:rFonts w:hint="eastAsia"/>
          <w:szCs w:val="21"/>
        </w:rPr>
        <w:lastRenderedPageBreak/>
        <w:t>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Pr>
          <w:rFonts w:hint="eastAsia"/>
          <w:bCs/>
          <w:szCs w:val="21"/>
        </w:rPr>
        <w:t>；</w:t>
      </w:r>
    </w:p>
    <w:p w:rsidR="008711D3" w:rsidRDefault="004479D9">
      <w:pPr>
        <w:spacing w:line="360" w:lineRule="auto"/>
        <w:ind w:firstLineChars="200" w:firstLine="420"/>
        <w:rPr>
          <w:szCs w:val="21"/>
        </w:rPr>
      </w:pPr>
      <w:r>
        <w:rPr>
          <w:rFonts w:hint="eastAsia"/>
          <w:szCs w:val="21"/>
        </w:rPr>
        <w:t>（</w:t>
      </w:r>
      <w:r>
        <w:rPr>
          <w:szCs w:val="21"/>
        </w:rPr>
        <w:t>2</w:t>
      </w:r>
      <w:r>
        <w:rPr>
          <w:rFonts w:hint="eastAsia"/>
          <w:szCs w:val="21"/>
        </w:rPr>
        <w:t>）交易所上市交易或挂牌转让的不含权固定收益品种，选取估值日第三方估值机构提供的相应品种当日的估值净价进行估值；</w:t>
      </w:r>
    </w:p>
    <w:p w:rsidR="008711D3" w:rsidRDefault="004479D9">
      <w:pPr>
        <w:spacing w:line="360" w:lineRule="auto"/>
        <w:ind w:firstLineChars="200" w:firstLine="420"/>
        <w:rPr>
          <w:szCs w:val="21"/>
        </w:rPr>
      </w:pPr>
      <w:r>
        <w:rPr>
          <w:rFonts w:hint="eastAsia"/>
          <w:szCs w:val="21"/>
        </w:rPr>
        <w:t>（</w:t>
      </w:r>
      <w:r>
        <w:rPr>
          <w:szCs w:val="21"/>
        </w:rPr>
        <w:t>3</w:t>
      </w:r>
      <w:r>
        <w:rPr>
          <w:rFonts w:hint="eastAsia"/>
          <w:szCs w:val="21"/>
        </w:rPr>
        <w:t>）交易所上市交易或挂牌转让的含权固定收益品种，选取估值日第三方估值机构提供的相应品种当日的唯一估值净价或推荐估值净价进行估值；</w:t>
      </w:r>
    </w:p>
    <w:p w:rsidR="008711D3" w:rsidRDefault="004479D9">
      <w:pPr>
        <w:spacing w:line="360" w:lineRule="auto"/>
        <w:ind w:firstLineChars="200" w:firstLine="420"/>
        <w:rPr>
          <w:bCs/>
          <w:szCs w:val="21"/>
        </w:rPr>
      </w:pPr>
      <w:r>
        <w:rPr>
          <w:bCs/>
          <w:szCs w:val="21"/>
        </w:rPr>
        <w:t>（</w:t>
      </w:r>
      <w:r>
        <w:rPr>
          <w:bCs/>
          <w:szCs w:val="21"/>
        </w:rPr>
        <w:t>4</w:t>
      </w:r>
      <w:r>
        <w:rPr>
          <w:bCs/>
          <w:szCs w:val="21"/>
        </w:rPr>
        <w:t>）</w:t>
      </w:r>
      <w:r>
        <w:rPr>
          <w:rFonts w:hint="eastAsia"/>
          <w:bCs/>
          <w:szCs w:val="21"/>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rsidR="008711D3" w:rsidRDefault="004479D9">
      <w:pPr>
        <w:spacing w:line="360" w:lineRule="auto"/>
        <w:ind w:firstLineChars="200" w:firstLine="420"/>
        <w:rPr>
          <w:szCs w:val="21"/>
        </w:rPr>
      </w:pPr>
      <w:r>
        <w:rPr>
          <w:rFonts w:hint="eastAsia"/>
          <w:szCs w:val="21"/>
        </w:rPr>
        <w:t>（</w:t>
      </w:r>
      <w:r>
        <w:rPr>
          <w:szCs w:val="21"/>
        </w:rPr>
        <w:t>5</w:t>
      </w:r>
      <w:r>
        <w:rPr>
          <w:rFonts w:hint="eastAsia"/>
          <w:szCs w:val="21"/>
        </w:rPr>
        <w:t>）交易所上市不存在活跃市场的有价证券，采用估值技术确定公允价值。交易所市场挂牌转让的资产支持证券，采用估值技术确定公允价值；</w:t>
      </w:r>
    </w:p>
    <w:p w:rsidR="008711D3" w:rsidRDefault="004479D9">
      <w:pPr>
        <w:spacing w:line="360" w:lineRule="auto"/>
        <w:ind w:firstLineChars="200" w:firstLine="420"/>
        <w:rPr>
          <w:szCs w:val="21"/>
        </w:rPr>
      </w:pPr>
      <w:r>
        <w:rPr>
          <w:rFonts w:hint="eastAsia"/>
          <w:szCs w:val="21"/>
        </w:rPr>
        <w:t>（</w:t>
      </w:r>
      <w:r>
        <w:rPr>
          <w:szCs w:val="21"/>
        </w:rPr>
        <w:t>6</w:t>
      </w:r>
      <w:r>
        <w:rPr>
          <w:rFonts w:hint="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8711D3" w:rsidRDefault="004479D9">
      <w:pPr>
        <w:spacing w:line="360" w:lineRule="auto"/>
        <w:ind w:firstLineChars="200" w:firstLine="420"/>
        <w:rPr>
          <w:szCs w:val="21"/>
        </w:rPr>
      </w:pPr>
      <w:r>
        <w:rPr>
          <w:szCs w:val="21"/>
        </w:rPr>
        <w:t>2</w:t>
      </w:r>
      <w:r>
        <w:rPr>
          <w:rFonts w:hint="eastAsia"/>
          <w:szCs w:val="21"/>
        </w:rPr>
        <w:t>、处于未上市期间的有价证券应区分如下情况处理：</w:t>
      </w:r>
    </w:p>
    <w:p w:rsidR="008711D3" w:rsidRDefault="004479D9">
      <w:pPr>
        <w:spacing w:line="360" w:lineRule="auto"/>
        <w:ind w:firstLineChars="200" w:firstLine="420"/>
        <w:rPr>
          <w:szCs w:val="21"/>
        </w:rPr>
      </w:pPr>
      <w:r>
        <w:rPr>
          <w:rFonts w:hint="eastAsia"/>
          <w:szCs w:val="21"/>
        </w:rPr>
        <w:t>（</w:t>
      </w:r>
      <w:r>
        <w:rPr>
          <w:szCs w:val="21"/>
        </w:rPr>
        <w:t>1</w:t>
      </w:r>
      <w:r>
        <w:rPr>
          <w:rFonts w:hint="eastAsia"/>
          <w:szCs w:val="21"/>
        </w:rPr>
        <w:t>）送股、转增股、配股和公开增发的新股，按估值日在证券交易所挂牌的同一股票的估值方法估值；该日无交易的，以最近一日的市价（收盘价）估值；</w:t>
      </w:r>
    </w:p>
    <w:p w:rsidR="008711D3" w:rsidRDefault="004479D9">
      <w:pPr>
        <w:spacing w:line="360" w:lineRule="auto"/>
        <w:ind w:firstLineChars="200" w:firstLine="420"/>
        <w:rPr>
          <w:szCs w:val="21"/>
        </w:rPr>
      </w:pPr>
      <w:r>
        <w:rPr>
          <w:rFonts w:hint="eastAsia"/>
          <w:szCs w:val="21"/>
        </w:rPr>
        <w:t>（</w:t>
      </w:r>
      <w:r>
        <w:rPr>
          <w:szCs w:val="21"/>
        </w:rPr>
        <w:t>2</w:t>
      </w:r>
      <w:r>
        <w:rPr>
          <w:rFonts w:hint="eastAsia"/>
          <w:szCs w:val="21"/>
        </w:rPr>
        <w:t>）首次公开发行未上市的股票、债券，采用估值技术确定公允价值，在估值技术难以可靠计量公允价值的情况下，按成本估值</w:t>
      </w:r>
      <w:r>
        <w:rPr>
          <w:rFonts w:hint="eastAsia"/>
          <w:bCs/>
          <w:szCs w:val="21"/>
        </w:rPr>
        <w:t>；</w:t>
      </w:r>
    </w:p>
    <w:p w:rsidR="008711D3" w:rsidRDefault="004479D9">
      <w:pPr>
        <w:spacing w:line="360" w:lineRule="auto"/>
        <w:ind w:firstLineChars="200" w:firstLine="420"/>
        <w:rPr>
          <w:szCs w:val="21"/>
        </w:rPr>
      </w:pPr>
      <w:r>
        <w:rPr>
          <w:rFonts w:hint="eastAsia"/>
          <w:szCs w:val="21"/>
        </w:rPr>
        <w:t>（</w:t>
      </w:r>
      <w:r>
        <w:rPr>
          <w:szCs w:val="21"/>
        </w:rPr>
        <w:t>3</w:t>
      </w:r>
      <w:r>
        <w:rPr>
          <w:rFonts w:hint="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8711D3" w:rsidRDefault="004479D9">
      <w:pPr>
        <w:spacing w:line="360" w:lineRule="auto"/>
        <w:ind w:firstLineChars="200" w:firstLine="420"/>
        <w:rPr>
          <w:szCs w:val="21"/>
        </w:rPr>
      </w:pPr>
      <w:r>
        <w:rPr>
          <w:szCs w:val="21"/>
        </w:rPr>
        <w:t>3</w:t>
      </w:r>
      <w:r>
        <w:rPr>
          <w:rFonts w:hint="eastAsia"/>
          <w:szCs w:val="21"/>
        </w:rPr>
        <w:t>、对全国银行间市场上不含权的固定收益品种，按照第三方估值机构提供的相应品种当日的估值净价估值。对银行间市场上含权的固定收益品种，按照第三方估值机构提供的相</w:t>
      </w:r>
      <w:r>
        <w:rPr>
          <w:rFonts w:hint="eastAsia"/>
          <w:szCs w:val="21"/>
        </w:rPr>
        <w:lastRenderedPageBreak/>
        <w:t>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8711D3" w:rsidRDefault="004479D9">
      <w:pPr>
        <w:spacing w:line="360" w:lineRule="auto"/>
        <w:ind w:firstLineChars="200" w:firstLine="420"/>
        <w:rPr>
          <w:bCs/>
          <w:szCs w:val="21"/>
        </w:rPr>
      </w:pPr>
      <w:r>
        <w:rPr>
          <w:rFonts w:hint="eastAsia"/>
          <w:bCs/>
          <w:szCs w:val="21"/>
        </w:rPr>
        <w:t>4</w:t>
      </w:r>
      <w:r>
        <w:rPr>
          <w:rFonts w:hint="eastAsia"/>
          <w:bCs/>
          <w:szCs w:val="21"/>
        </w:rPr>
        <w:t>、本基金投资股指期货、国债期货、股票期权，一般以估值当日结算价进行估值，估值当日无结算价的，且最近交易日后经济环境未发生重大变化的，采用最近交易日结算价估值。</w:t>
      </w:r>
    </w:p>
    <w:p w:rsidR="008711D3" w:rsidRDefault="004479D9">
      <w:pPr>
        <w:spacing w:line="360" w:lineRule="auto"/>
        <w:ind w:firstLineChars="200" w:firstLine="420"/>
        <w:rPr>
          <w:bCs/>
          <w:szCs w:val="21"/>
        </w:rPr>
      </w:pPr>
      <w:r>
        <w:rPr>
          <w:rFonts w:hint="eastAsia"/>
          <w:bCs/>
          <w:szCs w:val="21"/>
        </w:rPr>
        <w:t>5</w:t>
      </w:r>
      <w:r>
        <w:rPr>
          <w:rFonts w:hint="eastAsia"/>
          <w:bCs/>
          <w:szCs w:val="21"/>
        </w:rPr>
        <w:t>、同一债券</w:t>
      </w:r>
      <w:r>
        <w:rPr>
          <w:rFonts w:hint="eastAsia"/>
          <w:bCs/>
          <w:szCs w:val="21"/>
        </w:rPr>
        <w:t>/</w:t>
      </w:r>
      <w:r>
        <w:rPr>
          <w:rFonts w:hint="eastAsia"/>
          <w:bCs/>
          <w:szCs w:val="21"/>
        </w:rPr>
        <w:t>股票同时在两个或两个以上市场交易的，按债券</w:t>
      </w:r>
      <w:r>
        <w:rPr>
          <w:rFonts w:hint="eastAsia"/>
          <w:bCs/>
          <w:szCs w:val="21"/>
        </w:rPr>
        <w:t>/</w:t>
      </w:r>
      <w:r>
        <w:rPr>
          <w:rFonts w:hint="eastAsia"/>
          <w:bCs/>
          <w:szCs w:val="21"/>
        </w:rPr>
        <w:t>股票所处的市场分别估值。</w:t>
      </w:r>
    </w:p>
    <w:p w:rsidR="008711D3" w:rsidRDefault="004479D9">
      <w:pPr>
        <w:spacing w:line="360" w:lineRule="auto"/>
        <w:ind w:firstLineChars="200" w:firstLine="420"/>
        <w:rPr>
          <w:szCs w:val="21"/>
        </w:rPr>
      </w:pPr>
      <w:r>
        <w:rPr>
          <w:rFonts w:hint="eastAsia"/>
          <w:bCs/>
          <w:szCs w:val="21"/>
        </w:rPr>
        <w:t>6</w:t>
      </w:r>
      <w:r>
        <w:rPr>
          <w:rFonts w:hint="eastAsia"/>
          <w:szCs w:val="21"/>
        </w:rPr>
        <w:t>、如有确凿证据表明按上述方法进行估值不能客观反映其公允价值的，基金管理人可根据具体情况与基金托管人商定后，按最能反映公允价值的价格估值。</w:t>
      </w:r>
    </w:p>
    <w:p w:rsidR="008711D3" w:rsidRDefault="004479D9">
      <w:pPr>
        <w:spacing w:line="360" w:lineRule="auto"/>
        <w:ind w:firstLineChars="200" w:firstLine="420"/>
        <w:rPr>
          <w:szCs w:val="21"/>
        </w:rPr>
      </w:pPr>
      <w:r>
        <w:rPr>
          <w:rFonts w:hint="eastAsia"/>
          <w:bCs/>
          <w:szCs w:val="21"/>
        </w:rPr>
        <w:t>7</w:t>
      </w:r>
      <w:r>
        <w:rPr>
          <w:rFonts w:hint="eastAsia"/>
          <w:szCs w:val="21"/>
        </w:rPr>
        <w:t>、当发生大额申购或赎回情形时，基金管理人可以采用摆动定价机制，以确保基金估值的公平性。</w:t>
      </w:r>
    </w:p>
    <w:p w:rsidR="008711D3" w:rsidRDefault="004479D9">
      <w:pPr>
        <w:spacing w:line="360" w:lineRule="auto"/>
        <w:ind w:firstLineChars="200" w:firstLine="420"/>
        <w:rPr>
          <w:bCs/>
          <w:szCs w:val="21"/>
        </w:rPr>
      </w:pPr>
      <w:r>
        <w:rPr>
          <w:rFonts w:hint="eastAsia"/>
          <w:bCs/>
          <w:szCs w:val="21"/>
        </w:rPr>
        <w:t>8</w:t>
      </w:r>
      <w:r>
        <w:rPr>
          <w:rFonts w:hint="eastAsia"/>
          <w:bCs/>
          <w:szCs w:val="21"/>
        </w:rPr>
        <w:t>、估值计算中涉及港币对人民币汇率的，将依据下列信息提供机构所提供的汇率为基准：当日中国人民银行公布的人民币与港币的中间价。</w:t>
      </w:r>
    </w:p>
    <w:p w:rsidR="008711D3" w:rsidRDefault="004479D9">
      <w:pPr>
        <w:spacing w:line="360" w:lineRule="auto"/>
        <w:ind w:firstLineChars="200" w:firstLine="420"/>
        <w:rPr>
          <w:bCs/>
          <w:szCs w:val="21"/>
        </w:rPr>
      </w:pPr>
      <w:r>
        <w:rPr>
          <w:rFonts w:ascii="宋体" w:hAnsi="宋体" w:hint="eastAsia"/>
          <w:bCs/>
          <w:szCs w:val="21"/>
        </w:rPr>
        <w:t>9、本基金投资存托凭证的估值核算，依照国内依法发行上市的股票执行。</w:t>
      </w:r>
    </w:p>
    <w:p w:rsidR="008711D3" w:rsidRDefault="004479D9">
      <w:pPr>
        <w:spacing w:line="360" w:lineRule="auto"/>
        <w:ind w:firstLineChars="200" w:firstLine="420"/>
        <w:rPr>
          <w:szCs w:val="21"/>
        </w:rPr>
      </w:pPr>
      <w:r>
        <w:rPr>
          <w:rFonts w:hint="eastAsia"/>
          <w:bCs/>
          <w:szCs w:val="21"/>
        </w:rPr>
        <w:t>10</w:t>
      </w:r>
      <w:r>
        <w:rPr>
          <w:rFonts w:hint="eastAsia"/>
          <w:szCs w:val="21"/>
        </w:rPr>
        <w:t>、相关法律法规以及监管部门有强制规定的，从其规定。如有新增事项，按国家最新规定估值。</w:t>
      </w:r>
    </w:p>
    <w:p w:rsidR="008711D3" w:rsidRDefault="004479D9">
      <w:pPr>
        <w:spacing w:line="360" w:lineRule="auto"/>
        <w:ind w:firstLineChars="200" w:firstLine="420"/>
        <w:rPr>
          <w:rStyle w:val="read"/>
          <w:szCs w:val="21"/>
        </w:rPr>
      </w:pPr>
      <w:r>
        <w:rPr>
          <w:rStyle w:val="read"/>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8711D3" w:rsidRDefault="004479D9">
      <w:pPr>
        <w:spacing w:line="360" w:lineRule="auto"/>
        <w:ind w:firstLineChars="200" w:firstLine="420"/>
        <w:rPr>
          <w:szCs w:val="21"/>
        </w:rPr>
      </w:pPr>
      <w:r>
        <w:rPr>
          <w:rFonts w:hint="eastAsia"/>
          <w:szCs w:val="21"/>
        </w:rPr>
        <w:t>基金管理人担任本基金的会计责任方，负责本基金资产净值计算和基金会计核算。就与本基金有关的会计问题，如经相关各方在平等基础上充分讨论后，仍无法达成一致的意见，按照基金管理人对基金净值</w:t>
      </w:r>
      <w:r>
        <w:rPr>
          <w:bCs/>
          <w:szCs w:val="21"/>
        </w:rPr>
        <w:t>信息</w:t>
      </w:r>
      <w:r>
        <w:rPr>
          <w:rFonts w:hint="eastAsia"/>
          <w:szCs w:val="21"/>
        </w:rPr>
        <w:t>的计算结果对外予以公布。</w:t>
      </w:r>
    </w:p>
    <w:p w:rsidR="008711D3" w:rsidRDefault="004479D9">
      <w:pPr>
        <w:spacing w:line="360" w:lineRule="auto"/>
        <w:ind w:firstLineChars="200" w:firstLine="422"/>
        <w:rPr>
          <w:b/>
          <w:szCs w:val="21"/>
        </w:rPr>
      </w:pPr>
      <w:r>
        <w:rPr>
          <w:rFonts w:hint="eastAsia"/>
          <w:b/>
          <w:szCs w:val="21"/>
        </w:rPr>
        <w:t>（五）估值程序</w:t>
      </w:r>
    </w:p>
    <w:p w:rsidR="008711D3" w:rsidRDefault="004479D9">
      <w:pPr>
        <w:spacing w:line="360" w:lineRule="auto"/>
        <w:ind w:firstLineChars="200" w:firstLine="420"/>
        <w:rPr>
          <w:szCs w:val="21"/>
        </w:rPr>
      </w:pPr>
      <w:r>
        <w:rPr>
          <w:szCs w:val="21"/>
        </w:rPr>
        <w:t>1</w:t>
      </w:r>
      <w:r>
        <w:rPr>
          <w:rFonts w:hint="eastAsia"/>
          <w:szCs w:val="21"/>
        </w:rPr>
        <w:t>、各类基金份额净值是按照每个估值日闭市后，基金资产净值除以当日该类基金份额的余额数量计算，精确到</w:t>
      </w:r>
      <w:r>
        <w:rPr>
          <w:szCs w:val="21"/>
        </w:rPr>
        <w:t>0.0001</w:t>
      </w:r>
      <w:r>
        <w:rPr>
          <w:rFonts w:hint="eastAsia"/>
          <w:szCs w:val="21"/>
        </w:rPr>
        <w:t>元，小数点后第</w:t>
      </w:r>
      <w:r>
        <w:rPr>
          <w:szCs w:val="21"/>
        </w:rPr>
        <w:t>5</w:t>
      </w:r>
      <w:r>
        <w:rPr>
          <w:rFonts w:hint="eastAsia"/>
          <w:szCs w:val="21"/>
        </w:rPr>
        <w:t>位四舍五入，由此产生的收益或损失由基金财产承担。基金管理人可以设立大额赎回情形下的净值精度应急调整机制。国家另有规定的，从其规定。</w:t>
      </w:r>
    </w:p>
    <w:p w:rsidR="008711D3" w:rsidRDefault="004479D9">
      <w:pPr>
        <w:spacing w:line="360" w:lineRule="auto"/>
        <w:ind w:firstLineChars="200" w:firstLine="420"/>
        <w:rPr>
          <w:szCs w:val="21"/>
        </w:rPr>
      </w:pPr>
      <w:r>
        <w:rPr>
          <w:szCs w:val="21"/>
        </w:rPr>
        <w:t>2</w:t>
      </w:r>
      <w:r>
        <w:rPr>
          <w:rFonts w:hint="eastAsia"/>
          <w:szCs w:val="21"/>
        </w:rPr>
        <w:t>、基金管理人应每个估值日对基金资产估值。但基金管理人根据法律法规或基金合同的规定暂停估值时除外。基金管理人每个估值日对基金资产估值后，将各类基金份额净值结</w:t>
      </w:r>
      <w:r>
        <w:rPr>
          <w:rFonts w:hint="eastAsia"/>
          <w:szCs w:val="21"/>
        </w:rPr>
        <w:lastRenderedPageBreak/>
        <w:t>果发送基金托管人，经基金托管人复核无误后，由基金管理人按照规定对外公布。</w:t>
      </w:r>
    </w:p>
    <w:p w:rsidR="008711D3" w:rsidRDefault="004479D9">
      <w:pPr>
        <w:spacing w:line="360" w:lineRule="auto"/>
        <w:ind w:firstLineChars="200" w:firstLine="422"/>
        <w:rPr>
          <w:b/>
          <w:szCs w:val="21"/>
        </w:rPr>
      </w:pPr>
      <w:r>
        <w:rPr>
          <w:rFonts w:hint="eastAsia"/>
          <w:b/>
          <w:szCs w:val="21"/>
        </w:rPr>
        <w:t>（六）估值错误的处理</w:t>
      </w:r>
    </w:p>
    <w:p w:rsidR="008711D3" w:rsidRDefault="004479D9">
      <w:pPr>
        <w:spacing w:line="360" w:lineRule="auto"/>
        <w:ind w:firstLineChars="200" w:firstLine="420"/>
        <w:rPr>
          <w:szCs w:val="21"/>
        </w:rPr>
      </w:pPr>
      <w:r>
        <w:rPr>
          <w:rFonts w:hint="eastAsia"/>
          <w:szCs w:val="21"/>
        </w:rPr>
        <w:t>基金管理人和基金托管人将采取必要、适当、合理的措施确保基金资产估值的准确性、及时性。当任一类别的基金份额净值小数点后</w:t>
      </w:r>
      <w:r>
        <w:rPr>
          <w:szCs w:val="21"/>
        </w:rPr>
        <w:t>4</w:t>
      </w:r>
      <w:r>
        <w:rPr>
          <w:rFonts w:hint="eastAsia"/>
          <w:szCs w:val="21"/>
        </w:rPr>
        <w:t>位以内</w:t>
      </w:r>
      <w:r>
        <w:rPr>
          <w:szCs w:val="21"/>
        </w:rPr>
        <w:t>(</w:t>
      </w:r>
      <w:r>
        <w:rPr>
          <w:rFonts w:hint="eastAsia"/>
          <w:szCs w:val="21"/>
        </w:rPr>
        <w:t>含第</w:t>
      </w:r>
      <w:r>
        <w:rPr>
          <w:szCs w:val="21"/>
        </w:rPr>
        <w:t>4</w:t>
      </w:r>
      <w:r>
        <w:rPr>
          <w:rFonts w:hint="eastAsia"/>
          <w:szCs w:val="21"/>
        </w:rPr>
        <w:t>位</w:t>
      </w:r>
      <w:r>
        <w:rPr>
          <w:szCs w:val="21"/>
        </w:rPr>
        <w:t>)</w:t>
      </w:r>
      <w:r>
        <w:rPr>
          <w:rFonts w:hint="eastAsia"/>
          <w:szCs w:val="21"/>
        </w:rPr>
        <w:t>发生估值错误时，视为该类基金份额净值错误。基金合同的当事人应按照以下约定处理：</w:t>
      </w:r>
    </w:p>
    <w:p w:rsidR="008711D3" w:rsidRDefault="004479D9">
      <w:pPr>
        <w:spacing w:line="360" w:lineRule="auto"/>
        <w:ind w:firstLineChars="200" w:firstLine="420"/>
        <w:rPr>
          <w:szCs w:val="21"/>
        </w:rPr>
      </w:pPr>
      <w:r>
        <w:rPr>
          <w:szCs w:val="21"/>
        </w:rPr>
        <w:t>1</w:t>
      </w:r>
      <w:r>
        <w:rPr>
          <w:rFonts w:hint="eastAsia"/>
          <w:szCs w:val="21"/>
        </w:rPr>
        <w:t>、估值错误类型</w:t>
      </w:r>
    </w:p>
    <w:p w:rsidR="008711D3" w:rsidRDefault="004479D9">
      <w:pPr>
        <w:spacing w:line="360" w:lineRule="auto"/>
        <w:ind w:firstLineChars="200" w:firstLine="420"/>
        <w:rPr>
          <w:szCs w:val="21"/>
        </w:rPr>
      </w:pPr>
      <w:r>
        <w:rPr>
          <w:rFonts w:hint="eastAsia"/>
          <w:szCs w:val="21"/>
        </w:rPr>
        <w:t>本基金运作过程中，如果由于基金管理人，或基金托管人</w:t>
      </w:r>
      <w:r>
        <w:rPr>
          <w:rFonts w:hint="eastAsia"/>
          <w:bCs/>
          <w:szCs w:val="21"/>
        </w:rPr>
        <w:t>，</w:t>
      </w:r>
      <w:r>
        <w:rPr>
          <w:rFonts w:hint="eastAsia"/>
          <w:szCs w:val="21"/>
        </w:rPr>
        <w:t>或投资人自身的原因造成估值错误，导致其他当事人遭受损失的，责任人应当对由于该估值错误遭受损失当事人</w:t>
      </w:r>
      <w:r>
        <w:rPr>
          <w:szCs w:val="21"/>
        </w:rPr>
        <w:t>(“</w:t>
      </w:r>
      <w:r>
        <w:rPr>
          <w:rFonts w:hint="eastAsia"/>
          <w:szCs w:val="21"/>
        </w:rPr>
        <w:t>受损方</w:t>
      </w:r>
      <w:r>
        <w:rPr>
          <w:szCs w:val="21"/>
        </w:rPr>
        <w:t>”)</w:t>
      </w:r>
      <w:r>
        <w:rPr>
          <w:rFonts w:hint="eastAsia"/>
          <w:szCs w:val="21"/>
        </w:rPr>
        <w:t>的直接损失按下述“估值错误处理原则”给予赔偿，承担赔偿责任。</w:t>
      </w:r>
    </w:p>
    <w:p w:rsidR="008711D3" w:rsidRDefault="004479D9">
      <w:pPr>
        <w:spacing w:line="360" w:lineRule="auto"/>
        <w:ind w:firstLineChars="200" w:firstLine="420"/>
        <w:rPr>
          <w:szCs w:val="21"/>
        </w:rPr>
      </w:pPr>
      <w:r>
        <w:rPr>
          <w:rFonts w:hint="eastAsia"/>
          <w:szCs w:val="21"/>
        </w:rPr>
        <w:t>上述估值错误的主要类型包括但不限于：资料申报差错、数据传输差错、数据计算差错、系统故障差错、下达指令差错等。</w:t>
      </w:r>
    </w:p>
    <w:p w:rsidR="008711D3" w:rsidRDefault="004479D9">
      <w:pPr>
        <w:spacing w:line="360" w:lineRule="auto"/>
        <w:ind w:firstLineChars="200" w:firstLine="420"/>
        <w:rPr>
          <w:szCs w:val="21"/>
        </w:rPr>
      </w:pPr>
      <w:r>
        <w:rPr>
          <w:szCs w:val="21"/>
        </w:rPr>
        <w:t>2</w:t>
      </w:r>
      <w:r>
        <w:rPr>
          <w:rFonts w:hint="eastAsia"/>
          <w:szCs w:val="21"/>
        </w:rPr>
        <w:t>、估值错误处理原则</w:t>
      </w:r>
    </w:p>
    <w:p w:rsidR="008711D3" w:rsidRDefault="004479D9">
      <w:pPr>
        <w:spacing w:line="360" w:lineRule="auto"/>
        <w:ind w:firstLineChars="200" w:firstLine="420"/>
        <w:rPr>
          <w:szCs w:val="21"/>
        </w:rPr>
      </w:pPr>
      <w:r>
        <w:rPr>
          <w:rFonts w:hint="eastAsia"/>
          <w:szCs w:val="21"/>
        </w:rPr>
        <w:t>（</w:t>
      </w:r>
      <w:r>
        <w:rPr>
          <w:szCs w:val="21"/>
        </w:rPr>
        <w:t>1</w:t>
      </w:r>
      <w:r>
        <w:rPr>
          <w:rFonts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rsidR="008711D3" w:rsidRDefault="004479D9">
      <w:pPr>
        <w:spacing w:line="360" w:lineRule="auto"/>
        <w:ind w:firstLineChars="200" w:firstLine="420"/>
        <w:rPr>
          <w:szCs w:val="21"/>
        </w:rPr>
      </w:pPr>
      <w:r>
        <w:rPr>
          <w:rFonts w:hint="eastAsia"/>
          <w:szCs w:val="21"/>
        </w:rPr>
        <w:t>（</w:t>
      </w:r>
      <w:r>
        <w:rPr>
          <w:szCs w:val="21"/>
        </w:rPr>
        <w:t>2</w:t>
      </w:r>
      <w:r>
        <w:rPr>
          <w:rFonts w:hint="eastAsia"/>
          <w:szCs w:val="21"/>
        </w:rPr>
        <w:t>）估值错误的责任方对有关当事人的直接损失负责，不对间接损失负责，并且仅对估值错误的有关直接当事人负责，不对第三方负责。</w:t>
      </w:r>
    </w:p>
    <w:p w:rsidR="008711D3" w:rsidRDefault="004479D9">
      <w:pPr>
        <w:spacing w:line="360" w:lineRule="auto"/>
        <w:ind w:firstLineChars="200" w:firstLine="420"/>
        <w:rPr>
          <w:szCs w:val="21"/>
        </w:rPr>
      </w:pPr>
      <w:r>
        <w:rPr>
          <w:rFonts w:hint="eastAsia"/>
          <w:szCs w:val="21"/>
        </w:rPr>
        <w:t>（</w:t>
      </w:r>
      <w:r>
        <w:rPr>
          <w:szCs w:val="21"/>
        </w:rPr>
        <w:t>3</w:t>
      </w:r>
      <w:r>
        <w:rPr>
          <w:rFonts w:hint="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Pr>
          <w:szCs w:val="21"/>
        </w:rPr>
        <w:t>(“</w:t>
      </w:r>
      <w:r>
        <w:rPr>
          <w:rFonts w:hint="eastAsia"/>
          <w:szCs w:val="21"/>
        </w:rPr>
        <w:t>受损方</w:t>
      </w:r>
      <w:r>
        <w:rPr>
          <w:szCs w:val="21"/>
        </w:rPr>
        <w:t>”)</w:t>
      </w:r>
      <w:r>
        <w:rPr>
          <w:rFonts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711D3" w:rsidRDefault="004479D9">
      <w:pPr>
        <w:spacing w:line="360" w:lineRule="auto"/>
        <w:ind w:firstLineChars="200" w:firstLine="420"/>
        <w:rPr>
          <w:szCs w:val="21"/>
        </w:rPr>
      </w:pPr>
      <w:r>
        <w:rPr>
          <w:rFonts w:hint="eastAsia"/>
          <w:szCs w:val="21"/>
        </w:rPr>
        <w:t>（</w:t>
      </w:r>
      <w:r>
        <w:rPr>
          <w:szCs w:val="21"/>
        </w:rPr>
        <w:t>4</w:t>
      </w:r>
      <w:r>
        <w:rPr>
          <w:rFonts w:hint="eastAsia"/>
          <w:szCs w:val="21"/>
        </w:rPr>
        <w:t>）估值错误调整采用尽量恢复至假设未发生估值错误的正确情形的方式。</w:t>
      </w:r>
    </w:p>
    <w:p w:rsidR="008711D3" w:rsidRDefault="004479D9">
      <w:pPr>
        <w:spacing w:line="360" w:lineRule="auto"/>
        <w:ind w:firstLineChars="200" w:firstLine="420"/>
        <w:rPr>
          <w:szCs w:val="21"/>
        </w:rPr>
      </w:pPr>
      <w:r>
        <w:rPr>
          <w:szCs w:val="21"/>
        </w:rPr>
        <w:t>3</w:t>
      </w:r>
      <w:r>
        <w:rPr>
          <w:rFonts w:hint="eastAsia"/>
          <w:szCs w:val="21"/>
        </w:rPr>
        <w:t>、估值错误处理程序</w:t>
      </w:r>
    </w:p>
    <w:p w:rsidR="008711D3" w:rsidRDefault="004479D9">
      <w:pPr>
        <w:spacing w:line="360" w:lineRule="auto"/>
        <w:ind w:firstLineChars="200" w:firstLine="420"/>
        <w:rPr>
          <w:szCs w:val="21"/>
        </w:rPr>
      </w:pPr>
      <w:r>
        <w:rPr>
          <w:rFonts w:hint="eastAsia"/>
          <w:szCs w:val="21"/>
        </w:rPr>
        <w:t>估值错误被发现后，有关的当事人应当及时进行处理，处理的程序如下：</w:t>
      </w:r>
    </w:p>
    <w:p w:rsidR="008711D3" w:rsidRDefault="004479D9">
      <w:pPr>
        <w:spacing w:line="360" w:lineRule="auto"/>
        <w:ind w:firstLineChars="200" w:firstLine="420"/>
        <w:rPr>
          <w:szCs w:val="21"/>
        </w:rPr>
      </w:pPr>
      <w:r>
        <w:rPr>
          <w:rFonts w:hint="eastAsia"/>
          <w:szCs w:val="21"/>
        </w:rPr>
        <w:t>（</w:t>
      </w:r>
      <w:r>
        <w:rPr>
          <w:szCs w:val="21"/>
        </w:rPr>
        <w:t>1</w:t>
      </w:r>
      <w:r>
        <w:rPr>
          <w:rFonts w:hint="eastAsia"/>
          <w:szCs w:val="21"/>
        </w:rPr>
        <w:t>）查明估值错误发生的原因，列明所有的当事人，并根据估值错误发生的原因确定</w:t>
      </w:r>
      <w:r>
        <w:rPr>
          <w:rFonts w:hint="eastAsia"/>
          <w:szCs w:val="21"/>
        </w:rPr>
        <w:lastRenderedPageBreak/>
        <w:t>估值错误的责任方；</w:t>
      </w:r>
    </w:p>
    <w:p w:rsidR="008711D3" w:rsidRDefault="004479D9">
      <w:pPr>
        <w:spacing w:line="360" w:lineRule="auto"/>
        <w:ind w:firstLineChars="200" w:firstLine="420"/>
        <w:rPr>
          <w:szCs w:val="21"/>
        </w:rPr>
      </w:pPr>
      <w:r>
        <w:rPr>
          <w:rFonts w:hint="eastAsia"/>
          <w:szCs w:val="21"/>
        </w:rPr>
        <w:t>（</w:t>
      </w:r>
      <w:r>
        <w:rPr>
          <w:szCs w:val="21"/>
        </w:rPr>
        <w:t>2</w:t>
      </w:r>
      <w:r>
        <w:rPr>
          <w:rFonts w:hint="eastAsia"/>
          <w:szCs w:val="21"/>
        </w:rPr>
        <w:t>）根据估值错误处理原则或当事人协商的方法对因估值错误造成的损失进行评估；</w:t>
      </w:r>
    </w:p>
    <w:p w:rsidR="008711D3" w:rsidRDefault="004479D9">
      <w:pPr>
        <w:spacing w:line="360" w:lineRule="auto"/>
        <w:ind w:firstLineChars="200" w:firstLine="420"/>
        <w:rPr>
          <w:szCs w:val="21"/>
        </w:rPr>
      </w:pPr>
      <w:r>
        <w:rPr>
          <w:rFonts w:hint="eastAsia"/>
          <w:szCs w:val="21"/>
        </w:rPr>
        <w:t>（</w:t>
      </w:r>
      <w:r>
        <w:rPr>
          <w:szCs w:val="21"/>
        </w:rPr>
        <w:t>3</w:t>
      </w:r>
      <w:r>
        <w:rPr>
          <w:rFonts w:hint="eastAsia"/>
          <w:szCs w:val="21"/>
        </w:rPr>
        <w:t>）根据估值错误处理原则或当事人协商的方法由估值错误的责任方进行更正和赔偿损失；</w:t>
      </w:r>
    </w:p>
    <w:p w:rsidR="008711D3" w:rsidRDefault="004479D9">
      <w:pPr>
        <w:spacing w:line="360" w:lineRule="auto"/>
        <w:ind w:firstLineChars="200" w:firstLine="420"/>
        <w:rPr>
          <w:szCs w:val="21"/>
        </w:rPr>
      </w:pPr>
      <w:r>
        <w:rPr>
          <w:rFonts w:hint="eastAsia"/>
          <w:szCs w:val="21"/>
        </w:rPr>
        <w:t>（</w:t>
      </w:r>
      <w:r>
        <w:rPr>
          <w:szCs w:val="21"/>
        </w:rPr>
        <w:t>4</w:t>
      </w:r>
      <w:r>
        <w:rPr>
          <w:rFonts w:hint="eastAsia"/>
          <w:szCs w:val="21"/>
        </w:rPr>
        <w:t>）根据估值错误处理的方法，需要修改基金登记机构交易数据的，由基金登记机构进行更正，并就估值错误的更正向有关当事人进行确认。</w:t>
      </w:r>
    </w:p>
    <w:p w:rsidR="008711D3" w:rsidRDefault="004479D9">
      <w:pPr>
        <w:spacing w:line="360" w:lineRule="auto"/>
        <w:ind w:firstLineChars="200" w:firstLine="420"/>
        <w:rPr>
          <w:szCs w:val="21"/>
        </w:rPr>
      </w:pPr>
      <w:r>
        <w:rPr>
          <w:szCs w:val="21"/>
        </w:rPr>
        <w:t>4</w:t>
      </w:r>
      <w:r>
        <w:rPr>
          <w:rFonts w:hint="eastAsia"/>
          <w:szCs w:val="21"/>
        </w:rPr>
        <w:t>、基金份额净值估值错误处理的方法如下：</w:t>
      </w:r>
    </w:p>
    <w:p w:rsidR="008711D3" w:rsidRDefault="004479D9">
      <w:pPr>
        <w:spacing w:line="360" w:lineRule="auto"/>
        <w:ind w:firstLineChars="200" w:firstLine="420"/>
        <w:rPr>
          <w:szCs w:val="21"/>
        </w:rPr>
      </w:pPr>
      <w:r>
        <w:rPr>
          <w:rFonts w:hint="eastAsia"/>
          <w:szCs w:val="21"/>
        </w:rPr>
        <w:t>（</w:t>
      </w:r>
      <w:r>
        <w:rPr>
          <w:szCs w:val="21"/>
        </w:rPr>
        <w:t>1</w:t>
      </w:r>
      <w:r>
        <w:rPr>
          <w:rFonts w:hint="eastAsia"/>
          <w:szCs w:val="21"/>
        </w:rPr>
        <w:t>）基金份额净值计算出现错误时，基金管理人和基金托管人应当立即予以纠正，并采取合理的措施防止损失进一步扩大。</w:t>
      </w:r>
    </w:p>
    <w:p w:rsidR="008711D3" w:rsidRDefault="004479D9">
      <w:pPr>
        <w:spacing w:line="360" w:lineRule="auto"/>
        <w:ind w:firstLineChars="200" w:firstLine="420"/>
        <w:rPr>
          <w:szCs w:val="21"/>
        </w:rPr>
      </w:pPr>
      <w:r>
        <w:rPr>
          <w:rFonts w:hint="eastAsia"/>
          <w:szCs w:val="21"/>
        </w:rPr>
        <w:t>（</w:t>
      </w:r>
      <w:r>
        <w:rPr>
          <w:szCs w:val="21"/>
        </w:rPr>
        <w:t>2</w:t>
      </w:r>
      <w:r>
        <w:rPr>
          <w:rFonts w:hint="eastAsia"/>
          <w:szCs w:val="21"/>
        </w:rPr>
        <w:t>）错误偏差达到该类基金份额净值的</w:t>
      </w:r>
      <w:r>
        <w:rPr>
          <w:szCs w:val="21"/>
        </w:rPr>
        <w:t>0.25%</w:t>
      </w:r>
      <w:r>
        <w:rPr>
          <w:rFonts w:hint="eastAsia"/>
          <w:szCs w:val="21"/>
        </w:rPr>
        <w:t>时，基金管理人应当通报基金托管人并报中国证监会备案；错误偏差达到该类基金份额净值的</w:t>
      </w:r>
      <w:r>
        <w:rPr>
          <w:szCs w:val="21"/>
        </w:rPr>
        <w:t>0.5%</w:t>
      </w:r>
      <w:r>
        <w:rPr>
          <w:rFonts w:hint="eastAsia"/>
          <w:szCs w:val="21"/>
        </w:rPr>
        <w:t>时，基金管理人应当公告，通报基金托管人并报中国证监会备案。</w:t>
      </w:r>
    </w:p>
    <w:p w:rsidR="008711D3" w:rsidRDefault="004479D9">
      <w:pPr>
        <w:spacing w:line="360" w:lineRule="auto"/>
        <w:ind w:firstLineChars="200" w:firstLine="420"/>
        <w:rPr>
          <w:bCs/>
          <w:szCs w:val="21"/>
        </w:rPr>
      </w:pPr>
      <w:r>
        <w:rPr>
          <w:rFonts w:hint="eastAsia"/>
          <w:szCs w:val="21"/>
        </w:rPr>
        <w:t>（</w:t>
      </w:r>
      <w:r>
        <w:rPr>
          <w:szCs w:val="21"/>
        </w:rPr>
        <w:t>3</w:t>
      </w:r>
      <w:r>
        <w:rPr>
          <w:rFonts w:hint="eastAsia"/>
          <w:szCs w:val="21"/>
        </w:rPr>
        <w:t>）</w:t>
      </w:r>
      <w:r>
        <w:rPr>
          <w:bCs/>
          <w:szCs w:val="21"/>
        </w:rPr>
        <w:t>如法律法规或监管机关另有规定的，从其规定处理。</w:t>
      </w:r>
    </w:p>
    <w:p w:rsidR="008711D3" w:rsidRDefault="004479D9">
      <w:pPr>
        <w:spacing w:line="360" w:lineRule="auto"/>
        <w:ind w:firstLineChars="200" w:firstLine="420"/>
        <w:rPr>
          <w:bCs/>
          <w:szCs w:val="21"/>
        </w:rPr>
      </w:pPr>
      <w:r>
        <w:rPr>
          <w:rFonts w:hint="eastAsia"/>
          <w:bCs/>
          <w:szCs w:val="21"/>
        </w:rPr>
        <w:t>5</w:t>
      </w:r>
      <w:r>
        <w:rPr>
          <w:rFonts w:hint="eastAsia"/>
          <w:bCs/>
          <w:szCs w:val="21"/>
        </w:rPr>
        <w:t>、特殊情况的处理</w:t>
      </w:r>
    </w:p>
    <w:p w:rsidR="008711D3" w:rsidRDefault="004479D9">
      <w:pPr>
        <w:spacing w:line="360" w:lineRule="auto"/>
        <w:ind w:firstLineChars="200" w:firstLine="420"/>
        <w:rPr>
          <w:bCs/>
          <w:szCs w:val="21"/>
        </w:rPr>
      </w:pPr>
      <w:r>
        <w:rPr>
          <w:rFonts w:hint="eastAsia"/>
          <w:bCs/>
          <w:szCs w:val="21"/>
        </w:rPr>
        <w:t>（</w:t>
      </w:r>
      <w:r>
        <w:rPr>
          <w:bCs/>
          <w:szCs w:val="21"/>
        </w:rPr>
        <w:t>1</w:t>
      </w:r>
      <w:r>
        <w:rPr>
          <w:rFonts w:hint="eastAsia"/>
          <w:bCs/>
          <w:szCs w:val="21"/>
        </w:rPr>
        <w:t>）</w:t>
      </w:r>
      <w:r>
        <w:rPr>
          <w:rFonts w:hint="eastAsia"/>
          <w:szCs w:val="21"/>
        </w:rPr>
        <w:t>基金</w:t>
      </w:r>
      <w:r>
        <w:rPr>
          <w:rFonts w:hint="eastAsia"/>
          <w:bCs/>
          <w:szCs w:val="21"/>
        </w:rPr>
        <w:t>管理</w:t>
      </w:r>
      <w:r>
        <w:rPr>
          <w:rFonts w:hint="eastAsia"/>
          <w:szCs w:val="21"/>
        </w:rPr>
        <w:t>人</w:t>
      </w:r>
      <w:r>
        <w:rPr>
          <w:rFonts w:hint="eastAsia"/>
          <w:bCs/>
          <w:szCs w:val="21"/>
        </w:rPr>
        <w:t>或基金托管人按基金合同约定的估值方法</w:t>
      </w:r>
      <w:r>
        <w:rPr>
          <w:rFonts w:hint="eastAsia"/>
          <w:szCs w:val="21"/>
        </w:rPr>
        <w:t>进行</w:t>
      </w:r>
      <w:r>
        <w:rPr>
          <w:rFonts w:hint="eastAsia"/>
          <w:bCs/>
          <w:szCs w:val="21"/>
        </w:rPr>
        <w:t>估值</w:t>
      </w:r>
      <w:r>
        <w:rPr>
          <w:rFonts w:hint="eastAsia"/>
          <w:szCs w:val="21"/>
        </w:rPr>
        <w:t>时，</w:t>
      </w:r>
      <w:r>
        <w:rPr>
          <w:rFonts w:hint="eastAsia"/>
          <w:bCs/>
          <w:szCs w:val="21"/>
        </w:rPr>
        <w:t>所造成的误差不作为基金资产估值错误处理。</w:t>
      </w:r>
    </w:p>
    <w:p w:rsidR="008711D3" w:rsidRDefault="004479D9">
      <w:pPr>
        <w:spacing w:line="360" w:lineRule="auto"/>
        <w:ind w:firstLineChars="200" w:firstLine="420"/>
        <w:rPr>
          <w:szCs w:val="21"/>
        </w:rPr>
      </w:pPr>
      <w:r>
        <w:rPr>
          <w:rFonts w:hint="eastAsia"/>
          <w:bCs/>
          <w:szCs w:val="21"/>
        </w:rPr>
        <w:t>（</w:t>
      </w:r>
      <w:r>
        <w:rPr>
          <w:bCs/>
          <w:szCs w:val="21"/>
        </w:rPr>
        <w:t>2</w:t>
      </w:r>
      <w:r>
        <w:rPr>
          <w:rFonts w:hint="eastAsia"/>
          <w:bCs/>
          <w:szCs w:val="21"/>
        </w:rPr>
        <w:t>）由于不可抗力原因，或由于证券、期货交易所，</w:t>
      </w:r>
      <w:r>
        <w:rPr>
          <w:bCs/>
          <w:szCs w:val="21"/>
        </w:rPr>
        <w:t>或</w:t>
      </w:r>
      <w:r>
        <w:rPr>
          <w:rFonts w:hint="eastAsia"/>
          <w:bCs/>
          <w:szCs w:val="21"/>
        </w:rPr>
        <w:t>第三方估值机构，或证券登记结算机构等发送的数据错误，或国家会计政策、市场规则变更等非基金管理人或基金托管人原因，</w:t>
      </w:r>
      <w:r>
        <w:rPr>
          <w:rFonts w:hint="eastAsia"/>
          <w:szCs w:val="21"/>
        </w:rPr>
        <w:t>基金管理人和基金托管人</w:t>
      </w:r>
      <w:r>
        <w:rPr>
          <w:rFonts w:hint="eastAsia"/>
          <w:bCs/>
          <w:szCs w:val="21"/>
        </w:rPr>
        <w:t>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rsidR="008711D3" w:rsidRDefault="004479D9">
      <w:pPr>
        <w:spacing w:line="360" w:lineRule="auto"/>
        <w:ind w:firstLineChars="200" w:firstLine="422"/>
        <w:rPr>
          <w:b/>
          <w:szCs w:val="21"/>
        </w:rPr>
      </w:pPr>
      <w:r>
        <w:rPr>
          <w:rFonts w:hint="eastAsia"/>
          <w:b/>
          <w:szCs w:val="21"/>
        </w:rPr>
        <w:t>（七）暂停估值的情形</w:t>
      </w:r>
    </w:p>
    <w:p w:rsidR="008711D3" w:rsidRDefault="004479D9">
      <w:pPr>
        <w:spacing w:line="360" w:lineRule="auto"/>
        <w:ind w:firstLineChars="200" w:firstLine="420"/>
        <w:rPr>
          <w:szCs w:val="21"/>
        </w:rPr>
      </w:pPr>
      <w:r>
        <w:rPr>
          <w:szCs w:val="21"/>
        </w:rPr>
        <w:t>1</w:t>
      </w:r>
      <w:r>
        <w:rPr>
          <w:rFonts w:hint="eastAsia"/>
          <w:szCs w:val="21"/>
        </w:rPr>
        <w:t>、基金投资所涉及的证券、期货交易市场或外汇市场遇法定节假日或因其他原因暂停营业时；</w:t>
      </w:r>
    </w:p>
    <w:p w:rsidR="008711D3" w:rsidRDefault="004479D9">
      <w:pPr>
        <w:spacing w:line="360" w:lineRule="auto"/>
        <w:ind w:firstLineChars="200" w:firstLine="420"/>
        <w:rPr>
          <w:szCs w:val="21"/>
        </w:rPr>
      </w:pPr>
      <w:r>
        <w:rPr>
          <w:szCs w:val="21"/>
        </w:rPr>
        <w:t>2</w:t>
      </w:r>
      <w:r>
        <w:rPr>
          <w:rFonts w:hint="eastAsia"/>
          <w:szCs w:val="21"/>
        </w:rPr>
        <w:t>、因不可抗力致使基金管理人、基金托管人无法准确评估基金资产价值时；</w:t>
      </w:r>
    </w:p>
    <w:p w:rsidR="008711D3" w:rsidRDefault="004479D9">
      <w:pPr>
        <w:spacing w:line="360" w:lineRule="auto"/>
        <w:ind w:firstLineChars="200" w:firstLine="420"/>
        <w:rPr>
          <w:szCs w:val="21"/>
        </w:rPr>
      </w:pPr>
      <w:r>
        <w:rPr>
          <w:szCs w:val="21"/>
        </w:rPr>
        <w:t>3</w:t>
      </w:r>
      <w:r>
        <w:rPr>
          <w:rFonts w:hint="eastAsia"/>
          <w:szCs w:val="21"/>
        </w:rPr>
        <w:t>、当特定资产占前一估值日基金资产净值</w:t>
      </w:r>
      <w:r>
        <w:rPr>
          <w:rFonts w:hint="eastAsia"/>
          <w:szCs w:val="21"/>
        </w:rPr>
        <w:t>50%</w:t>
      </w:r>
      <w:r>
        <w:rPr>
          <w:rFonts w:hint="eastAsia"/>
          <w:szCs w:val="21"/>
        </w:rPr>
        <w:t>以上的，经与基金托管人协商确认后，基金管理人应当暂停估值；</w:t>
      </w:r>
    </w:p>
    <w:p w:rsidR="008711D3" w:rsidRDefault="004479D9">
      <w:pPr>
        <w:spacing w:line="360" w:lineRule="auto"/>
        <w:ind w:firstLineChars="200" w:firstLine="420"/>
        <w:rPr>
          <w:szCs w:val="21"/>
        </w:rPr>
      </w:pPr>
      <w:r>
        <w:rPr>
          <w:szCs w:val="21"/>
        </w:rPr>
        <w:t>4</w:t>
      </w:r>
      <w:r>
        <w:rPr>
          <w:rFonts w:hint="eastAsia"/>
          <w:szCs w:val="21"/>
        </w:rPr>
        <w:t>、中国证监会和基金合同认定的其它情形。</w:t>
      </w:r>
    </w:p>
    <w:p w:rsidR="008711D3" w:rsidRDefault="004479D9">
      <w:pPr>
        <w:spacing w:line="360" w:lineRule="auto"/>
        <w:ind w:firstLineChars="200" w:firstLine="422"/>
        <w:rPr>
          <w:b/>
          <w:szCs w:val="21"/>
        </w:rPr>
      </w:pPr>
      <w:r>
        <w:rPr>
          <w:rFonts w:hint="eastAsia"/>
          <w:b/>
          <w:szCs w:val="21"/>
        </w:rPr>
        <w:t>（八）基金净值的确认</w:t>
      </w:r>
    </w:p>
    <w:p w:rsidR="008711D3" w:rsidRDefault="004479D9">
      <w:pPr>
        <w:spacing w:line="360" w:lineRule="auto"/>
        <w:ind w:firstLineChars="200" w:firstLine="420"/>
        <w:rPr>
          <w:szCs w:val="21"/>
        </w:rPr>
      </w:pPr>
      <w:r>
        <w:rPr>
          <w:rFonts w:hint="eastAsia"/>
          <w:szCs w:val="21"/>
        </w:rPr>
        <w:t>基金资产净值和基金份额净值由基金管理人负责计算，基金托管人负责进行复核。基金</w:t>
      </w:r>
      <w:r>
        <w:rPr>
          <w:rFonts w:hint="eastAsia"/>
          <w:szCs w:val="21"/>
        </w:rPr>
        <w:lastRenderedPageBreak/>
        <w:t>管理人应于每个估值日交易结束后计算当日的基金资产净值和基金份额净值并发送给基金托管人。基金托管人对净值计算结果复核确认后发送给基金管理人，由基金管理人按照《信息披露办法》的规定进行披露。</w:t>
      </w:r>
    </w:p>
    <w:p w:rsidR="008711D3" w:rsidRDefault="004479D9">
      <w:pPr>
        <w:spacing w:line="360" w:lineRule="auto"/>
        <w:ind w:firstLineChars="200" w:firstLine="422"/>
        <w:rPr>
          <w:b/>
          <w:szCs w:val="21"/>
        </w:rPr>
      </w:pPr>
      <w:r>
        <w:rPr>
          <w:rFonts w:hint="eastAsia"/>
          <w:b/>
          <w:szCs w:val="21"/>
        </w:rPr>
        <w:t>（九）</w:t>
      </w:r>
      <w:r>
        <w:rPr>
          <w:rFonts w:hint="eastAsia"/>
          <w:b/>
          <w:szCs w:val="21"/>
        </w:rPr>
        <w:t xml:space="preserve"> </w:t>
      </w:r>
      <w:r>
        <w:rPr>
          <w:rFonts w:hint="eastAsia"/>
          <w:b/>
          <w:szCs w:val="21"/>
        </w:rPr>
        <w:t>实施侧袋机制期间的基金资产估值</w:t>
      </w:r>
    </w:p>
    <w:p w:rsidR="008711D3" w:rsidRDefault="004479D9">
      <w:pPr>
        <w:spacing w:line="360" w:lineRule="auto"/>
        <w:ind w:firstLineChars="200" w:firstLine="420"/>
        <w:rPr>
          <w:szCs w:val="21"/>
        </w:rPr>
      </w:pPr>
      <w:r>
        <w:rPr>
          <w:rFonts w:hint="eastAsia"/>
          <w:szCs w:val="21"/>
        </w:rPr>
        <w:t>本基金实施侧袋机制的，应根据本部分的约定对主袋账户资产进行估值并披露主袋账户的基金净值信息，暂停披露侧袋账户的基金净值信息。</w:t>
      </w:r>
    </w:p>
    <w:p w:rsidR="008711D3" w:rsidRDefault="008711D3">
      <w:pPr>
        <w:spacing w:line="360" w:lineRule="auto"/>
        <w:ind w:firstLineChars="200" w:firstLine="420"/>
        <w:rPr>
          <w:bCs/>
          <w:szCs w:val="21"/>
        </w:rPr>
      </w:pPr>
    </w:p>
    <w:p w:rsidR="008711D3" w:rsidRDefault="008711D3">
      <w:pPr>
        <w:spacing w:line="360" w:lineRule="auto"/>
        <w:ind w:firstLineChars="200" w:firstLine="420"/>
        <w:rPr>
          <w:bCs/>
          <w:szCs w:val="21"/>
        </w:rPr>
      </w:pPr>
    </w:p>
    <w:p w:rsidR="008711D3" w:rsidRDefault="008711D3">
      <w:pPr>
        <w:spacing w:line="360" w:lineRule="auto"/>
        <w:ind w:firstLineChars="200" w:firstLine="420"/>
        <w:rPr>
          <w:bCs/>
          <w:szCs w:val="21"/>
        </w:rPr>
      </w:pPr>
    </w:p>
    <w:p w:rsidR="008711D3" w:rsidRDefault="008711D3">
      <w:pPr>
        <w:spacing w:line="360" w:lineRule="auto"/>
        <w:ind w:firstLineChars="200" w:firstLine="420"/>
        <w:rPr>
          <w:bCs/>
          <w:szCs w:val="21"/>
        </w:rPr>
      </w:pPr>
    </w:p>
    <w:p w:rsidR="008711D3" w:rsidRDefault="008711D3">
      <w:pPr>
        <w:spacing w:line="360" w:lineRule="auto"/>
        <w:ind w:firstLineChars="200" w:firstLine="420"/>
        <w:rPr>
          <w:bCs/>
          <w:szCs w:val="21"/>
        </w:rPr>
      </w:pPr>
    </w:p>
    <w:p w:rsidR="008711D3" w:rsidRDefault="008711D3">
      <w:pPr>
        <w:spacing w:line="360" w:lineRule="auto"/>
        <w:ind w:firstLineChars="200" w:firstLine="420"/>
        <w:rPr>
          <w:bCs/>
          <w:szCs w:val="21"/>
        </w:rPr>
      </w:pPr>
    </w:p>
    <w:p w:rsidR="008711D3" w:rsidRDefault="008711D3">
      <w:pPr>
        <w:spacing w:line="360" w:lineRule="auto"/>
        <w:ind w:firstLineChars="200" w:firstLine="420"/>
        <w:rPr>
          <w:bCs/>
          <w:szCs w:val="21"/>
        </w:rPr>
      </w:pPr>
    </w:p>
    <w:p w:rsidR="008711D3" w:rsidRDefault="008711D3">
      <w:pPr>
        <w:spacing w:line="360" w:lineRule="auto"/>
        <w:ind w:firstLineChars="200" w:firstLine="420"/>
        <w:rPr>
          <w:bCs/>
          <w:szCs w:val="21"/>
        </w:rPr>
      </w:pPr>
    </w:p>
    <w:p w:rsidR="008711D3" w:rsidRDefault="008711D3">
      <w:pPr>
        <w:spacing w:line="360" w:lineRule="auto"/>
        <w:ind w:firstLineChars="200" w:firstLine="420"/>
        <w:rPr>
          <w:bCs/>
          <w:szCs w:val="21"/>
        </w:rPr>
      </w:pPr>
    </w:p>
    <w:p w:rsidR="008711D3" w:rsidRDefault="008711D3">
      <w:pPr>
        <w:spacing w:line="360" w:lineRule="auto"/>
        <w:ind w:firstLineChars="200" w:firstLine="420"/>
        <w:rPr>
          <w:bCs/>
          <w:szCs w:val="21"/>
        </w:rPr>
      </w:pPr>
    </w:p>
    <w:p w:rsidR="008711D3" w:rsidRDefault="008711D3">
      <w:pPr>
        <w:spacing w:line="360" w:lineRule="auto"/>
        <w:ind w:firstLineChars="200" w:firstLine="420"/>
        <w:rPr>
          <w:bCs/>
          <w:szCs w:val="21"/>
        </w:rPr>
      </w:pPr>
    </w:p>
    <w:p w:rsidR="008711D3" w:rsidRDefault="008711D3">
      <w:pPr>
        <w:spacing w:line="360" w:lineRule="auto"/>
        <w:ind w:firstLineChars="200" w:firstLine="420"/>
        <w:rPr>
          <w:bCs/>
          <w:szCs w:val="21"/>
        </w:rPr>
      </w:pPr>
    </w:p>
    <w:p w:rsidR="008711D3" w:rsidRDefault="008711D3">
      <w:pPr>
        <w:spacing w:line="360" w:lineRule="auto"/>
        <w:ind w:firstLineChars="200" w:firstLine="420"/>
        <w:rPr>
          <w:bCs/>
          <w:szCs w:val="21"/>
        </w:rPr>
      </w:pPr>
    </w:p>
    <w:p w:rsidR="008711D3" w:rsidRDefault="008711D3">
      <w:pPr>
        <w:spacing w:line="360" w:lineRule="auto"/>
        <w:ind w:firstLineChars="200" w:firstLine="420"/>
        <w:rPr>
          <w:bCs/>
          <w:szCs w:val="21"/>
        </w:rPr>
      </w:pPr>
    </w:p>
    <w:p w:rsidR="008711D3" w:rsidRDefault="008711D3">
      <w:pPr>
        <w:spacing w:line="360" w:lineRule="auto"/>
        <w:ind w:firstLineChars="200" w:firstLine="420"/>
        <w:rPr>
          <w:bCs/>
          <w:szCs w:val="21"/>
        </w:rPr>
      </w:pPr>
    </w:p>
    <w:p w:rsidR="008711D3" w:rsidRDefault="008711D3">
      <w:pPr>
        <w:spacing w:line="360" w:lineRule="auto"/>
        <w:ind w:firstLineChars="200" w:firstLine="420"/>
        <w:rPr>
          <w:bCs/>
          <w:szCs w:val="21"/>
        </w:rPr>
      </w:pPr>
    </w:p>
    <w:p w:rsidR="008711D3" w:rsidRDefault="008711D3">
      <w:pPr>
        <w:spacing w:line="360" w:lineRule="auto"/>
        <w:ind w:firstLineChars="200" w:firstLine="420"/>
        <w:rPr>
          <w:bCs/>
          <w:szCs w:val="21"/>
        </w:rPr>
      </w:pPr>
    </w:p>
    <w:p w:rsidR="008711D3" w:rsidRDefault="008711D3">
      <w:pPr>
        <w:spacing w:line="360" w:lineRule="auto"/>
        <w:ind w:firstLineChars="200" w:firstLine="420"/>
        <w:rPr>
          <w:bCs/>
          <w:szCs w:val="21"/>
        </w:rPr>
      </w:pPr>
    </w:p>
    <w:p w:rsidR="008711D3" w:rsidRDefault="008711D3">
      <w:pPr>
        <w:spacing w:line="360" w:lineRule="auto"/>
        <w:ind w:firstLineChars="200" w:firstLine="420"/>
        <w:rPr>
          <w:bCs/>
          <w:szCs w:val="21"/>
        </w:rPr>
      </w:pPr>
    </w:p>
    <w:p w:rsidR="008711D3" w:rsidRDefault="008711D3">
      <w:pPr>
        <w:spacing w:line="360" w:lineRule="auto"/>
        <w:ind w:firstLineChars="200" w:firstLine="420"/>
        <w:rPr>
          <w:bCs/>
          <w:szCs w:val="21"/>
        </w:rPr>
      </w:pPr>
    </w:p>
    <w:p w:rsidR="008711D3" w:rsidRDefault="008711D3">
      <w:pPr>
        <w:spacing w:line="360" w:lineRule="auto"/>
        <w:ind w:firstLineChars="200" w:firstLine="420"/>
        <w:rPr>
          <w:bCs/>
          <w:szCs w:val="21"/>
        </w:rPr>
      </w:pPr>
    </w:p>
    <w:p w:rsidR="008711D3" w:rsidRDefault="008711D3">
      <w:pPr>
        <w:spacing w:line="360" w:lineRule="auto"/>
        <w:ind w:firstLineChars="200" w:firstLine="420"/>
        <w:rPr>
          <w:bCs/>
          <w:szCs w:val="21"/>
        </w:rPr>
      </w:pPr>
    </w:p>
    <w:p w:rsidR="008711D3" w:rsidRDefault="008711D3">
      <w:pPr>
        <w:spacing w:line="360" w:lineRule="auto"/>
        <w:rPr>
          <w:bCs/>
          <w:szCs w:val="21"/>
        </w:rPr>
      </w:pPr>
    </w:p>
    <w:p w:rsidR="008711D3" w:rsidRDefault="004479D9">
      <w:pPr>
        <w:pStyle w:val="1"/>
        <w:spacing w:before="340" w:after="330"/>
        <w:jc w:val="center"/>
        <w:rPr>
          <w:rFonts w:hAnsi="宋体"/>
          <w:bCs/>
          <w:color w:val="auto"/>
          <w:kern w:val="44"/>
          <w:sz w:val="21"/>
          <w:szCs w:val="21"/>
          <w:lang w:val="en-US"/>
        </w:rPr>
      </w:pPr>
      <w:bookmarkStart w:id="93" w:name="_Toc71748070"/>
      <w:r>
        <w:rPr>
          <w:rFonts w:hAnsi="宋体" w:hint="eastAsia"/>
          <w:bCs/>
          <w:color w:val="auto"/>
          <w:kern w:val="44"/>
          <w:sz w:val="21"/>
          <w:szCs w:val="21"/>
        </w:rPr>
        <w:lastRenderedPageBreak/>
        <w:t>十二、基金的收益与分配</w:t>
      </w:r>
      <w:bookmarkEnd w:id="90"/>
      <w:bookmarkEnd w:id="91"/>
      <w:bookmarkEnd w:id="92"/>
      <w:bookmarkEnd w:id="93"/>
    </w:p>
    <w:p w:rsidR="008711D3" w:rsidRDefault="004479D9">
      <w:pPr>
        <w:spacing w:line="360" w:lineRule="auto"/>
        <w:ind w:firstLineChars="225" w:firstLine="474"/>
        <w:rPr>
          <w:b/>
          <w:szCs w:val="21"/>
        </w:rPr>
      </w:pPr>
      <w:bookmarkStart w:id="94" w:name="_Toc334542645"/>
      <w:bookmarkStart w:id="95" w:name="_Toc334542962"/>
      <w:bookmarkStart w:id="96" w:name="_Toc329187123"/>
      <w:r>
        <w:rPr>
          <w:rFonts w:hint="eastAsia"/>
          <w:b/>
          <w:szCs w:val="21"/>
        </w:rPr>
        <w:t>（一）基金利润的构成</w:t>
      </w:r>
    </w:p>
    <w:p w:rsidR="008711D3" w:rsidRDefault="004479D9">
      <w:pPr>
        <w:spacing w:line="360" w:lineRule="auto"/>
        <w:ind w:firstLineChars="225" w:firstLine="473"/>
        <w:rPr>
          <w:szCs w:val="21"/>
        </w:rPr>
      </w:pPr>
      <w:r>
        <w:rPr>
          <w:rFonts w:hint="eastAsia"/>
          <w:szCs w:val="21"/>
        </w:rPr>
        <w:t>基金利润指基金利息收入、投资收益、公允价值变动收益和其他收入扣除相关费用后的余额，基金已实现收益指基金利润减去公允价值变动收益后的余额。</w:t>
      </w:r>
    </w:p>
    <w:p w:rsidR="008711D3" w:rsidRDefault="004479D9">
      <w:pPr>
        <w:spacing w:line="360" w:lineRule="auto"/>
        <w:ind w:firstLineChars="225" w:firstLine="474"/>
        <w:rPr>
          <w:b/>
          <w:szCs w:val="21"/>
        </w:rPr>
      </w:pPr>
      <w:r>
        <w:rPr>
          <w:rFonts w:hint="eastAsia"/>
          <w:b/>
          <w:szCs w:val="21"/>
        </w:rPr>
        <w:t>（二）基金可供分配利润</w:t>
      </w:r>
    </w:p>
    <w:p w:rsidR="008711D3" w:rsidRDefault="004479D9">
      <w:pPr>
        <w:spacing w:line="360" w:lineRule="auto"/>
        <w:ind w:firstLineChars="225" w:firstLine="473"/>
        <w:rPr>
          <w:szCs w:val="21"/>
        </w:rPr>
      </w:pPr>
      <w:r>
        <w:rPr>
          <w:rFonts w:hint="eastAsia"/>
          <w:szCs w:val="21"/>
        </w:rPr>
        <w:t>基金可供分配利润指截至收益分配基准日基金未分配利润与未分配利润中已实现收益的孰低数。</w:t>
      </w:r>
    </w:p>
    <w:p w:rsidR="008711D3" w:rsidRDefault="004479D9">
      <w:pPr>
        <w:spacing w:line="360" w:lineRule="auto"/>
        <w:ind w:firstLineChars="225" w:firstLine="474"/>
        <w:rPr>
          <w:b/>
          <w:szCs w:val="21"/>
        </w:rPr>
      </w:pPr>
      <w:r>
        <w:rPr>
          <w:rFonts w:hint="eastAsia"/>
          <w:b/>
          <w:szCs w:val="21"/>
        </w:rPr>
        <w:t>（三）基金收益分配原则</w:t>
      </w:r>
    </w:p>
    <w:p w:rsidR="008711D3" w:rsidRDefault="004479D9">
      <w:pPr>
        <w:spacing w:line="360" w:lineRule="auto"/>
        <w:ind w:firstLineChars="225" w:firstLine="473"/>
        <w:rPr>
          <w:szCs w:val="21"/>
        </w:rPr>
      </w:pPr>
      <w:r>
        <w:rPr>
          <w:szCs w:val="21"/>
        </w:rPr>
        <w:t>1</w:t>
      </w:r>
      <w:r>
        <w:rPr>
          <w:rFonts w:hint="eastAsia"/>
          <w:szCs w:val="21"/>
        </w:rPr>
        <w:t>、在符合有关基金分红条件的前提下，本基金管理人可以根据实际情况进行收益分配，具体分配方案以公告为准，若《基金合同》生效不满</w:t>
      </w:r>
      <w:r>
        <w:rPr>
          <w:rFonts w:hint="eastAsia"/>
          <w:szCs w:val="21"/>
        </w:rPr>
        <w:t>3</w:t>
      </w:r>
      <w:r>
        <w:rPr>
          <w:rFonts w:hint="eastAsia"/>
          <w:szCs w:val="21"/>
        </w:rPr>
        <w:t>个月可不进行收益分配；</w:t>
      </w:r>
    </w:p>
    <w:p w:rsidR="008711D3" w:rsidRDefault="004479D9">
      <w:pPr>
        <w:spacing w:line="360" w:lineRule="auto"/>
        <w:ind w:firstLineChars="225" w:firstLine="473"/>
        <w:rPr>
          <w:szCs w:val="21"/>
        </w:rPr>
      </w:pPr>
      <w:r>
        <w:rPr>
          <w:szCs w:val="21"/>
        </w:rPr>
        <w:t>2</w:t>
      </w:r>
      <w:r>
        <w:rPr>
          <w:rFonts w:hint="eastAsia"/>
          <w:szCs w:val="21"/>
        </w:rPr>
        <w:t>、本基金收益分配方式分两种：现金分红与红利再投资，投资者可选择现金红利或将现金红利自动转为相应类别的基金份额进行再投资</w:t>
      </w:r>
      <w:r>
        <w:rPr>
          <w:bCs/>
          <w:szCs w:val="21"/>
        </w:rPr>
        <w:t>；</w:t>
      </w:r>
      <w:r>
        <w:rPr>
          <w:rFonts w:hint="eastAsia"/>
          <w:szCs w:val="21"/>
        </w:rPr>
        <w:t>若投资者不选择，本基金默认的收益分配方式是现金分红；</w:t>
      </w:r>
    </w:p>
    <w:p w:rsidR="008711D3" w:rsidRDefault="004479D9">
      <w:pPr>
        <w:spacing w:line="360" w:lineRule="auto"/>
        <w:ind w:firstLineChars="225" w:firstLine="473"/>
        <w:rPr>
          <w:szCs w:val="21"/>
        </w:rPr>
      </w:pPr>
      <w:r>
        <w:rPr>
          <w:szCs w:val="21"/>
        </w:rPr>
        <w:t>3</w:t>
      </w:r>
      <w:r>
        <w:rPr>
          <w:rFonts w:hint="eastAsia"/>
          <w:szCs w:val="21"/>
        </w:rPr>
        <w:t>、基金收益分配后各类基金份额净值不能低于面值；即基金收益分配基准日的各类基金份额净值减去每单位该类基金份额收益分配金额后不能低于面值</w:t>
      </w:r>
      <w:r>
        <w:rPr>
          <w:rFonts w:hint="eastAsia"/>
          <w:bCs/>
          <w:szCs w:val="21"/>
        </w:rPr>
        <w:t>；</w:t>
      </w:r>
    </w:p>
    <w:p w:rsidR="008711D3" w:rsidRDefault="004479D9">
      <w:pPr>
        <w:spacing w:line="360" w:lineRule="auto"/>
        <w:ind w:firstLineChars="225" w:firstLine="473"/>
        <w:rPr>
          <w:szCs w:val="21"/>
        </w:rPr>
      </w:pPr>
      <w:r>
        <w:rPr>
          <w:szCs w:val="21"/>
        </w:rPr>
        <w:t>4</w:t>
      </w:r>
      <w:r>
        <w:rPr>
          <w:rFonts w:hint="eastAsia"/>
          <w:szCs w:val="21"/>
        </w:rPr>
        <w:t>、由于基金费用的不同，不同类别的基金份额在收益分配数额方面可能有所不同，基金管理人可对各类别基金份额分别制定收益分配方案。同一类别的每一基金份额享有同等分配权；</w:t>
      </w:r>
    </w:p>
    <w:p w:rsidR="008711D3" w:rsidRDefault="004479D9">
      <w:pPr>
        <w:spacing w:line="360" w:lineRule="auto"/>
        <w:ind w:firstLineChars="225" w:firstLine="473"/>
        <w:rPr>
          <w:szCs w:val="21"/>
        </w:rPr>
      </w:pPr>
      <w:r>
        <w:rPr>
          <w:szCs w:val="21"/>
        </w:rPr>
        <w:t>5</w:t>
      </w:r>
      <w:r>
        <w:rPr>
          <w:rFonts w:hint="eastAsia"/>
          <w:szCs w:val="21"/>
        </w:rPr>
        <w:t>、法律法规或监管机关另有规定的，从其规定。</w:t>
      </w:r>
    </w:p>
    <w:p w:rsidR="008711D3" w:rsidRDefault="004479D9">
      <w:pPr>
        <w:spacing w:line="360" w:lineRule="auto"/>
        <w:ind w:firstLineChars="225" w:firstLine="473"/>
        <w:rPr>
          <w:szCs w:val="21"/>
        </w:rPr>
      </w:pPr>
      <w:r>
        <w:rPr>
          <w:rFonts w:hint="eastAsia"/>
          <w:szCs w:val="21"/>
        </w:rPr>
        <w:t>在对基金份额持有人利益无实质不利影响的前提下，基金管理人可对基金收益分配原则和支付方式进行调整，不需召开基金份额持有人大会，但应于变更实施日前按照《信息披露办法》的要求在规定媒介公告。</w:t>
      </w:r>
    </w:p>
    <w:p w:rsidR="008711D3" w:rsidRDefault="004479D9">
      <w:pPr>
        <w:spacing w:line="360" w:lineRule="auto"/>
        <w:ind w:firstLineChars="225" w:firstLine="474"/>
        <w:rPr>
          <w:b/>
          <w:szCs w:val="21"/>
        </w:rPr>
      </w:pPr>
      <w:r>
        <w:rPr>
          <w:rFonts w:hint="eastAsia"/>
          <w:b/>
          <w:szCs w:val="21"/>
        </w:rPr>
        <w:t>（四）收益分配方案</w:t>
      </w:r>
    </w:p>
    <w:p w:rsidR="008711D3" w:rsidRDefault="004479D9">
      <w:pPr>
        <w:spacing w:line="360" w:lineRule="auto"/>
        <w:ind w:firstLineChars="225" w:firstLine="473"/>
        <w:rPr>
          <w:szCs w:val="21"/>
        </w:rPr>
      </w:pPr>
      <w:r>
        <w:rPr>
          <w:rFonts w:hint="eastAsia"/>
          <w:szCs w:val="21"/>
        </w:rPr>
        <w:t>基金收益分配方案中应载明截止收益分配基准日的可供分配利润、基金收益分配对象、分配时间、分配数额及比例、分配方式等内容。</w:t>
      </w:r>
    </w:p>
    <w:p w:rsidR="008711D3" w:rsidRDefault="004479D9">
      <w:pPr>
        <w:spacing w:line="360" w:lineRule="auto"/>
        <w:ind w:firstLineChars="225" w:firstLine="474"/>
        <w:rPr>
          <w:b/>
          <w:szCs w:val="21"/>
        </w:rPr>
      </w:pPr>
      <w:r>
        <w:rPr>
          <w:rFonts w:hint="eastAsia"/>
          <w:b/>
          <w:szCs w:val="21"/>
        </w:rPr>
        <w:t>（五）收益分配方案的确定、公告与实施</w:t>
      </w:r>
    </w:p>
    <w:p w:rsidR="008711D3" w:rsidRDefault="004479D9">
      <w:pPr>
        <w:spacing w:line="360" w:lineRule="auto"/>
        <w:ind w:firstLineChars="225" w:firstLine="473"/>
        <w:rPr>
          <w:szCs w:val="21"/>
        </w:rPr>
      </w:pPr>
      <w:r>
        <w:rPr>
          <w:rFonts w:hint="eastAsia"/>
          <w:szCs w:val="21"/>
        </w:rPr>
        <w:t>本基金收益分配方案由基金管理人拟定，并由基金托管人复核，依照《信息披露办法》的有关规定在规定媒介公告。</w:t>
      </w:r>
    </w:p>
    <w:p w:rsidR="008711D3" w:rsidRDefault="004479D9">
      <w:pPr>
        <w:spacing w:line="360" w:lineRule="auto"/>
        <w:ind w:firstLineChars="225" w:firstLine="474"/>
        <w:rPr>
          <w:b/>
          <w:szCs w:val="21"/>
        </w:rPr>
      </w:pPr>
      <w:r>
        <w:rPr>
          <w:rFonts w:hint="eastAsia"/>
          <w:b/>
          <w:szCs w:val="21"/>
        </w:rPr>
        <w:t>（六）基金收益分配中发生的费用</w:t>
      </w:r>
    </w:p>
    <w:p w:rsidR="008711D3" w:rsidRDefault="004479D9">
      <w:pPr>
        <w:spacing w:line="360" w:lineRule="auto"/>
        <w:ind w:firstLineChars="225" w:firstLine="473"/>
        <w:rPr>
          <w:szCs w:val="21"/>
        </w:rPr>
      </w:pPr>
      <w:r>
        <w:rPr>
          <w:rFonts w:hint="eastAsia"/>
          <w:szCs w:val="21"/>
        </w:rPr>
        <w:lastRenderedPageBreak/>
        <w:t>基金收益分配时所发生的银行转账或其他手续费用由投资者自行承担。</w:t>
      </w:r>
      <w:r>
        <w:rPr>
          <w:bCs/>
          <w:szCs w:val="21"/>
        </w:rPr>
        <w:t>当投资者的现金红利小于一定金额，不足</w:t>
      </w:r>
      <w:r>
        <w:rPr>
          <w:rFonts w:hint="eastAsia"/>
          <w:bCs/>
          <w:szCs w:val="21"/>
        </w:rPr>
        <w:t>以</w:t>
      </w:r>
      <w:r>
        <w:rPr>
          <w:bCs/>
          <w:szCs w:val="21"/>
        </w:rPr>
        <w:t>支付银行转账或其他手续费用时，基金份额登记机构可将基金份额持有人的现金红利自动转为</w:t>
      </w:r>
      <w:r>
        <w:rPr>
          <w:rFonts w:hint="eastAsia"/>
          <w:szCs w:val="21"/>
        </w:rPr>
        <w:t>相应类别的</w:t>
      </w:r>
      <w:r>
        <w:rPr>
          <w:bCs/>
          <w:szCs w:val="21"/>
        </w:rPr>
        <w:t>基金份额。红利再投资的计算方法，依照业务规则执行</w:t>
      </w:r>
      <w:r>
        <w:rPr>
          <w:rFonts w:hint="eastAsia"/>
          <w:bCs/>
          <w:szCs w:val="21"/>
        </w:rPr>
        <w:t>。</w:t>
      </w:r>
    </w:p>
    <w:p w:rsidR="008711D3" w:rsidRDefault="004479D9">
      <w:pPr>
        <w:spacing w:line="360" w:lineRule="auto"/>
        <w:ind w:firstLineChars="225" w:firstLine="474"/>
        <w:rPr>
          <w:b/>
          <w:bCs/>
          <w:szCs w:val="21"/>
        </w:rPr>
      </w:pPr>
      <w:r>
        <w:rPr>
          <w:rFonts w:hint="eastAsia"/>
          <w:b/>
          <w:bCs/>
          <w:szCs w:val="21"/>
        </w:rPr>
        <w:t>（七）实施侧袋机制期间的收益分配</w:t>
      </w:r>
    </w:p>
    <w:p w:rsidR="008711D3" w:rsidRDefault="004479D9">
      <w:pPr>
        <w:spacing w:line="360" w:lineRule="auto"/>
        <w:ind w:firstLineChars="225" w:firstLine="473"/>
        <w:rPr>
          <w:bCs/>
          <w:szCs w:val="21"/>
        </w:rPr>
      </w:pPr>
      <w:r>
        <w:rPr>
          <w:rFonts w:hint="eastAsia"/>
          <w:bCs/>
          <w:szCs w:val="21"/>
        </w:rPr>
        <w:t>本基金实施侧袋机制的，侧袋账户不进行收益分配，详见招募说明书“侧袋机制”部分的规定。</w:t>
      </w:r>
    </w:p>
    <w:p w:rsidR="008711D3" w:rsidRDefault="008711D3">
      <w:pPr>
        <w:spacing w:line="360" w:lineRule="auto"/>
        <w:ind w:firstLineChars="200" w:firstLine="420"/>
        <w:rPr>
          <w:rFonts w:ascii="宋体" w:hAnsi="宋体"/>
          <w:bCs/>
          <w:szCs w:val="21"/>
        </w:rPr>
      </w:pPr>
    </w:p>
    <w:p w:rsidR="008711D3" w:rsidRDefault="008711D3">
      <w:pPr>
        <w:spacing w:line="360" w:lineRule="auto"/>
        <w:ind w:firstLineChars="225" w:firstLine="473"/>
        <w:rPr>
          <w:rFonts w:ascii="宋体" w:hAnsi="宋体"/>
          <w:bCs/>
          <w:szCs w:val="21"/>
        </w:rPr>
      </w:pPr>
    </w:p>
    <w:p w:rsidR="008711D3" w:rsidRDefault="004479D9">
      <w:pPr>
        <w:widowControl/>
        <w:jc w:val="left"/>
        <w:rPr>
          <w:rFonts w:ascii="宋体" w:hAnsi="宋体"/>
          <w:b/>
          <w:bCs/>
          <w:kern w:val="44"/>
          <w:szCs w:val="21"/>
          <w:lang w:val="zh-CN"/>
        </w:rPr>
      </w:pPr>
      <w:r>
        <w:rPr>
          <w:rFonts w:hAnsi="宋体"/>
          <w:bCs/>
          <w:kern w:val="44"/>
          <w:szCs w:val="21"/>
        </w:rPr>
        <w:br w:type="page"/>
      </w:r>
    </w:p>
    <w:p w:rsidR="008711D3" w:rsidRDefault="004479D9">
      <w:pPr>
        <w:pStyle w:val="1"/>
        <w:spacing w:before="340" w:after="330"/>
        <w:jc w:val="center"/>
        <w:rPr>
          <w:rFonts w:hAnsi="宋体"/>
          <w:bCs/>
          <w:color w:val="auto"/>
          <w:kern w:val="44"/>
          <w:sz w:val="21"/>
          <w:szCs w:val="21"/>
        </w:rPr>
      </w:pPr>
      <w:bookmarkStart w:id="97" w:name="_Toc71748071"/>
      <w:r>
        <w:rPr>
          <w:rFonts w:hAnsi="宋体" w:hint="eastAsia"/>
          <w:bCs/>
          <w:color w:val="auto"/>
          <w:kern w:val="44"/>
          <w:sz w:val="21"/>
          <w:szCs w:val="21"/>
        </w:rPr>
        <w:lastRenderedPageBreak/>
        <w:t>十三、基金的费用与税收</w:t>
      </w:r>
      <w:bookmarkEnd w:id="94"/>
      <w:bookmarkEnd w:id="95"/>
      <w:bookmarkEnd w:id="96"/>
      <w:bookmarkEnd w:id="97"/>
    </w:p>
    <w:p w:rsidR="008711D3" w:rsidRDefault="004479D9">
      <w:pPr>
        <w:spacing w:line="360" w:lineRule="auto"/>
        <w:ind w:firstLineChars="200" w:firstLine="422"/>
        <w:rPr>
          <w:b/>
          <w:szCs w:val="21"/>
        </w:rPr>
      </w:pPr>
      <w:r>
        <w:rPr>
          <w:rFonts w:hint="eastAsia"/>
          <w:b/>
          <w:szCs w:val="21"/>
        </w:rPr>
        <w:t>（一）基金费用的种类</w:t>
      </w:r>
    </w:p>
    <w:p w:rsidR="008711D3" w:rsidRDefault="004479D9">
      <w:pPr>
        <w:spacing w:line="360" w:lineRule="auto"/>
        <w:ind w:firstLineChars="200" w:firstLine="420"/>
        <w:rPr>
          <w:szCs w:val="21"/>
        </w:rPr>
      </w:pPr>
      <w:r>
        <w:rPr>
          <w:szCs w:val="21"/>
        </w:rPr>
        <w:t>1</w:t>
      </w:r>
      <w:r>
        <w:rPr>
          <w:rFonts w:hint="eastAsia"/>
          <w:szCs w:val="21"/>
        </w:rPr>
        <w:t>、基金管理人的管理费；</w:t>
      </w:r>
    </w:p>
    <w:p w:rsidR="008711D3" w:rsidRDefault="004479D9">
      <w:pPr>
        <w:spacing w:line="360" w:lineRule="auto"/>
        <w:ind w:firstLineChars="200" w:firstLine="420"/>
        <w:rPr>
          <w:szCs w:val="21"/>
        </w:rPr>
      </w:pPr>
      <w:r>
        <w:rPr>
          <w:szCs w:val="21"/>
        </w:rPr>
        <w:t>2</w:t>
      </w:r>
      <w:r>
        <w:rPr>
          <w:rFonts w:hint="eastAsia"/>
          <w:szCs w:val="21"/>
        </w:rPr>
        <w:t>、基金托管人的托管费；</w:t>
      </w:r>
    </w:p>
    <w:p w:rsidR="008711D3" w:rsidRDefault="004479D9">
      <w:pPr>
        <w:spacing w:line="360" w:lineRule="auto"/>
        <w:ind w:firstLineChars="200" w:firstLine="420"/>
        <w:rPr>
          <w:szCs w:val="21"/>
        </w:rPr>
      </w:pPr>
      <w:r>
        <w:rPr>
          <w:szCs w:val="21"/>
        </w:rPr>
        <w:t>3</w:t>
      </w:r>
      <w:r>
        <w:rPr>
          <w:rFonts w:hint="eastAsia"/>
          <w:szCs w:val="21"/>
        </w:rPr>
        <w:t>、销售服务费；</w:t>
      </w:r>
    </w:p>
    <w:p w:rsidR="008711D3" w:rsidRDefault="004479D9">
      <w:pPr>
        <w:spacing w:line="360" w:lineRule="auto"/>
        <w:ind w:firstLineChars="200" w:firstLine="420"/>
        <w:rPr>
          <w:szCs w:val="21"/>
        </w:rPr>
      </w:pPr>
      <w:r>
        <w:rPr>
          <w:rFonts w:hint="eastAsia"/>
          <w:szCs w:val="21"/>
        </w:rPr>
        <w:t>4</w:t>
      </w:r>
      <w:r>
        <w:rPr>
          <w:rFonts w:hint="eastAsia"/>
          <w:szCs w:val="21"/>
        </w:rPr>
        <w:t>、基金合同生效后与基金相关的信息披露费用；</w:t>
      </w:r>
    </w:p>
    <w:p w:rsidR="008711D3" w:rsidRDefault="004479D9">
      <w:pPr>
        <w:spacing w:line="360" w:lineRule="auto"/>
        <w:ind w:firstLineChars="200" w:firstLine="420"/>
        <w:rPr>
          <w:szCs w:val="21"/>
        </w:rPr>
      </w:pPr>
      <w:r>
        <w:rPr>
          <w:szCs w:val="21"/>
        </w:rPr>
        <w:t>5</w:t>
      </w:r>
      <w:r>
        <w:rPr>
          <w:rFonts w:hint="eastAsia"/>
          <w:szCs w:val="21"/>
        </w:rPr>
        <w:t>、基金合同生效后与基金相关的会计师费、律师费和诉讼费或仲裁费；</w:t>
      </w:r>
    </w:p>
    <w:p w:rsidR="008711D3" w:rsidRDefault="004479D9">
      <w:pPr>
        <w:spacing w:line="360" w:lineRule="auto"/>
        <w:ind w:firstLineChars="200" w:firstLine="420"/>
        <w:rPr>
          <w:szCs w:val="21"/>
        </w:rPr>
      </w:pPr>
      <w:r>
        <w:rPr>
          <w:szCs w:val="21"/>
        </w:rPr>
        <w:t>6</w:t>
      </w:r>
      <w:r>
        <w:rPr>
          <w:rFonts w:hint="eastAsia"/>
          <w:szCs w:val="21"/>
        </w:rPr>
        <w:t>、基金份额持有人大会费用；</w:t>
      </w:r>
    </w:p>
    <w:p w:rsidR="008711D3" w:rsidRDefault="004479D9">
      <w:pPr>
        <w:spacing w:line="360" w:lineRule="auto"/>
        <w:ind w:firstLineChars="200" w:firstLine="420"/>
        <w:rPr>
          <w:szCs w:val="21"/>
        </w:rPr>
      </w:pPr>
      <w:r>
        <w:rPr>
          <w:szCs w:val="21"/>
        </w:rPr>
        <w:t>7</w:t>
      </w:r>
      <w:r>
        <w:rPr>
          <w:rFonts w:hint="eastAsia"/>
          <w:szCs w:val="21"/>
        </w:rPr>
        <w:t>、基金的证券、期货交易费用；</w:t>
      </w:r>
    </w:p>
    <w:p w:rsidR="008711D3" w:rsidRDefault="004479D9">
      <w:pPr>
        <w:spacing w:line="360" w:lineRule="auto"/>
        <w:ind w:firstLineChars="200" w:firstLine="420"/>
        <w:rPr>
          <w:szCs w:val="21"/>
        </w:rPr>
      </w:pPr>
      <w:r>
        <w:rPr>
          <w:szCs w:val="21"/>
        </w:rPr>
        <w:t>8</w:t>
      </w:r>
      <w:r>
        <w:rPr>
          <w:rFonts w:hint="eastAsia"/>
          <w:szCs w:val="21"/>
        </w:rPr>
        <w:t>、基金的银行汇划费用；</w:t>
      </w:r>
    </w:p>
    <w:p w:rsidR="008711D3" w:rsidRDefault="004479D9">
      <w:pPr>
        <w:spacing w:line="360" w:lineRule="auto"/>
        <w:ind w:firstLineChars="200" w:firstLine="420"/>
        <w:rPr>
          <w:szCs w:val="21"/>
        </w:rPr>
      </w:pPr>
      <w:r>
        <w:rPr>
          <w:bCs/>
          <w:szCs w:val="21"/>
        </w:rPr>
        <w:t>9</w:t>
      </w:r>
      <w:r>
        <w:rPr>
          <w:rFonts w:hint="eastAsia"/>
          <w:szCs w:val="21"/>
        </w:rPr>
        <w:t>、基金的开户费用、账户维护费用；</w:t>
      </w:r>
    </w:p>
    <w:p w:rsidR="008711D3" w:rsidRDefault="004479D9">
      <w:pPr>
        <w:spacing w:line="360" w:lineRule="auto"/>
        <w:ind w:firstLineChars="200" w:firstLine="420"/>
        <w:rPr>
          <w:bCs/>
          <w:szCs w:val="21"/>
        </w:rPr>
      </w:pPr>
      <w:r>
        <w:rPr>
          <w:bCs/>
          <w:szCs w:val="21"/>
        </w:rPr>
        <w:t>10</w:t>
      </w:r>
      <w:r>
        <w:rPr>
          <w:bCs/>
          <w:szCs w:val="21"/>
        </w:rPr>
        <w:t>、</w:t>
      </w:r>
      <w:r>
        <w:rPr>
          <w:rFonts w:hint="eastAsia"/>
          <w:bCs/>
          <w:szCs w:val="21"/>
        </w:rPr>
        <w:t>因投资港股通标的股票而产生的各项费用；</w:t>
      </w:r>
    </w:p>
    <w:p w:rsidR="008711D3" w:rsidRDefault="004479D9">
      <w:pPr>
        <w:spacing w:line="360" w:lineRule="auto"/>
        <w:ind w:firstLineChars="200" w:firstLine="420"/>
        <w:rPr>
          <w:szCs w:val="21"/>
        </w:rPr>
      </w:pPr>
      <w:r>
        <w:rPr>
          <w:bCs/>
          <w:szCs w:val="21"/>
        </w:rPr>
        <w:t>11</w:t>
      </w:r>
      <w:r>
        <w:rPr>
          <w:rFonts w:hint="eastAsia"/>
          <w:szCs w:val="21"/>
        </w:rPr>
        <w:t>、按照国家有关规定和基金合同约定，可以在基金财产中列支的其他费用。</w:t>
      </w:r>
    </w:p>
    <w:p w:rsidR="008711D3" w:rsidRDefault="004479D9">
      <w:pPr>
        <w:spacing w:line="360" w:lineRule="auto"/>
        <w:ind w:firstLineChars="200" w:firstLine="422"/>
        <w:rPr>
          <w:b/>
          <w:szCs w:val="21"/>
        </w:rPr>
      </w:pPr>
      <w:r>
        <w:rPr>
          <w:rFonts w:hint="eastAsia"/>
          <w:b/>
          <w:szCs w:val="21"/>
        </w:rPr>
        <w:t>（二）基金费用计提方法、计提标准和支付方式</w:t>
      </w:r>
    </w:p>
    <w:p w:rsidR="008711D3" w:rsidRDefault="004479D9">
      <w:pPr>
        <w:spacing w:line="360" w:lineRule="auto"/>
        <w:ind w:firstLineChars="200" w:firstLine="420"/>
        <w:rPr>
          <w:szCs w:val="21"/>
        </w:rPr>
      </w:pPr>
      <w:r>
        <w:rPr>
          <w:szCs w:val="21"/>
        </w:rPr>
        <w:t>1</w:t>
      </w:r>
      <w:r>
        <w:rPr>
          <w:rFonts w:hint="eastAsia"/>
          <w:szCs w:val="21"/>
        </w:rPr>
        <w:t>、基金管理人的管理费</w:t>
      </w:r>
      <w:r>
        <w:rPr>
          <w:szCs w:val="21"/>
        </w:rPr>
        <w:t xml:space="preserve"> </w:t>
      </w:r>
    </w:p>
    <w:p w:rsidR="008711D3" w:rsidRDefault="004479D9">
      <w:pPr>
        <w:spacing w:line="360" w:lineRule="auto"/>
        <w:ind w:firstLineChars="200" w:firstLine="420"/>
        <w:rPr>
          <w:szCs w:val="21"/>
        </w:rPr>
      </w:pPr>
      <w:r>
        <w:rPr>
          <w:rFonts w:hint="eastAsia"/>
          <w:szCs w:val="21"/>
        </w:rPr>
        <w:t>本基金的管理费按前一日基金资产净值的</w:t>
      </w:r>
      <w:r>
        <w:rPr>
          <w:bCs/>
          <w:szCs w:val="21"/>
        </w:rPr>
        <w:t>1.5</w:t>
      </w:r>
      <w:r>
        <w:rPr>
          <w:szCs w:val="21"/>
        </w:rPr>
        <w:t>%</w:t>
      </w:r>
      <w:r>
        <w:rPr>
          <w:rFonts w:hint="eastAsia"/>
          <w:szCs w:val="21"/>
        </w:rPr>
        <w:t>年费率计提。管理费的计算方法如下：</w:t>
      </w:r>
    </w:p>
    <w:p w:rsidR="008711D3" w:rsidRDefault="004479D9">
      <w:pPr>
        <w:spacing w:line="360" w:lineRule="auto"/>
        <w:ind w:firstLineChars="200" w:firstLine="420"/>
        <w:rPr>
          <w:szCs w:val="21"/>
        </w:rPr>
      </w:pPr>
      <w:r>
        <w:rPr>
          <w:szCs w:val="21"/>
        </w:rPr>
        <w:t>H</w:t>
      </w:r>
      <w:r>
        <w:rPr>
          <w:rFonts w:hint="eastAsia"/>
          <w:szCs w:val="21"/>
        </w:rPr>
        <w:t>＝</w:t>
      </w:r>
      <w:r>
        <w:rPr>
          <w:szCs w:val="21"/>
        </w:rPr>
        <w:t>E×</w:t>
      </w:r>
      <w:r>
        <w:rPr>
          <w:bCs/>
          <w:szCs w:val="21"/>
        </w:rPr>
        <w:t>1.5</w:t>
      </w:r>
      <w:r>
        <w:rPr>
          <w:szCs w:val="21"/>
        </w:rPr>
        <w:t>%÷</w:t>
      </w:r>
      <w:r>
        <w:rPr>
          <w:rFonts w:hint="eastAsia"/>
          <w:szCs w:val="21"/>
        </w:rPr>
        <w:t>当年天数</w:t>
      </w:r>
    </w:p>
    <w:p w:rsidR="008711D3" w:rsidRDefault="004479D9">
      <w:pPr>
        <w:spacing w:line="360" w:lineRule="auto"/>
        <w:ind w:firstLineChars="200" w:firstLine="420"/>
        <w:rPr>
          <w:szCs w:val="21"/>
        </w:rPr>
      </w:pPr>
      <w:r>
        <w:rPr>
          <w:szCs w:val="21"/>
        </w:rPr>
        <w:t>H</w:t>
      </w:r>
      <w:r>
        <w:rPr>
          <w:rFonts w:hint="eastAsia"/>
          <w:szCs w:val="21"/>
        </w:rPr>
        <w:t>为每日应计提的基金管理费</w:t>
      </w:r>
    </w:p>
    <w:p w:rsidR="008711D3" w:rsidRDefault="004479D9">
      <w:pPr>
        <w:spacing w:line="360" w:lineRule="auto"/>
        <w:ind w:firstLineChars="200" w:firstLine="420"/>
        <w:rPr>
          <w:szCs w:val="21"/>
        </w:rPr>
      </w:pPr>
      <w:r>
        <w:rPr>
          <w:szCs w:val="21"/>
        </w:rPr>
        <w:t>E</w:t>
      </w:r>
      <w:r>
        <w:rPr>
          <w:rFonts w:hint="eastAsia"/>
          <w:szCs w:val="21"/>
        </w:rPr>
        <w:t>为前一日的基金资产净值</w:t>
      </w:r>
    </w:p>
    <w:p w:rsidR="008711D3" w:rsidRDefault="004479D9">
      <w:pPr>
        <w:spacing w:line="360" w:lineRule="auto"/>
        <w:ind w:firstLineChars="200" w:firstLine="420"/>
        <w:rPr>
          <w:szCs w:val="21"/>
        </w:rPr>
      </w:pPr>
      <w:r>
        <w:rPr>
          <w:rFonts w:hint="eastAsia"/>
          <w:szCs w:val="21"/>
        </w:rPr>
        <w:t>基金管理费每日计算，逐日累计至每月月末，按月支付，经基金管理人与基金托管人双方核对无误后，由基金托管人按照与基金管理人协商一致的方式，自动于月初</w:t>
      </w:r>
      <w:r>
        <w:rPr>
          <w:rFonts w:hint="eastAsia"/>
          <w:szCs w:val="21"/>
        </w:rPr>
        <w:t>5</w:t>
      </w:r>
      <w:r>
        <w:rPr>
          <w:rFonts w:hint="eastAsia"/>
          <w:szCs w:val="21"/>
        </w:rPr>
        <w:t>个工作日内按照指定的账户路径进行资金支付，基金管理人无需再出具资金划拨指令。若遇法定节假日、休息日或不可抗力等，支付日期顺延至最近可支付日支付。费用自动扣划后，基金管理人应进行核对，如发现数据不符，及时联系基金托管人协商解决。</w:t>
      </w:r>
    </w:p>
    <w:p w:rsidR="008711D3" w:rsidRDefault="004479D9">
      <w:pPr>
        <w:spacing w:line="360" w:lineRule="auto"/>
        <w:ind w:firstLineChars="200" w:firstLine="420"/>
        <w:rPr>
          <w:szCs w:val="21"/>
        </w:rPr>
      </w:pPr>
      <w:r>
        <w:rPr>
          <w:szCs w:val="21"/>
        </w:rPr>
        <w:t>2</w:t>
      </w:r>
      <w:r>
        <w:rPr>
          <w:rFonts w:hint="eastAsia"/>
          <w:szCs w:val="21"/>
        </w:rPr>
        <w:t>、基金托管人的托管费</w:t>
      </w:r>
    </w:p>
    <w:p w:rsidR="008711D3" w:rsidRDefault="004479D9">
      <w:pPr>
        <w:spacing w:line="360" w:lineRule="auto"/>
        <w:ind w:firstLineChars="200" w:firstLine="420"/>
        <w:rPr>
          <w:szCs w:val="21"/>
        </w:rPr>
      </w:pPr>
      <w:r>
        <w:rPr>
          <w:rFonts w:hint="eastAsia"/>
          <w:szCs w:val="21"/>
        </w:rPr>
        <w:t>本基金的托管费按前一日基金资产净值的</w:t>
      </w:r>
      <w:r>
        <w:rPr>
          <w:rFonts w:hint="eastAsia"/>
          <w:bCs/>
          <w:szCs w:val="21"/>
        </w:rPr>
        <w:t>0.25</w:t>
      </w:r>
      <w:r>
        <w:rPr>
          <w:szCs w:val="21"/>
        </w:rPr>
        <w:t>%</w:t>
      </w:r>
      <w:r>
        <w:rPr>
          <w:rFonts w:hint="eastAsia"/>
          <w:szCs w:val="21"/>
        </w:rPr>
        <w:t>的年费率计提。托管费的计算方法如下：</w:t>
      </w:r>
    </w:p>
    <w:p w:rsidR="008711D3" w:rsidRDefault="004479D9">
      <w:pPr>
        <w:spacing w:line="360" w:lineRule="auto"/>
        <w:ind w:firstLineChars="200" w:firstLine="420"/>
        <w:rPr>
          <w:szCs w:val="21"/>
        </w:rPr>
      </w:pPr>
      <w:r>
        <w:rPr>
          <w:szCs w:val="21"/>
        </w:rPr>
        <w:t>H</w:t>
      </w:r>
      <w:r>
        <w:rPr>
          <w:rFonts w:hint="eastAsia"/>
          <w:szCs w:val="21"/>
        </w:rPr>
        <w:t>＝</w:t>
      </w:r>
      <w:r>
        <w:rPr>
          <w:szCs w:val="21"/>
        </w:rPr>
        <w:t>E×</w:t>
      </w:r>
      <w:r>
        <w:rPr>
          <w:rFonts w:hint="eastAsia"/>
          <w:bCs/>
          <w:szCs w:val="21"/>
        </w:rPr>
        <w:t>0.25</w:t>
      </w:r>
      <w:r>
        <w:rPr>
          <w:szCs w:val="21"/>
        </w:rPr>
        <w:t>%÷</w:t>
      </w:r>
      <w:r>
        <w:rPr>
          <w:rFonts w:hint="eastAsia"/>
          <w:szCs w:val="21"/>
        </w:rPr>
        <w:t>当年天数</w:t>
      </w:r>
    </w:p>
    <w:p w:rsidR="008711D3" w:rsidRDefault="004479D9">
      <w:pPr>
        <w:spacing w:line="360" w:lineRule="auto"/>
        <w:ind w:firstLineChars="200" w:firstLine="420"/>
        <w:rPr>
          <w:szCs w:val="21"/>
        </w:rPr>
      </w:pPr>
      <w:r>
        <w:rPr>
          <w:szCs w:val="21"/>
        </w:rPr>
        <w:t>H</w:t>
      </w:r>
      <w:r>
        <w:rPr>
          <w:rFonts w:hint="eastAsia"/>
          <w:szCs w:val="21"/>
        </w:rPr>
        <w:t>为每日应计提的基金托管费</w:t>
      </w:r>
    </w:p>
    <w:p w:rsidR="008711D3" w:rsidRDefault="004479D9">
      <w:pPr>
        <w:spacing w:line="360" w:lineRule="auto"/>
        <w:ind w:firstLineChars="200" w:firstLine="420"/>
        <w:rPr>
          <w:szCs w:val="21"/>
        </w:rPr>
      </w:pPr>
      <w:r>
        <w:rPr>
          <w:szCs w:val="21"/>
        </w:rPr>
        <w:t>E</w:t>
      </w:r>
      <w:r>
        <w:rPr>
          <w:rFonts w:hint="eastAsia"/>
          <w:szCs w:val="21"/>
        </w:rPr>
        <w:t>为前一日的基金资产净值</w:t>
      </w:r>
    </w:p>
    <w:p w:rsidR="008711D3" w:rsidRDefault="004479D9">
      <w:pPr>
        <w:spacing w:line="360" w:lineRule="auto"/>
        <w:ind w:firstLineChars="200" w:firstLine="420"/>
        <w:rPr>
          <w:szCs w:val="21"/>
        </w:rPr>
      </w:pPr>
      <w:r>
        <w:rPr>
          <w:rFonts w:hint="eastAsia"/>
          <w:szCs w:val="21"/>
        </w:rPr>
        <w:lastRenderedPageBreak/>
        <w:t>基金托管费每日计算，逐日累计至每月月末，按月支付，由基金托管人根据与基金管理人核对一致的财务数据，自动在月初</w:t>
      </w:r>
      <w:r>
        <w:rPr>
          <w:rFonts w:hint="eastAsia"/>
          <w:szCs w:val="21"/>
        </w:rPr>
        <w:t>5</w:t>
      </w:r>
      <w:r>
        <w:rPr>
          <w:rFonts w:hint="eastAsia"/>
          <w:szCs w:val="21"/>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rsidR="008711D3" w:rsidRDefault="004479D9">
      <w:pPr>
        <w:spacing w:line="360" w:lineRule="auto"/>
        <w:ind w:firstLineChars="200" w:firstLine="420"/>
        <w:rPr>
          <w:szCs w:val="21"/>
        </w:rPr>
      </w:pPr>
      <w:r>
        <w:rPr>
          <w:rFonts w:hint="eastAsia"/>
          <w:szCs w:val="21"/>
        </w:rPr>
        <w:t>3</w:t>
      </w:r>
      <w:r>
        <w:rPr>
          <w:rFonts w:hint="eastAsia"/>
          <w:szCs w:val="21"/>
        </w:rPr>
        <w:t>、基金的销售服务费</w:t>
      </w:r>
    </w:p>
    <w:p w:rsidR="008711D3" w:rsidRDefault="004479D9">
      <w:pPr>
        <w:spacing w:line="360" w:lineRule="auto"/>
        <w:ind w:firstLineChars="200" w:firstLine="420"/>
        <w:rPr>
          <w:szCs w:val="21"/>
        </w:rPr>
      </w:pPr>
      <w:r>
        <w:rPr>
          <w:rFonts w:hint="eastAsia"/>
          <w:szCs w:val="21"/>
        </w:rPr>
        <w:t>本基金</w:t>
      </w:r>
      <w:r>
        <w:rPr>
          <w:rFonts w:hint="eastAsia"/>
          <w:szCs w:val="21"/>
        </w:rPr>
        <w:t>A</w:t>
      </w:r>
      <w:r>
        <w:rPr>
          <w:rFonts w:hint="eastAsia"/>
          <w:szCs w:val="21"/>
        </w:rPr>
        <w:t>类基金份额不收取销售服务费，</w:t>
      </w:r>
      <w:r>
        <w:rPr>
          <w:rFonts w:hint="eastAsia"/>
          <w:szCs w:val="21"/>
        </w:rPr>
        <w:t>C</w:t>
      </w:r>
      <w:r>
        <w:rPr>
          <w:rFonts w:hint="eastAsia"/>
          <w:szCs w:val="21"/>
        </w:rPr>
        <w:t>类基金份额的销售服务费年费率为</w:t>
      </w:r>
      <w:r>
        <w:rPr>
          <w:rFonts w:hint="eastAsia"/>
          <w:szCs w:val="21"/>
        </w:rPr>
        <w:t>0.</w:t>
      </w:r>
      <w:r>
        <w:rPr>
          <w:szCs w:val="21"/>
        </w:rPr>
        <w:t>5</w:t>
      </w:r>
      <w:r>
        <w:rPr>
          <w:rFonts w:hint="eastAsia"/>
          <w:szCs w:val="21"/>
        </w:rPr>
        <w:t>0%</w:t>
      </w:r>
      <w:r>
        <w:rPr>
          <w:rFonts w:hint="eastAsia"/>
          <w:szCs w:val="21"/>
        </w:rPr>
        <w:t>，按前一日</w:t>
      </w:r>
      <w:r>
        <w:rPr>
          <w:rFonts w:hint="eastAsia"/>
          <w:szCs w:val="21"/>
        </w:rPr>
        <w:t>C</w:t>
      </w:r>
      <w:r>
        <w:rPr>
          <w:rFonts w:hint="eastAsia"/>
          <w:szCs w:val="21"/>
        </w:rPr>
        <w:t>类基金份额的基金资产净值的</w:t>
      </w:r>
      <w:r>
        <w:rPr>
          <w:rFonts w:hint="eastAsia"/>
          <w:szCs w:val="21"/>
        </w:rPr>
        <w:t>0.</w:t>
      </w:r>
      <w:r>
        <w:rPr>
          <w:szCs w:val="21"/>
        </w:rPr>
        <w:t>5</w:t>
      </w:r>
      <w:r>
        <w:rPr>
          <w:rFonts w:hint="eastAsia"/>
          <w:szCs w:val="21"/>
        </w:rPr>
        <w:t>0%</w:t>
      </w:r>
      <w:r>
        <w:rPr>
          <w:rFonts w:hint="eastAsia"/>
          <w:szCs w:val="21"/>
        </w:rPr>
        <w:t>年费率计提。</w:t>
      </w:r>
    </w:p>
    <w:p w:rsidR="008711D3" w:rsidRDefault="004479D9">
      <w:pPr>
        <w:spacing w:line="360" w:lineRule="auto"/>
        <w:ind w:firstLineChars="200" w:firstLine="420"/>
        <w:rPr>
          <w:szCs w:val="21"/>
        </w:rPr>
      </w:pPr>
      <w:r>
        <w:rPr>
          <w:rFonts w:hint="eastAsia"/>
          <w:szCs w:val="21"/>
        </w:rPr>
        <w:t>销售服务费的计算方法如下：</w:t>
      </w:r>
    </w:p>
    <w:p w:rsidR="008711D3" w:rsidRDefault="004479D9">
      <w:pPr>
        <w:spacing w:line="360" w:lineRule="auto"/>
        <w:ind w:firstLineChars="200" w:firstLine="420"/>
        <w:rPr>
          <w:szCs w:val="21"/>
        </w:rPr>
      </w:pPr>
      <w:r>
        <w:rPr>
          <w:rFonts w:hint="eastAsia"/>
          <w:szCs w:val="21"/>
        </w:rPr>
        <w:t>H</w:t>
      </w:r>
      <w:r>
        <w:rPr>
          <w:rFonts w:hint="eastAsia"/>
          <w:szCs w:val="21"/>
        </w:rPr>
        <w:t>＝</w:t>
      </w:r>
      <w:r>
        <w:rPr>
          <w:rFonts w:hint="eastAsia"/>
          <w:szCs w:val="21"/>
        </w:rPr>
        <w:t>E</w:t>
      </w:r>
      <w:r>
        <w:rPr>
          <w:rFonts w:hint="eastAsia"/>
          <w:szCs w:val="21"/>
        </w:rPr>
        <w:t>×</w:t>
      </w:r>
      <w:r>
        <w:rPr>
          <w:rFonts w:hint="eastAsia"/>
          <w:szCs w:val="21"/>
        </w:rPr>
        <w:t>0.</w:t>
      </w:r>
      <w:r>
        <w:rPr>
          <w:szCs w:val="21"/>
        </w:rPr>
        <w:t>5</w:t>
      </w:r>
      <w:r>
        <w:rPr>
          <w:rFonts w:hint="eastAsia"/>
          <w:szCs w:val="21"/>
        </w:rPr>
        <w:t>0%</w:t>
      </w:r>
      <w:r>
        <w:rPr>
          <w:rFonts w:hint="eastAsia"/>
          <w:szCs w:val="21"/>
        </w:rPr>
        <w:t>÷当年天数</w:t>
      </w:r>
    </w:p>
    <w:p w:rsidR="008711D3" w:rsidRDefault="004479D9">
      <w:pPr>
        <w:spacing w:line="360" w:lineRule="auto"/>
        <w:ind w:firstLineChars="200" w:firstLine="420"/>
        <w:rPr>
          <w:szCs w:val="21"/>
        </w:rPr>
      </w:pPr>
      <w:r>
        <w:rPr>
          <w:rFonts w:hint="eastAsia"/>
          <w:szCs w:val="21"/>
        </w:rPr>
        <w:t>H</w:t>
      </w:r>
      <w:r>
        <w:rPr>
          <w:rFonts w:hint="eastAsia"/>
          <w:szCs w:val="21"/>
        </w:rPr>
        <w:t>为</w:t>
      </w:r>
      <w:r>
        <w:rPr>
          <w:rFonts w:hint="eastAsia"/>
          <w:szCs w:val="21"/>
        </w:rPr>
        <w:t>C</w:t>
      </w:r>
      <w:r>
        <w:rPr>
          <w:rFonts w:hint="eastAsia"/>
          <w:szCs w:val="21"/>
        </w:rPr>
        <w:t>类基金份额每日应计提的销售服务费</w:t>
      </w:r>
    </w:p>
    <w:p w:rsidR="008711D3" w:rsidRDefault="004479D9">
      <w:pPr>
        <w:spacing w:line="360" w:lineRule="auto"/>
        <w:ind w:firstLineChars="200" w:firstLine="420"/>
        <w:rPr>
          <w:szCs w:val="21"/>
        </w:rPr>
      </w:pPr>
      <w:r>
        <w:rPr>
          <w:rFonts w:hint="eastAsia"/>
          <w:szCs w:val="21"/>
        </w:rPr>
        <w:t>E</w:t>
      </w:r>
      <w:r>
        <w:rPr>
          <w:rFonts w:hint="eastAsia"/>
          <w:szCs w:val="21"/>
        </w:rPr>
        <w:t>为</w:t>
      </w:r>
      <w:r>
        <w:rPr>
          <w:rFonts w:hint="eastAsia"/>
          <w:szCs w:val="21"/>
        </w:rPr>
        <w:t>C</w:t>
      </w:r>
      <w:r>
        <w:rPr>
          <w:rFonts w:hint="eastAsia"/>
          <w:szCs w:val="21"/>
        </w:rPr>
        <w:t>类基金份额前一日基金资产净值</w:t>
      </w:r>
    </w:p>
    <w:p w:rsidR="008711D3" w:rsidRDefault="004479D9">
      <w:pPr>
        <w:spacing w:line="360" w:lineRule="auto"/>
        <w:ind w:firstLineChars="200" w:firstLine="420"/>
        <w:rPr>
          <w:szCs w:val="21"/>
        </w:rPr>
      </w:pPr>
      <w:r>
        <w:rPr>
          <w:rFonts w:hint="eastAsia"/>
          <w:szCs w:val="21"/>
        </w:rPr>
        <w:t>销售服务费每日计算，逐日累计至每月月末，按月支付，经基金管理人和基金托管人双方核对无误后，基金托管人按照与基金管理人协商一致的方式于次月前</w:t>
      </w:r>
      <w:r>
        <w:rPr>
          <w:rFonts w:hint="eastAsia"/>
          <w:szCs w:val="21"/>
        </w:rPr>
        <w:t>5</w:t>
      </w:r>
      <w:r>
        <w:rPr>
          <w:rFonts w:hint="eastAsia"/>
          <w:szCs w:val="21"/>
        </w:rPr>
        <w:t>个工作日内从基金财产中一次性划出，经登记机构分别支付给各个基金销售机构。若遇法定节假日、休息日或不可抗力等，支付日期顺延至最近可支付日支付。</w:t>
      </w:r>
    </w:p>
    <w:p w:rsidR="008711D3" w:rsidRDefault="004479D9">
      <w:pPr>
        <w:spacing w:line="360" w:lineRule="auto"/>
        <w:ind w:firstLineChars="200" w:firstLine="420"/>
        <w:rPr>
          <w:szCs w:val="21"/>
        </w:rPr>
      </w:pPr>
      <w:r>
        <w:rPr>
          <w:rFonts w:hint="eastAsia"/>
          <w:szCs w:val="21"/>
        </w:rPr>
        <w:t>上述</w:t>
      </w:r>
      <w:r>
        <w:rPr>
          <w:szCs w:val="21"/>
        </w:rPr>
        <w:t>“</w:t>
      </w:r>
      <w:r>
        <w:rPr>
          <w:rFonts w:hint="eastAsia"/>
          <w:szCs w:val="21"/>
        </w:rPr>
        <w:t>（一）基金费用的种类”中第</w:t>
      </w:r>
      <w:r>
        <w:rPr>
          <w:szCs w:val="21"/>
        </w:rPr>
        <w:t>4</w:t>
      </w:r>
      <w:r>
        <w:rPr>
          <w:rFonts w:hint="eastAsia"/>
          <w:szCs w:val="21"/>
        </w:rPr>
        <w:t>－</w:t>
      </w:r>
      <w:r>
        <w:rPr>
          <w:bCs/>
          <w:szCs w:val="21"/>
        </w:rPr>
        <w:t>11</w:t>
      </w:r>
      <w:r>
        <w:rPr>
          <w:rFonts w:hint="eastAsia"/>
          <w:szCs w:val="21"/>
        </w:rPr>
        <w:t>项费用，根据有关法规及相应协议规定，按费用实际支出金额列入当期费用，由基金托管人从基金财产中支付。</w:t>
      </w:r>
    </w:p>
    <w:p w:rsidR="008711D3" w:rsidRDefault="004479D9">
      <w:pPr>
        <w:spacing w:line="360" w:lineRule="auto"/>
        <w:ind w:firstLineChars="200" w:firstLine="422"/>
        <w:rPr>
          <w:b/>
          <w:szCs w:val="21"/>
        </w:rPr>
      </w:pPr>
      <w:r>
        <w:rPr>
          <w:rFonts w:hint="eastAsia"/>
          <w:b/>
          <w:szCs w:val="21"/>
        </w:rPr>
        <w:t>（三）不列入基金费用的项目</w:t>
      </w:r>
    </w:p>
    <w:p w:rsidR="008711D3" w:rsidRDefault="004479D9">
      <w:pPr>
        <w:spacing w:line="360" w:lineRule="auto"/>
        <w:ind w:firstLineChars="200" w:firstLine="420"/>
        <w:rPr>
          <w:szCs w:val="21"/>
        </w:rPr>
      </w:pPr>
      <w:r>
        <w:rPr>
          <w:rFonts w:hint="eastAsia"/>
          <w:szCs w:val="21"/>
        </w:rPr>
        <w:t>下列费用不列入基金费用：</w:t>
      </w:r>
    </w:p>
    <w:p w:rsidR="008711D3" w:rsidRDefault="004479D9">
      <w:pPr>
        <w:spacing w:line="360" w:lineRule="auto"/>
        <w:ind w:firstLineChars="200" w:firstLine="420"/>
        <w:rPr>
          <w:szCs w:val="21"/>
        </w:rPr>
      </w:pPr>
      <w:r>
        <w:rPr>
          <w:szCs w:val="21"/>
        </w:rPr>
        <w:t>1</w:t>
      </w:r>
      <w:r>
        <w:rPr>
          <w:rFonts w:hint="eastAsia"/>
          <w:szCs w:val="21"/>
        </w:rPr>
        <w:t>、基金管理人和基金托管人因未履行或未完全履行义务导致的费用支出或基金财产的损失；</w:t>
      </w:r>
    </w:p>
    <w:p w:rsidR="008711D3" w:rsidRDefault="004479D9">
      <w:pPr>
        <w:spacing w:line="360" w:lineRule="auto"/>
        <w:ind w:firstLineChars="200" w:firstLine="420"/>
        <w:rPr>
          <w:szCs w:val="21"/>
        </w:rPr>
      </w:pPr>
      <w:r>
        <w:rPr>
          <w:szCs w:val="21"/>
        </w:rPr>
        <w:t>2</w:t>
      </w:r>
      <w:r>
        <w:rPr>
          <w:rFonts w:hint="eastAsia"/>
          <w:szCs w:val="21"/>
        </w:rPr>
        <w:t>、基金管理人和基金托管人处理与基金运作无关的事项发生的费用；</w:t>
      </w:r>
    </w:p>
    <w:p w:rsidR="008711D3" w:rsidRDefault="004479D9">
      <w:pPr>
        <w:spacing w:line="360" w:lineRule="auto"/>
        <w:ind w:firstLineChars="200" w:firstLine="420"/>
        <w:rPr>
          <w:szCs w:val="21"/>
        </w:rPr>
      </w:pPr>
      <w:r>
        <w:rPr>
          <w:szCs w:val="21"/>
        </w:rPr>
        <w:t>3</w:t>
      </w:r>
      <w:r>
        <w:rPr>
          <w:rFonts w:hint="eastAsia"/>
          <w:szCs w:val="21"/>
        </w:rPr>
        <w:t>、基金合同生效前的相关费用；</w:t>
      </w:r>
    </w:p>
    <w:p w:rsidR="008711D3" w:rsidRDefault="004479D9">
      <w:pPr>
        <w:spacing w:line="360" w:lineRule="auto"/>
        <w:ind w:firstLineChars="200" w:firstLine="420"/>
        <w:rPr>
          <w:szCs w:val="21"/>
        </w:rPr>
      </w:pPr>
      <w:r>
        <w:rPr>
          <w:szCs w:val="21"/>
        </w:rPr>
        <w:t>4</w:t>
      </w:r>
      <w:r>
        <w:rPr>
          <w:rFonts w:hint="eastAsia"/>
          <w:szCs w:val="21"/>
        </w:rPr>
        <w:t>、其他根据相关法律法规及中国证监会的有关规定不得列入基金费用的项目。</w:t>
      </w:r>
    </w:p>
    <w:p w:rsidR="008711D3" w:rsidRDefault="004479D9">
      <w:pPr>
        <w:spacing w:line="360" w:lineRule="auto"/>
        <w:ind w:firstLineChars="200" w:firstLine="422"/>
        <w:rPr>
          <w:b/>
          <w:szCs w:val="21"/>
        </w:rPr>
      </w:pPr>
      <w:r>
        <w:rPr>
          <w:rFonts w:hint="eastAsia"/>
          <w:b/>
          <w:szCs w:val="21"/>
        </w:rPr>
        <w:t>（四）实施侧袋机制期间的基金费用</w:t>
      </w:r>
    </w:p>
    <w:p w:rsidR="008711D3" w:rsidRDefault="004479D9">
      <w:pPr>
        <w:spacing w:line="360" w:lineRule="auto"/>
        <w:ind w:firstLineChars="200" w:firstLine="420"/>
        <w:rPr>
          <w:szCs w:val="21"/>
        </w:rPr>
      </w:pPr>
      <w:r>
        <w:rPr>
          <w:rFonts w:hint="eastAsia"/>
          <w:szCs w:val="21"/>
        </w:rPr>
        <w:t>本基金实施侧袋机制的，与侧袋账户有关的费用可以从侧袋账户中列支，但应待侧袋账户资产变现后方可列支，有关费用可酌情收取或减免，但不得收取管理费，详见招募说明书“侧袋机制”部分的规定。</w:t>
      </w:r>
    </w:p>
    <w:p w:rsidR="008711D3" w:rsidRDefault="004479D9">
      <w:pPr>
        <w:spacing w:line="360" w:lineRule="auto"/>
        <w:ind w:firstLineChars="200" w:firstLine="422"/>
        <w:rPr>
          <w:b/>
          <w:szCs w:val="21"/>
        </w:rPr>
      </w:pPr>
      <w:r>
        <w:rPr>
          <w:rFonts w:hint="eastAsia"/>
          <w:b/>
          <w:szCs w:val="21"/>
        </w:rPr>
        <w:t>（五）基金税收</w:t>
      </w:r>
    </w:p>
    <w:p w:rsidR="008711D3" w:rsidRDefault="004479D9">
      <w:pPr>
        <w:spacing w:line="360" w:lineRule="auto"/>
        <w:ind w:firstLineChars="200" w:firstLine="420"/>
        <w:rPr>
          <w:b/>
          <w:szCs w:val="21"/>
        </w:rPr>
      </w:pPr>
      <w:r>
        <w:rPr>
          <w:rFonts w:hint="eastAsia"/>
          <w:szCs w:val="21"/>
        </w:rPr>
        <w:t>本基金支付给管理人、托管人的各项费用均为含税价格，具体税率适用中国税务主管机</w:t>
      </w:r>
      <w:r>
        <w:rPr>
          <w:rFonts w:hint="eastAsia"/>
          <w:szCs w:val="21"/>
        </w:rPr>
        <w:lastRenderedPageBreak/>
        <w:t>关的规定。</w:t>
      </w:r>
    </w:p>
    <w:p w:rsidR="008711D3" w:rsidRDefault="004479D9">
      <w:pPr>
        <w:spacing w:line="360" w:lineRule="auto"/>
        <w:ind w:firstLineChars="200" w:firstLine="420"/>
        <w:rPr>
          <w:szCs w:val="21"/>
          <w:u w:val="single"/>
        </w:rPr>
      </w:pPr>
      <w:r>
        <w:rPr>
          <w:rFonts w:hint="eastAsia"/>
          <w:szCs w:val="21"/>
        </w:rPr>
        <w:t>本基金运作过程中涉及的各纳税主体，其纳税义务按国家税收法律、法规执行，但本基金运作过程中应缴纳的增值税、附加税费等税费由基金财产承担，按照税务机关的要求以基金管理人名义缴纳。</w:t>
      </w:r>
      <w:bookmarkStart w:id="98" w:name="_Hlt88827255"/>
      <w:bookmarkEnd w:id="98"/>
    </w:p>
    <w:p w:rsidR="008711D3" w:rsidRDefault="004479D9">
      <w:pPr>
        <w:pStyle w:val="1"/>
        <w:spacing w:before="340" w:after="330"/>
        <w:jc w:val="center"/>
        <w:rPr>
          <w:rFonts w:hAnsi="宋体"/>
          <w:bCs/>
          <w:kern w:val="44"/>
          <w:szCs w:val="21"/>
        </w:rPr>
      </w:pPr>
      <w:r>
        <w:rPr>
          <w:rFonts w:hAnsi="宋体"/>
          <w:bCs/>
          <w:szCs w:val="21"/>
        </w:rPr>
        <w:br w:type="page"/>
      </w:r>
      <w:bookmarkStart w:id="99" w:name="_Toc71748072"/>
      <w:r>
        <w:rPr>
          <w:rFonts w:hAnsi="宋体" w:hint="eastAsia"/>
          <w:bCs/>
          <w:color w:val="auto"/>
          <w:kern w:val="44"/>
          <w:sz w:val="21"/>
          <w:szCs w:val="21"/>
        </w:rPr>
        <w:lastRenderedPageBreak/>
        <w:t>十四、</w:t>
      </w:r>
      <w:bookmarkStart w:id="100" w:name="_Toc334542647"/>
      <w:bookmarkStart w:id="101" w:name="_Toc329187124"/>
      <w:bookmarkStart w:id="102" w:name="_Toc334542963"/>
      <w:r>
        <w:rPr>
          <w:rFonts w:hAnsi="宋体" w:hint="eastAsia"/>
          <w:bCs/>
          <w:color w:val="auto"/>
          <w:kern w:val="44"/>
          <w:sz w:val="21"/>
          <w:szCs w:val="21"/>
        </w:rPr>
        <w:t>基金的会计与审计</w:t>
      </w:r>
      <w:bookmarkEnd w:id="99"/>
      <w:bookmarkEnd w:id="100"/>
      <w:bookmarkEnd w:id="101"/>
      <w:bookmarkEnd w:id="102"/>
    </w:p>
    <w:p w:rsidR="008711D3" w:rsidRDefault="004479D9">
      <w:pPr>
        <w:spacing w:line="360" w:lineRule="auto"/>
        <w:ind w:firstLineChars="200" w:firstLine="422"/>
        <w:rPr>
          <w:b/>
          <w:szCs w:val="21"/>
        </w:rPr>
      </w:pPr>
      <w:bookmarkStart w:id="103" w:name="_Toc329187125"/>
      <w:bookmarkStart w:id="104" w:name="_Toc334542648"/>
      <w:bookmarkStart w:id="105" w:name="_Toc334542964"/>
      <w:r>
        <w:rPr>
          <w:rFonts w:hint="eastAsia"/>
          <w:b/>
          <w:szCs w:val="21"/>
        </w:rPr>
        <w:t>（一）基金会计政策</w:t>
      </w:r>
    </w:p>
    <w:p w:rsidR="008711D3" w:rsidRDefault="004479D9">
      <w:pPr>
        <w:spacing w:line="360" w:lineRule="auto"/>
        <w:ind w:firstLineChars="200" w:firstLine="420"/>
        <w:rPr>
          <w:szCs w:val="21"/>
        </w:rPr>
      </w:pPr>
      <w:r>
        <w:rPr>
          <w:szCs w:val="21"/>
        </w:rPr>
        <w:t>1</w:t>
      </w:r>
      <w:r>
        <w:rPr>
          <w:rFonts w:hint="eastAsia"/>
          <w:szCs w:val="21"/>
        </w:rPr>
        <w:t>、基金管理人为本基金的基金会计责任方；</w:t>
      </w:r>
    </w:p>
    <w:p w:rsidR="008711D3" w:rsidRDefault="004479D9">
      <w:pPr>
        <w:spacing w:line="360" w:lineRule="auto"/>
        <w:ind w:firstLineChars="200" w:firstLine="420"/>
        <w:rPr>
          <w:szCs w:val="21"/>
        </w:rPr>
      </w:pPr>
      <w:r>
        <w:rPr>
          <w:szCs w:val="21"/>
        </w:rPr>
        <w:t>2</w:t>
      </w:r>
      <w:r>
        <w:rPr>
          <w:rFonts w:hint="eastAsia"/>
          <w:szCs w:val="21"/>
        </w:rPr>
        <w:t>、基金的会计年度为公历年度的</w:t>
      </w:r>
      <w:r>
        <w:rPr>
          <w:szCs w:val="21"/>
        </w:rPr>
        <w:t>1</w:t>
      </w:r>
      <w:r>
        <w:rPr>
          <w:rFonts w:hint="eastAsia"/>
          <w:szCs w:val="21"/>
        </w:rPr>
        <w:t>月</w:t>
      </w:r>
      <w:r>
        <w:rPr>
          <w:szCs w:val="21"/>
        </w:rPr>
        <w:t>1</w:t>
      </w:r>
      <w:r>
        <w:rPr>
          <w:rFonts w:hint="eastAsia"/>
          <w:szCs w:val="21"/>
        </w:rPr>
        <w:t>日至</w:t>
      </w:r>
      <w:r>
        <w:rPr>
          <w:szCs w:val="21"/>
        </w:rPr>
        <w:t>12</w:t>
      </w:r>
      <w:r>
        <w:rPr>
          <w:rFonts w:hint="eastAsia"/>
          <w:szCs w:val="21"/>
        </w:rPr>
        <w:t>月</w:t>
      </w:r>
      <w:r>
        <w:rPr>
          <w:szCs w:val="21"/>
        </w:rPr>
        <w:t>31</w:t>
      </w:r>
      <w:r>
        <w:rPr>
          <w:rFonts w:hint="eastAsia"/>
          <w:szCs w:val="21"/>
        </w:rPr>
        <w:t>日；</w:t>
      </w:r>
      <w:r>
        <w:rPr>
          <w:szCs w:val="21"/>
        </w:rPr>
        <w:t xml:space="preserve"> </w:t>
      </w:r>
    </w:p>
    <w:p w:rsidR="008711D3" w:rsidRDefault="004479D9">
      <w:pPr>
        <w:spacing w:line="360" w:lineRule="auto"/>
        <w:ind w:firstLineChars="200" w:firstLine="420"/>
        <w:rPr>
          <w:szCs w:val="21"/>
        </w:rPr>
      </w:pPr>
      <w:r>
        <w:rPr>
          <w:szCs w:val="21"/>
        </w:rPr>
        <w:t>3</w:t>
      </w:r>
      <w:r>
        <w:rPr>
          <w:rFonts w:hint="eastAsia"/>
          <w:szCs w:val="21"/>
        </w:rPr>
        <w:t>、基金核算以人民币为记账本位币，以人民币元为记账单位；</w:t>
      </w:r>
    </w:p>
    <w:p w:rsidR="008711D3" w:rsidRDefault="004479D9">
      <w:pPr>
        <w:spacing w:line="360" w:lineRule="auto"/>
        <w:ind w:firstLineChars="200" w:firstLine="420"/>
        <w:rPr>
          <w:szCs w:val="21"/>
        </w:rPr>
      </w:pPr>
      <w:r>
        <w:rPr>
          <w:szCs w:val="21"/>
        </w:rPr>
        <w:t>4</w:t>
      </w:r>
      <w:r>
        <w:rPr>
          <w:rFonts w:hint="eastAsia"/>
          <w:szCs w:val="21"/>
        </w:rPr>
        <w:t>、会计制度执行国家有关会计制度；</w:t>
      </w:r>
    </w:p>
    <w:p w:rsidR="008711D3" w:rsidRDefault="004479D9">
      <w:pPr>
        <w:spacing w:line="360" w:lineRule="auto"/>
        <w:ind w:firstLineChars="200" w:firstLine="420"/>
        <w:rPr>
          <w:szCs w:val="21"/>
        </w:rPr>
      </w:pPr>
      <w:r>
        <w:rPr>
          <w:szCs w:val="21"/>
        </w:rPr>
        <w:t>5</w:t>
      </w:r>
      <w:r>
        <w:rPr>
          <w:rFonts w:hint="eastAsia"/>
          <w:szCs w:val="21"/>
        </w:rPr>
        <w:t>、本基金独立建账、独立核算；</w:t>
      </w:r>
    </w:p>
    <w:p w:rsidR="008711D3" w:rsidRDefault="004479D9">
      <w:pPr>
        <w:spacing w:line="360" w:lineRule="auto"/>
        <w:ind w:firstLineChars="200" w:firstLine="420"/>
        <w:rPr>
          <w:szCs w:val="21"/>
        </w:rPr>
      </w:pPr>
      <w:r>
        <w:rPr>
          <w:szCs w:val="21"/>
        </w:rPr>
        <w:t>6</w:t>
      </w:r>
      <w:r>
        <w:rPr>
          <w:rFonts w:hint="eastAsia"/>
          <w:szCs w:val="21"/>
        </w:rPr>
        <w:t>、基金管理人及基金托管人各自保留完整的会计账目、凭证并进行日常的会计核算，按照有关规定编制基金会计报表；</w:t>
      </w:r>
    </w:p>
    <w:p w:rsidR="008711D3" w:rsidRDefault="004479D9">
      <w:pPr>
        <w:spacing w:line="360" w:lineRule="auto"/>
        <w:ind w:firstLineChars="200" w:firstLine="420"/>
        <w:rPr>
          <w:szCs w:val="21"/>
        </w:rPr>
      </w:pPr>
      <w:r>
        <w:rPr>
          <w:szCs w:val="21"/>
        </w:rPr>
        <w:t>7</w:t>
      </w:r>
      <w:r>
        <w:rPr>
          <w:rFonts w:hint="eastAsia"/>
          <w:szCs w:val="21"/>
        </w:rPr>
        <w:t>、基金托管人每月与基金管理人就基金的会计核算、报表编制等进行核对并以书面方式确认。</w:t>
      </w:r>
    </w:p>
    <w:p w:rsidR="008711D3" w:rsidRDefault="004479D9">
      <w:pPr>
        <w:spacing w:line="360" w:lineRule="auto"/>
        <w:ind w:firstLineChars="200" w:firstLine="422"/>
        <w:rPr>
          <w:b/>
          <w:szCs w:val="21"/>
        </w:rPr>
      </w:pPr>
      <w:r>
        <w:rPr>
          <w:rFonts w:hint="eastAsia"/>
          <w:b/>
          <w:szCs w:val="21"/>
        </w:rPr>
        <w:t>（二）基金的年度审计</w:t>
      </w:r>
    </w:p>
    <w:p w:rsidR="008711D3" w:rsidRDefault="004479D9">
      <w:pPr>
        <w:spacing w:line="360" w:lineRule="auto"/>
        <w:ind w:firstLineChars="200" w:firstLine="420"/>
        <w:rPr>
          <w:szCs w:val="21"/>
        </w:rPr>
      </w:pPr>
      <w:r>
        <w:rPr>
          <w:szCs w:val="21"/>
        </w:rPr>
        <w:t>1</w:t>
      </w:r>
      <w:r>
        <w:rPr>
          <w:rFonts w:hint="eastAsia"/>
          <w:szCs w:val="21"/>
        </w:rPr>
        <w:t>、基金管理人聘请与基金管理人、基金托管人相互独立的符合</w:t>
      </w:r>
      <w:r>
        <w:rPr>
          <w:rFonts w:hint="eastAsia"/>
          <w:bCs/>
          <w:szCs w:val="21"/>
        </w:rPr>
        <w:t>《中华人民共和国证券法》</w:t>
      </w:r>
      <w:r>
        <w:rPr>
          <w:rFonts w:hint="eastAsia"/>
          <w:szCs w:val="21"/>
        </w:rPr>
        <w:t>规定的会计师事务所及其注册会计师对本基金的年度财务报表进行审计。</w:t>
      </w:r>
    </w:p>
    <w:p w:rsidR="008711D3" w:rsidRDefault="004479D9">
      <w:pPr>
        <w:spacing w:line="360" w:lineRule="auto"/>
        <w:ind w:firstLineChars="200" w:firstLine="420"/>
        <w:rPr>
          <w:szCs w:val="21"/>
        </w:rPr>
      </w:pPr>
      <w:r>
        <w:rPr>
          <w:szCs w:val="21"/>
        </w:rPr>
        <w:t>2</w:t>
      </w:r>
      <w:r>
        <w:rPr>
          <w:rFonts w:hint="eastAsia"/>
          <w:szCs w:val="21"/>
        </w:rPr>
        <w:t>、会计师事务所更换经办注册会计师，应事先征得基金管理人同意。</w:t>
      </w:r>
    </w:p>
    <w:p w:rsidR="008711D3" w:rsidRDefault="004479D9">
      <w:pPr>
        <w:spacing w:line="360" w:lineRule="auto"/>
        <w:ind w:firstLineChars="200" w:firstLine="420"/>
        <w:rPr>
          <w:szCs w:val="21"/>
        </w:rPr>
      </w:pPr>
      <w:r>
        <w:rPr>
          <w:szCs w:val="21"/>
        </w:rPr>
        <w:t>3</w:t>
      </w:r>
      <w:r>
        <w:rPr>
          <w:rFonts w:hint="eastAsia"/>
          <w:szCs w:val="21"/>
        </w:rPr>
        <w:t>、</w:t>
      </w:r>
      <w:bookmarkStart w:id="106" w:name="_Hlt4221115"/>
      <w:bookmarkEnd w:id="106"/>
      <w:r>
        <w:rPr>
          <w:rFonts w:hint="eastAsia"/>
          <w:szCs w:val="21"/>
        </w:rPr>
        <w:t>基金管理人认为有充足理由更换会计师事务所，须通报基金托管人。更换会计师事务所需依照《信息披露办法》的有关规定在规定媒介公告。</w:t>
      </w:r>
    </w:p>
    <w:p w:rsidR="008711D3" w:rsidRDefault="008711D3">
      <w:pPr>
        <w:spacing w:line="360" w:lineRule="auto"/>
        <w:ind w:firstLineChars="200" w:firstLine="420"/>
        <w:rPr>
          <w:rFonts w:ascii="宋体" w:hAnsi="宋体"/>
          <w:bCs/>
          <w:szCs w:val="21"/>
        </w:rPr>
      </w:pPr>
    </w:p>
    <w:p w:rsidR="008711D3" w:rsidRDefault="008711D3">
      <w:pPr>
        <w:spacing w:line="360" w:lineRule="auto"/>
        <w:ind w:firstLineChars="200" w:firstLine="480"/>
        <w:rPr>
          <w:bCs/>
          <w:sz w:val="24"/>
        </w:rPr>
      </w:pPr>
    </w:p>
    <w:p w:rsidR="008711D3" w:rsidRDefault="004479D9">
      <w:pPr>
        <w:widowControl/>
        <w:jc w:val="left"/>
        <w:rPr>
          <w:rFonts w:ascii="宋体" w:hAnsi="宋体"/>
          <w:b/>
          <w:bCs/>
          <w:kern w:val="44"/>
          <w:szCs w:val="21"/>
          <w:lang w:val="zh-CN"/>
        </w:rPr>
      </w:pPr>
      <w:r>
        <w:rPr>
          <w:rFonts w:hAnsi="宋体"/>
          <w:bCs/>
          <w:kern w:val="44"/>
          <w:szCs w:val="21"/>
        </w:rPr>
        <w:br w:type="page"/>
      </w:r>
    </w:p>
    <w:p w:rsidR="008711D3" w:rsidRDefault="004479D9">
      <w:pPr>
        <w:pStyle w:val="1"/>
        <w:spacing w:before="340" w:after="330"/>
        <w:jc w:val="center"/>
        <w:rPr>
          <w:rFonts w:hAnsi="宋体"/>
          <w:bCs/>
          <w:color w:val="auto"/>
          <w:kern w:val="44"/>
          <w:sz w:val="21"/>
          <w:szCs w:val="21"/>
        </w:rPr>
      </w:pPr>
      <w:bookmarkStart w:id="107" w:name="_Toc71748073"/>
      <w:r>
        <w:rPr>
          <w:rFonts w:hAnsi="宋体" w:hint="eastAsia"/>
          <w:bCs/>
          <w:color w:val="auto"/>
          <w:kern w:val="44"/>
          <w:sz w:val="21"/>
          <w:szCs w:val="21"/>
        </w:rPr>
        <w:lastRenderedPageBreak/>
        <w:t>十五、基金的信息披露</w:t>
      </w:r>
      <w:bookmarkEnd w:id="103"/>
      <w:bookmarkEnd w:id="104"/>
      <w:bookmarkEnd w:id="105"/>
      <w:bookmarkEnd w:id="107"/>
    </w:p>
    <w:p w:rsidR="008711D3" w:rsidRDefault="004479D9">
      <w:pPr>
        <w:spacing w:line="360" w:lineRule="auto"/>
        <w:ind w:firstLineChars="200" w:firstLine="422"/>
        <w:rPr>
          <w:b/>
          <w:szCs w:val="21"/>
        </w:rPr>
      </w:pPr>
      <w:bookmarkStart w:id="108" w:name="_Toc334542649"/>
      <w:bookmarkStart w:id="109" w:name="_Toc329187126"/>
      <w:bookmarkStart w:id="110" w:name="_Toc334542965"/>
      <w:bookmarkStart w:id="111" w:name="_Toc63171753"/>
      <w:r>
        <w:rPr>
          <w:rFonts w:hint="eastAsia"/>
          <w:b/>
          <w:szCs w:val="21"/>
        </w:rPr>
        <w:t>（一）本基金的信息披露应符合《基金法》、《运作办法》、《信息披露办法》、《流动性风险管理规定》、基金合同及其他有关规定。相关法律法规或监管机关就基金的信息披露做出新的规定或予以调整的，本基金按照其最新规定执行，无需基金份额持有人大会审议批准。</w:t>
      </w:r>
    </w:p>
    <w:p w:rsidR="008711D3" w:rsidRDefault="004479D9">
      <w:pPr>
        <w:spacing w:line="360" w:lineRule="auto"/>
        <w:ind w:firstLineChars="200" w:firstLine="422"/>
        <w:rPr>
          <w:b/>
          <w:szCs w:val="21"/>
        </w:rPr>
      </w:pPr>
      <w:r>
        <w:rPr>
          <w:rFonts w:hint="eastAsia"/>
          <w:b/>
          <w:szCs w:val="21"/>
        </w:rPr>
        <w:t>（二）信息披露义务人</w:t>
      </w:r>
    </w:p>
    <w:p w:rsidR="008711D3" w:rsidRDefault="004479D9">
      <w:pPr>
        <w:spacing w:line="360" w:lineRule="auto"/>
        <w:ind w:firstLineChars="200" w:firstLine="420"/>
        <w:rPr>
          <w:szCs w:val="21"/>
        </w:rPr>
      </w:pPr>
      <w:r>
        <w:rPr>
          <w:rFonts w:hint="eastAsia"/>
          <w:szCs w:val="21"/>
        </w:rPr>
        <w:t>本基金信息披露义务人包括基金管理人、基金托管人、召集基金份额持有人大会的基金份额持有人等法律法规和中国证监会规定的自然人、法人和非法人组织。</w:t>
      </w:r>
    </w:p>
    <w:p w:rsidR="008711D3" w:rsidRDefault="004479D9">
      <w:pPr>
        <w:spacing w:line="360" w:lineRule="auto"/>
        <w:ind w:firstLineChars="200" w:firstLine="420"/>
        <w:rPr>
          <w:szCs w:val="21"/>
        </w:rPr>
      </w:pPr>
      <w:r>
        <w:rPr>
          <w:rFonts w:hint="eastAsia"/>
          <w:szCs w:val="21"/>
        </w:rPr>
        <w:t>本基金信息披露义务人以保护基金份额持有人利益为根本出发点，按照法律法规和中国证监会的规定披露基金信息，并保证所披露信息的真实性、准确性、完整性、及时性、简明性和易得性。</w:t>
      </w:r>
    </w:p>
    <w:p w:rsidR="008711D3" w:rsidRDefault="004479D9">
      <w:pPr>
        <w:spacing w:line="360" w:lineRule="auto"/>
        <w:ind w:firstLineChars="200" w:firstLine="420"/>
        <w:rPr>
          <w:szCs w:val="21"/>
        </w:rPr>
      </w:pPr>
      <w:r>
        <w:rPr>
          <w:rFonts w:hint="eastAsia"/>
          <w:szCs w:val="21"/>
        </w:rPr>
        <w:t>本基金信息披露义务人应当在中国证监会规定时间内，将应予披露的基金信息通过符合中国证监会规定条件的全国性报刊（以下简称“规定报刊”）及符合《信息披露办法》规定的互联网网站（以下简称“规定网站”</w:t>
      </w:r>
      <w:r>
        <w:rPr>
          <w:rFonts w:hint="eastAsia"/>
          <w:bCs/>
          <w:szCs w:val="21"/>
        </w:rPr>
        <w:t>）</w:t>
      </w:r>
      <w:r>
        <w:rPr>
          <w:rFonts w:hint="eastAsia"/>
          <w:szCs w:val="21"/>
        </w:rPr>
        <w:t>等媒介披露，并保证基金投资者能够按照基金合同约定的时间和方式查阅或者复制公开披露的信息资料。</w:t>
      </w:r>
    </w:p>
    <w:p w:rsidR="008711D3" w:rsidRDefault="004479D9">
      <w:pPr>
        <w:spacing w:line="360" w:lineRule="auto"/>
        <w:ind w:firstLineChars="200" w:firstLine="422"/>
        <w:rPr>
          <w:b/>
          <w:szCs w:val="21"/>
        </w:rPr>
      </w:pPr>
      <w:r>
        <w:rPr>
          <w:rFonts w:hint="eastAsia"/>
          <w:b/>
          <w:szCs w:val="21"/>
        </w:rPr>
        <w:t>（三）本基金信息披露义务人承诺公开披露的基金信息，不得有下列行为：</w:t>
      </w:r>
    </w:p>
    <w:p w:rsidR="008711D3" w:rsidRDefault="004479D9">
      <w:pPr>
        <w:spacing w:line="360" w:lineRule="auto"/>
        <w:ind w:firstLineChars="200" w:firstLine="420"/>
        <w:rPr>
          <w:szCs w:val="21"/>
        </w:rPr>
      </w:pPr>
      <w:r>
        <w:rPr>
          <w:szCs w:val="21"/>
        </w:rPr>
        <w:t>1</w:t>
      </w:r>
      <w:r>
        <w:rPr>
          <w:rFonts w:hint="eastAsia"/>
          <w:szCs w:val="21"/>
        </w:rPr>
        <w:t>、虚假记载、误导性陈述或者重大遗漏；</w:t>
      </w:r>
    </w:p>
    <w:p w:rsidR="008711D3" w:rsidRDefault="004479D9">
      <w:pPr>
        <w:spacing w:line="360" w:lineRule="auto"/>
        <w:ind w:firstLineChars="200" w:firstLine="420"/>
        <w:rPr>
          <w:szCs w:val="21"/>
        </w:rPr>
      </w:pPr>
      <w:r>
        <w:rPr>
          <w:szCs w:val="21"/>
        </w:rPr>
        <w:t>2</w:t>
      </w:r>
      <w:r>
        <w:rPr>
          <w:rFonts w:hint="eastAsia"/>
          <w:szCs w:val="21"/>
        </w:rPr>
        <w:t>、对证券投资业绩进行预测；</w:t>
      </w:r>
    </w:p>
    <w:p w:rsidR="008711D3" w:rsidRDefault="004479D9">
      <w:pPr>
        <w:spacing w:line="360" w:lineRule="auto"/>
        <w:ind w:firstLineChars="200" w:firstLine="420"/>
        <w:rPr>
          <w:szCs w:val="21"/>
        </w:rPr>
      </w:pPr>
      <w:r>
        <w:rPr>
          <w:szCs w:val="21"/>
        </w:rPr>
        <w:t>3</w:t>
      </w:r>
      <w:r>
        <w:rPr>
          <w:rFonts w:hint="eastAsia"/>
          <w:szCs w:val="21"/>
        </w:rPr>
        <w:t>、违规承诺收益或者承担损失；</w:t>
      </w:r>
    </w:p>
    <w:p w:rsidR="008711D3" w:rsidRDefault="004479D9">
      <w:pPr>
        <w:spacing w:line="360" w:lineRule="auto"/>
        <w:ind w:firstLineChars="200" w:firstLine="420"/>
        <w:rPr>
          <w:szCs w:val="21"/>
        </w:rPr>
      </w:pPr>
      <w:r>
        <w:rPr>
          <w:szCs w:val="21"/>
        </w:rPr>
        <w:t>4</w:t>
      </w:r>
      <w:r>
        <w:rPr>
          <w:rFonts w:hint="eastAsia"/>
          <w:szCs w:val="21"/>
        </w:rPr>
        <w:t>、诋毁其他基金管理人、基金托管人或者基金销售机构；</w:t>
      </w:r>
    </w:p>
    <w:p w:rsidR="008711D3" w:rsidRDefault="004479D9">
      <w:pPr>
        <w:spacing w:line="360" w:lineRule="auto"/>
        <w:ind w:firstLineChars="200" w:firstLine="420"/>
        <w:rPr>
          <w:szCs w:val="21"/>
        </w:rPr>
      </w:pPr>
      <w:r>
        <w:rPr>
          <w:szCs w:val="21"/>
        </w:rPr>
        <w:t>5</w:t>
      </w:r>
      <w:r>
        <w:rPr>
          <w:rFonts w:hint="eastAsia"/>
          <w:szCs w:val="21"/>
        </w:rPr>
        <w:t>、登载任何自然人、法人和非法人组织的祝贺性、恭维性或推荐性的文字；</w:t>
      </w:r>
    </w:p>
    <w:p w:rsidR="008711D3" w:rsidRDefault="004479D9">
      <w:pPr>
        <w:spacing w:line="360" w:lineRule="auto"/>
        <w:ind w:firstLineChars="200" w:firstLine="420"/>
        <w:rPr>
          <w:szCs w:val="21"/>
        </w:rPr>
      </w:pPr>
      <w:r>
        <w:rPr>
          <w:szCs w:val="21"/>
        </w:rPr>
        <w:t>6</w:t>
      </w:r>
      <w:r>
        <w:rPr>
          <w:rFonts w:hint="eastAsia"/>
          <w:szCs w:val="21"/>
        </w:rPr>
        <w:t>、中国证监会禁止的其他行为。</w:t>
      </w:r>
    </w:p>
    <w:p w:rsidR="008711D3" w:rsidRDefault="004479D9">
      <w:pPr>
        <w:spacing w:line="360" w:lineRule="auto"/>
        <w:ind w:firstLineChars="200" w:firstLine="422"/>
        <w:rPr>
          <w:b/>
          <w:szCs w:val="21"/>
        </w:rPr>
      </w:pPr>
      <w:r>
        <w:rPr>
          <w:rFonts w:hint="eastAsia"/>
          <w:b/>
          <w:szCs w:val="21"/>
        </w:rPr>
        <w:t>（四）本基金公开披露的信息应采用中文文本。同时采用外文文本的，基金信息披露义务人应保证不同文本的内容一致。不同文本之间发生歧义的，以中文文本为准。</w:t>
      </w:r>
    </w:p>
    <w:p w:rsidR="008711D3" w:rsidRDefault="004479D9">
      <w:pPr>
        <w:spacing w:line="360" w:lineRule="auto"/>
        <w:ind w:firstLineChars="200" w:firstLine="420"/>
        <w:rPr>
          <w:szCs w:val="21"/>
        </w:rPr>
      </w:pPr>
      <w:r>
        <w:rPr>
          <w:rFonts w:hint="eastAsia"/>
          <w:szCs w:val="21"/>
        </w:rPr>
        <w:t>本基金公开披露的信息采用阿拉伯数字；除特别说明外，货币单位为人民币元。</w:t>
      </w:r>
    </w:p>
    <w:p w:rsidR="008711D3" w:rsidRDefault="004479D9">
      <w:pPr>
        <w:spacing w:line="360" w:lineRule="auto"/>
        <w:ind w:firstLineChars="200" w:firstLine="422"/>
        <w:rPr>
          <w:b/>
          <w:szCs w:val="21"/>
        </w:rPr>
      </w:pPr>
      <w:r>
        <w:rPr>
          <w:rFonts w:hint="eastAsia"/>
          <w:b/>
          <w:szCs w:val="21"/>
        </w:rPr>
        <w:t>（五）公开披露的基金信息</w:t>
      </w:r>
    </w:p>
    <w:p w:rsidR="008711D3" w:rsidRDefault="004479D9">
      <w:pPr>
        <w:spacing w:line="360" w:lineRule="auto"/>
        <w:ind w:firstLineChars="200" w:firstLine="420"/>
        <w:rPr>
          <w:szCs w:val="21"/>
        </w:rPr>
      </w:pPr>
      <w:r>
        <w:rPr>
          <w:rFonts w:hint="eastAsia"/>
          <w:szCs w:val="21"/>
        </w:rPr>
        <w:t>公开披露的基金信息包括：</w:t>
      </w:r>
    </w:p>
    <w:p w:rsidR="008711D3" w:rsidRDefault="004479D9">
      <w:pPr>
        <w:spacing w:line="360" w:lineRule="auto"/>
        <w:ind w:firstLineChars="200" w:firstLine="420"/>
        <w:rPr>
          <w:szCs w:val="21"/>
        </w:rPr>
      </w:pPr>
      <w:r>
        <w:rPr>
          <w:rFonts w:hint="eastAsia"/>
          <w:szCs w:val="21"/>
        </w:rPr>
        <w:t>A</w:t>
      </w:r>
      <w:r>
        <w:rPr>
          <w:rFonts w:hint="eastAsia"/>
          <w:szCs w:val="21"/>
        </w:rPr>
        <w:t>、基金招募说明书、基金合同、基金托管协议、基金产品资料概要</w:t>
      </w:r>
    </w:p>
    <w:p w:rsidR="008711D3" w:rsidRDefault="004479D9">
      <w:pPr>
        <w:spacing w:line="360" w:lineRule="auto"/>
        <w:ind w:firstLineChars="200" w:firstLine="420"/>
        <w:rPr>
          <w:szCs w:val="21"/>
        </w:rPr>
      </w:pPr>
      <w:r>
        <w:rPr>
          <w:szCs w:val="21"/>
        </w:rPr>
        <w:t>1</w:t>
      </w:r>
      <w:r>
        <w:rPr>
          <w:rFonts w:hint="eastAsia"/>
          <w:szCs w:val="21"/>
        </w:rPr>
        <w:t>、基金合同是界定基金合同当事人的各项权利、义务关系，明确基金份额持有人大会召开的规则及具体程序，说明基金产品的特性等涉及基金投资者重大利益的事项的法律文</w:t>
      </w:r>
      <w:r>
        <w:rPr>
          <w:rFonts w:hint="eastAsia"/>
          <w:szCs w:val="21"/>
        </w:rPr>
        <w:lastRenderedPageBreak/>
        <w:t>件。</w:t>
      </w:r>
    </w:p>
    <w:p w:rsidR="008711D3" w:rsidRDefault="004479D9">
      <w:pPr>
        <w:spacing w:line="360" w:lineRule="auto"/>
        <w:ind w:firstLineChars="200" w:firstLine="420"/>
        <w:rPr>
          <w:szCs w:val="21"/>
        </w:rPr>
      </w:pPr>
      <w:r>
        <w:rPr>
          <w:szCs w:val="21"/>
        </w:rPr>
        <w:t>2</w:t>
      </w:r>
      <w:r>
        <w:rPr>
          <w:rFonts w:hint="eastAsia"/>
          <w:szCs w:val="21"/>
        </w:rPr>
        <w:t>、基金招募说明书应当按照法律法规和监管要求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8711D3" w:rsidRDefault="004479D9">
      <w:pPr>
        <w:spacing w:line="360" w:lineRule="auto"/>
        <w:ind w:firstLineChars="200" w:firstLine="420"/>
        <w:rPr>
          <w:szCs w:val="21"/>
        </w:rPr>
      </w:pPr>
      <w:r>
        <w:rPr>
          <w:szCs w:val="21"/>
        </w:rPr>
        <w:t>3</w:t>
      </w:r>
      <w:r>
        <w:rPr>
          <w:rFonts w:hint="eastAsia"/>
          <w:szCs w:val="21"/>
        </w:rPr>
        <w:t>、基金托管协议是界定基金托管人和基金管理人在基金财产保管及基金运作监督等活动中的权利、义务关系的法律文件。</w:t>
      </w:r>
    </w:p>
    <w:p w:rsidR="008711D3" w:rsidRDefault="004479D9">
      <w:pPr>
        <w:spacing w:line="360" w:lineRule="auto"/>
        <w:ind w:firstLineChars="200" w:firstLine="420"/>
        <w:rPr>
          <w:szCs w:val="21"/>
        </w:rPr>
      </w:pPr>
      <w:r>
        <w:rPr>
          <w:szCs w:val="21"/>
        </w:rPr>
        <w:t>4</w:t>
      </w:r>
      <w:r>
        <w:rPr>
          <w:rFonts w:hint="eastAsia"/>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8711D3" w:rsidRDefault="004479D9">
      <w:pPr>
        <w:spacing w:line="360" w:lineRule="auto"/>
        <w:ind w:firstLineChars="200" w:firstLine="420"/>
        <w:rPr>
          <w:szCs w:val="21"/>
        </w:rPr>
      </w:pPr>
      <w:r>
        <w:rPr>
          <w:rFonts w:hint="eastAsia"/>
          <w:szCs w:val="21"/>
        </w:rPr>
        <w:t>基金募集申请经中国证监会注册后，基金管理人应当按照《信息披露办法》的规定，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w:t>
      </w:r>
      <w:r>
        <w:rPr>
          <w:rFonts w:hint="eastAsia"/>
          <w:bCs/>
          <w:szCs w:val="21"/>
        </w:rPr>
        <w:t>规定</w:t>
      </w:r>
      <w:r>
        <w:rPr>
          <w:rFonts w:hint="eastAsia"/>
          <w:szCs w:val="21"/>
        </w:rPr>
        <w:t>网站上。</w:t>
      </w:r>
    </w:p>
    <w:p w:rsidR="008711D3" w:rsidRDefault="004479D9">
      <w:pPr>
        <w:spacing w:line="360" w:lineRule="auto"/>
        <w:ind w:firstLineChars="200" w:firstLine="420"/>
        <w:rPr>
          <w:szCs w:val="21"/>
        </w:rPr>
      </w:pPr>
      <w:r>
        <w:rPr>
          <w:rFonts w:hint="eastAsia"/>
          <w:szCs w:val="21"/>
        </w:rPr>
        <w:t>B</w:t>
      </w:r>
      <w:r>
        <w:rPr>
          <w:rFonts w:hint="eastAsia"/>
          <w:szCs w:val="21"/>
        </w:rPr>
        <w:t>、基金份额发售公告</w:t>
      </w:r>
    </w:p>
    <w:p w:rsidR="008711D3" w:rsidRDefault="004479D9">
      <w:pPr>
        <w:spacing w:line="360" w:lineRule="auto"/>
        <w:ind w:firstLineChars="200" w:firstLine="420"/>
        <w:rPr>
          <w:szCs w:val="21"/>
        </w:rPr>
      </w:pPr>
      <w:r>
        <w:rPr>
          <w:rFonts w:hint="eastAsia"/>
          <w:szCs w:val="21"/>
        </w:rPr>
        <w:t>基金管理人应当就基金份额发售的具体事宜编制基金份额发售公告，并在披露招募说明书的当日按照《信息披露办法》的规定登载于规定媒介上。</w:t>
      </w:r>
    </w:p>
    <w:p w:rsidR="008711D3" w:rsidRDefault="004479D9">
      <w:pPr>
        <w:spacing w:line="360" w:lineRule="auto"/>
        <w:ind w:firstLineChars="200" w:firstLine="420"/>
        <w:rPr>
          <w:szCs w:val="21"/>
        </w:rPr>
      </w:pPr>
      <w:r>
        <w:rPr>
          <w:rFonts w:hint="eastAsia"/>
          <w:szCs w:val="21"/>
        </w:rPr>
        <w:t>C</w:t>
      </w:r>
      <w:r>
        <w:rPr>
          <w:rFonts w:hint="eastAsia"/>
          <w:szCs w:val="21"/>
        </w:rPr>
        <w:t>、基金合同生效公告</w:t>
      </w:r>
    </w:p>
    <w:p w:rsidR="008711D3" w:rsidRDefault="004479D9">
      <w:pPr>
        <w:spacing w:line="360" w:lineRule="auto"/>
        <w:ind w:firstLineChars="200" w:firstLine="420"/>
        <w:rPr>
          <w:szCs w:val="21"/>
        </w:rPr>
      </w:pPr>
      <w:r>
        <w:rPr>
          <w:rFonts w:hint="eastAsia"/>
          <w:szCs w:val="21"/>
        </w:rPr>
        <w:t>基金管理人应当在收到中国证监会确认文件的次日按照《信息披露办法》的规定在规定媒介上登载基金合同生效公告。</w:t>
      </w:r>
    </w:p>
    <w:p w:rsidR="008711D3" w:rsidRDefault="004479D9">
      <w:pPr>
        <w:spacing w:line="360" w:lineRule="auto"/>
        <w:ind w:firstLineChars="200" w:firstLine="420"/>
        <w:rPr>
          <w:szCs w:val="21"/>
        </w:rPr>
      </w:pPr>
      <w:r>
        <w:rPr>
          <w:rFonts w:hint="eastAsia"/>
          <w:szCs w:val="21"/>
        </w:rPr>
        <w:t>D</w:t>
      </w:r>
      <w:r>
        <w:rPr>
          <w:rFonts w:hint="eastAsia"/>
          <w:szCs w:val="21"/>
        </w:rPr>
        <w:t>、基金净值信息</w:t>
      </w:r>
    </w:p>
    <w:p w:rsidR="008711D3" w:rsidRDefault="004479D9">
      <w:pPr>
        <w:spacing w:line="360" w:lineRule="auto"/>
        <w:ind w:firstLineChars="200" w:firstLine="420"/>
        <w:rPr>
          <w:bCs/>
          <w:szCs w:val="21"/>
        </w:rPr>
      </w:pPr>
      <w:r>
        <w:rPr>
          <w:rFonts w:hint="eastAsia"/>
          <w:szCs w:val="21"/>
        </w:rPr>
        <w:t>基金合同生效后，</w:t>
      </w:r>
      <w:r>
        <w:rPr>
          <w:bCs/>
          <w:szCs w:val="21"/>
        </w:rPr>
        <w:t>在开始办理</w:t>
      </w:r>
      <w:r>
        <w:rPr>
          <w:rFonts w:hint="eastAsia"/>
          <w:szCs w:val="21"/>
        </w:rPr>
        <w:t>基金份额</w:t>
      </w:r>
      <w:r>
        <w:rPr>
          <w:bCs/>
          <w:szCs w:val="21"/>
        </w:rPr>
        <w:t>申购或者赎回</w:t>
      </w:r>
      <w:r>
        <w:rPr>
          <w:rFonts w:hint="eastAsia"/>
          <w:szCs w:val="21"/>
        </w:rPr>
        <w:t>前，基金管理人应当至少每周在规定网站披露一次各类基金份额的基金份额净值和基金份额累计净值。</w:t>
      </w:r>
    </w:p>
    <w:p w:rsidR="008711D3" w:rsidRDefault="004479D9">
      <w:pPr>
        <w:spacing w:line="360" w:lineRule="auto"/>
        <w:ind w:firstLineChars="200" w:firstLine="420"/>
        <w:rPr>
          <w:szCs w:val="21"/>
        </w:rPr>
      </w:pPr>
      <w:r>
        <w:rPr>
          <w:bCs/>
          <w:szCs w:val="21"/>
        </w:rPr>
        <w:t>在开始办理</w:t>
      </w:r>
      <w:r>
        <w:rPr>
          <w:rFonts w:hint="eastAsia"/>
          <w:bCs/>
          <w:szCs w:val="21"/>
        </w:rPr>
        <w:t>基金份额</w:t>
      </w:r>
      <w:r>
        <w:rPr>
          <w:bCs/>
          <w:szCs w:val="21"/>
        </w:rPr>
        <w:t>申购或者赎回</w:t>
      </w:r>
      <w:r>
        <w:rPr>
          <w:rFonts w:hint="eastAsia"/>
          <w:szCs w:val="21"/>
        </w:rPr>
        <w:t>后，基金管理人应当在不晚于每个开放日的次日，通过规定网站、基金销售机构网站或者营业网点，披露开放日的各类基金份额的基金份额净值</w:t>
      </w:r>
      <w:r>
        <w:rPr>
          <w:rFonts w:hint="eastAsia"/>
          <w:szCs w:val="21"/>
        </w:rPr>
        <w:lastRenderedPageBreak/>
        <w:t>和基金份额累计净值。</w:t>
      </w:r>
    </w:p>
    <w:p w:rsidR="008711D3" w:rsidRDefault="004479D9">
      <w:pPr>
        <w:spacing w:line="360" w:lineRule="auto"/>
        <w:ind w:firstLineChars="200" w:firstLine="420"/>
        <w:rPr>
          <w:bCs/>
          <w:szCs w:val="21"/>
        </w:rPr>
      </w:pPr>
      <w:r>
        <w:rPr>
          <w:rFonts w:hint="eastAsia"/>
          <w:bCs/>
          <w:szCs w:val="21"/>
        </w:rPr>
        <w:t>基金管理人应当在不晚于半年度和年度最后一日的次日，在规定网站披露半年度和年度最后一日的各类基金份额的基金份额净值和基金份额累计净值。</w:t>
      </w:r>
    </w:p>
    <w:p w:rsidR="008711D3" w:rsidRDefault="004479D9">
      <w:pPr>
        <w:spacing w:line="360" w:lineRule="auto"/>
        <w:ind w:firstLineChars="200" w:firstLine="420"/>
        <w:rPr>
          <w:szCs w:val="21"/>
        </w:rPr>
      </w:pPr>
      <w:r>
        <w:rPr>
          <w:rFonts w:hint="eastAsia"/>
          <w:bCs/>
          <w:szCs w:val="21"/>
        </w:rPr>
        <w:t>E</w:t>
      </w:r>
      <w:r>
        <w:rPr>
          <w:rFonts w:hint="eastAsia"/>
          <w:bCs/>
          <w:szCs w:val="21"/>
        </w:rPr>
        <w:t>、</w:t>
      </w:r>
      <w:r>
        <w:rPr>
          <w:rFonts w:hint="eastAsia"/>
          <w:szCs w:val="21"/>
        </w:rPr>
        <w:t>基金份额申购、赎回价格</w:t>
      </w:r>
    </w:p>
    <w:p w:rsidR="008711D3" w:rsidRDefault="004479D9">
      <w:pPr>
        <w:spacing w:line="360" w:lineRule="auto"/>
        <w:ind w:firstLineChars="200" w:firstLine="420"/>
        <w:rPr>
          <w:szCs w:val="21"/>
        </w:rPr>
      </w:pPr>
      <w:r>
        <w:rPr>
          <w:rFonts w:hint="eastAsia"/>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8711D3" w:rsidRDefault="004479D9">
      <w:pPr>
        <w:spacing w:line="360" w:lineRule="auto"/>
        <w:ind w:firstLineChars="200" w:firstLine="420"/>
        <w:rPr>
          <w:szCs w:val="21"/>
        </w:rPr>
      </w:pPr>
      <w:r>
        <w:rPr>
          <w:rFonts w:hint="eastAsia"/>
          <w:szCs w:val="21"/>
        </w:rPr>
        <w:t>F</w:t>
      </w:r>
      <w:r>
        <w:rPr>
          <w:rFonts w:hint="eastAsia"/>
          <w:szCs w:val="21"/>
        </w:rPr>
        <w:t>、基金定期报告，包括基金年度报告、基金中期报告和基金季度报告</w:t>
      </w:r>
    </w:p>
    <w:p w:rsidR="008711D3" w:rsidRDefault="004479D9">
      <w:pPr>
        <w:spacing w:line="360" w:lineRule="auto"/>
        <w:ind w:firstLineChars="200" w:firstLine="420"/>
        <w:rPr>
          <w:szCs w:val="21"/>
        </w:rPr>
      </w:pPr>
      <w:r>
        <w:rPr>
          <w:rFonts w:hint="eastAsia"/>
          <w:szCs w:val="21"/>
        </w:rPr>
        <w:t>基金管理人应当在每年结束之日起三个月内，编制完成基金年度报告，将年度报告登载在规定网站上，并将年度报告提示性公告登载在规定报刊上。基金年度报告中的财务会计报告应当</w:t>
      </w:r>
      <w:r>
        <w:rPr>
          <w:bCs/>
          <w:szCs w:val="21"/>
        </w:rPr>
        <w:t>经过</w:t>
      </w:r>
      <w:r>
        <w:rPr>
          <w:rFonts w:hint="eastAsia"/>
          <w:szCs w:val="21"/>
        </w:rPr>
        <w:t>符合</w:t>
      </w:r>
      <w:r>
        <w:rPr>
          <w:rFonts w:hint="eastAsia"/>
          <w:bCs/>
          <w:szCs w:val="21"/>
        </w:rPr>
        <w:t>《中华人民共和国证券法》</w:t>
      </w:r>
      <w:r>
        <w:rPr>
          <w:rFonts w:hint="eastAsia"/>
          <w:szCs w:val="21"/>
        </w:rPr>
        <w:t>规定的会计师事务所审计。</w:t>
      </w:r>
    </w:p>
    <w:p w:rsidR="008711D3" w:rsidRDefault="004479D9">
      <w:pPr>
        <w:spacing w:line="360" w:lineRule="auto"/>
        <w:ind w:firstLineChars="200" w:firstLine="420"/>
        <w:rPr>
          <w:szCs w:val="21"/>
        </w:rPr>
      </w:pPr>
      <w:r>
        <w:rPr>
          <w:rFonts w:hint="eastAsia"/>
          <w:szCs w:val="21"/>
        </w:rPr>
        <w:t>基金管理人应当在上半年结束之日起两个月内，编制完成基金中期报告，将中期报告登载在规定网站上，并将中期报告提示性公告登载在规定报刊上。</w:t>
      </w:r>
    </w:p>
    <w:p w:rsidR="008711D3" w:rsidRDefault="004479D9">
      <w:pPr>
        <w:spacing w:line="360" w:lineRule="auto"/>
        <w:ind w:firstLineChars="200" w:firstLine="420"/>
        <w:rPr>
          <w:szCs w:val="21"/>
        </w:rPr>
      </w:pPr>
      <w:r>
        <w:rPr>
          <w:rFonts w:hint="eastAsia"/>
          <w:szCs w:val="21"/>
        </w:rPr>
        <w:t>基金管理人应当在季度结束之日起十五个工作日内，编制完成基金季度报告，将季度报告登载在规定网站上，并将季度报告提示性公告登载在规定报刊上。</w:t>
      </w:r>
    </w:p>
    <w:p w:rsidR="008711D3" w:rsidRDefault="004479D9">
      <w:pPr>
        <w:spacing w:line="360" w:lineRule="auto"/>
        <w:ind w:firstLineChars="200" w:firstLine="420"/>
        <w:rPr>
          <w:szCs w:val="21"/>
        </w:rPr>
      </w:pPr>
      <w:r>
        <w:rPr>
          <w:rFonts w:hint="eastAsia"/>
          <w:szCs w:val="21"/>
        </w:rPr>
        <w:t>基金合同生效不足</w:t>
      </w:r>
      <w:r>
        <w:rPr>
          <w:szCs w:val="21"/>
        </w:rPr>
        <w:t>2</w:t>
      </w:r>
      <w:r>
        <w:rPr>
          <w:rFonts w:hint="eastAsia"/>
          <w:szCs w:val="21"/>
        </w:rPr>
        <w:t>个月的，基金管理人可以不编制当期季度报告、中期报告或者年度报告。</w:t>
      </w:r>
    </w:p>
    <w:p w:rsidR="008711D3" w:rsidRDefault="004479D9">
      <w:pPr>
        <w:spacing w:line="360" w:lineRule="auto"/>
        <w:ind w:firstLineChars="200" w:firstLine="420"/>
        <w:rPr>
          <w:szCs w:val="21"/>
        </w:rPr>
      </w:pPr>
      <w:r>
        <w:rPr>
          <w:rFonts w:hint="eastAsia"/>
          <w:szCs w:val="21"/>
        </w:rPr>
        <w:t>如报告期内出现单一投资者持有基金份额达到或超过基金总份额</w:t>
      </w:r>
      <w:r>
        <w:rPr>
          <w:szCs w:val="21"/>
        </w:rPr>
        <w:t>20%</w:t>
      </w:r>
      <w:r>
        <w:rPr>
          <w:rFonts w:hint="eastAsia"/>
          <w:szCs w:val="21"/>
        </w:rPr>
        <w:t>的情形，为保障其他投资者的权益，基金管理人至少应当在定期报告</w:t>
      </w:r>
      <w:r>
        <w:rPr>
          <w:szCs w:val="21"/>
        </w:rPr>
        <w:t>“</w:t>
      </w:r>
      <w:r>
        <w:rPr>
          <w:rFonts w:hint="eastAsia"/>
          <w:szCs w:val="21"/>
        </w:rPr>
        <w:t>影响投资者决策的其他重要信息</w:t>
      </w:r>
      <w:r>
        <w:rPr>
          <w:szCs w:val="21"/>
        </w:rPr>
        <w:t>”</w:t>
      </w:r>
      <w:r>
        <w:rPr>
          <w:rFonts w:hint="eastAsia"/>
          <w:szCs w:val="21"/>
        </w:rPr>
        <w:t>项下披露该投资者的类别、报告期末持有份额及占比、报告期内持有份额变化情况及本基金的特有风险，中国证监会认定的特殊情形除外。</w:t>
      </w:r>
    </w:p>
    <w:p w:rsidR="008711D3" w:rsidRDefault="004479D9">
      <w:pPr>
        <w:spacing w:line="360" w:lineRule="auto"/>
        <w:ind w:firstLineChars="200" w:firstLine="420"/>
        <w:rPr>
          <w:szCs w:val="21"/>
        </w:rPr>
      </w:pPr>
      <w:r>
        <w:rPr>
          <w:rFonts w:hint="eastAsia"/>
          <w:szCs w:val="21"/>
        </w:rPr>
        <w:t>基金管理人应当在基金年度报告和中期报告中披露基金组合资产情况及其流动性风险分析等。</w:t>
      </w:r>
    </w:p>
    <w:p w:rsidR="008711D3" w:rsidRDefault="004479D9">
      <w:pPr>
        <w:spacing w:line="360" w:lineRule="auto"/>
        <w:ind w:firstLineChars="200" w:firstLine="420"/>
        <w:rPr>
          <w:szCs w:val="21"/>
        </w:rPr>
      </w:pPr>
      <w:r>
        <w:rPr>
          <w:rFonts w:hint="eastAsia"/>
          <w:szCs w:val="21"/>
        </w:rPr>
        <w:t>G</w:t>
      </w:r>
      <w:r>
        <w:rPr>
          <w:rFonts w:hint="eastAsia"/>
          <w:szCs w:val="21"/>
        </w:rPr>
        <w:t>、临时报告</w:t>
      </w:r>
    </w:p>
    <w:p w:rsidR="008711D3" w:rsidRDefault="004479D9">
      <w:pPr>
        <w:spacing w:line="360" w:lineRule="auto"/>
        <w:ind w:firstLineChars="200" w:firstLine="420"/>
        <w:rPr>
          <w:szCs w:val="21"/>
        </w:rPr>
      </w:pPr>
      <w:r>
        <w:rPr>
          <w:rFonts w:hint="eastAsia"/>
          <w:szCs w:val="21"/>
        </w:rPr>
        <w:t>本基金发生重大事件，有关信息披露义务人应当依照《信息披露办法》的有关规定编制临时报告书，并登载在规定报刊和规定网站上。</w:t>
      </w:r>
    </w:p>
    <w:p w:rsidR="008711D3" w:rsidRDefault="004479D9">
      <w:pPr>
        <w:spacing w:line="360" w:lineRule="auto"/>
        <w:ind w:firstLineChars="200" w:firstLine="420"/>
        <w:rPr>
          <w:szCs w:val="21"/>
        </w:rPr>
      </w:pPr>
      <w:r>
        <w:rPr>
          <w:rFonts w:hint="eastAsia"/>
          <w:szCs w:val="21"/>
        </w:rPr>
        <w:t>前款所称重大事件，是指可能对基金份额持有人权益或者基金份额的价格产生重大影响的下列事件：</w:t>
      </w:r>
    </w:p>
    <w:p w:rsidR="008711D3" w:rsidRDefault="004479D9">
      <w:pPr>
        <w:spacing w:line="360" w:lineRule="auto"/>
        <w:ind w:firstLineChars="200" w:firstLine="420"/>
        <w:rPr>
          <w:szCs w:val="21"/>
        </w:rPr>
      </w:pPr>
      <w:r>
        <w:rPr>
          <w:szCs w:val="21"/>
        </w:rPr>
        <w:t>1</w:t>
      </w:r>
      <w:r>
        <w:rPr>
          <w:rFonts w:hint="eastAsia"/>
          <w:szCs w:val="21"/>
        </w:rPr>
        <w:t>、基金份额持有人大会的召开及决定的事项；</w:t>
      </w:r>
    </w:p>
    <w:p w:rsidR="008711D3" w:rsidRDefault="004479D9">
      <w:pPr>
        <w:spacing w:line="360" w:lineRule="auto"/>
        <w:ind w:firstLineChars="200" w:firstLine="420"/>
        <w:rPr>
          <w:szCs w:val="21"/>
        </w:rPr>
      </w:pPr>
      <w:r>
        <w:rPr>
          <w:szCs w:val="21"/>
        </w:rPr>
        <w:t>2</w:t>
      </w:r>
      <w:r>
        <w:rPr>
          <w:rFonts w:hint="eastAsia"/>
          <w:szCs w:val="21"/>
        </w:rPr>
        <w:t>、基金合同终止、基金清算；</w:t>
      </w:r>
    </w:p>
    <w:p w:rsidR="008711D3" w:rsidRDefault="004479D9">
      <w:pPr>
        <w:spacing w:line="360" w:lineRule="auto"/>
        <w:ind w:firstLineChars="200" w:firstLine="420"/>
        <w:rPr>
          <w:szCs w:val="21"/>
        </w:rPr>
      </w:pPr>
      <w:r>
        <w:rPr>
          <w:szCs w:val="21"/>
        </w:rPr>
        <w:lastRenderedPageBreak/>
        <w:t>3</w:t>
      </w:r>
      <w:r>
        <w:rPr>
          <w:rFonts w:hint="eastAsia"/>
          <w:szCs w:val="21"/>
        </w:rPr>
        <w:t>、本基金转换基金运作方式、</w:t>
      </w:r>
      <w:r>
        <w:rPr>
          <w:rFonts w:hint="eastAsia"/>
          <w:bCs/>
          <w:szCs w:val="21"/>
        </w:rPr>
        <w:t>与其他</w:t>
      </w:r>
      <w:r>
        <w:rPr>
          <w:rFonts w:hint="eastAsia"/>
          <w:szCs w:val="21"/>
        </w:rPr>
        <w:t>基金合并；</w:t>
      </w:r>
    </w:p>
    <w:p w:rsidR="008711D3" w:rsidRDefault="004479D9">
      <w:pPr>
        <w:spacing w:line="360" w:lineRule="auto"/>
        <w:ind w:firstLineChars="200" w:firstLine="420"/>
        <w:rPr>
          <w:szCs w:val="21"/>
        </w:rPr>
      </w:pPr>
      <w:r>
        <w:rPr>
          <w:szCs w:val="21"/>
        </w:rPr>
        <w:t>4</w:t>
      </w:r>
      <w:r>
        <w:rPr>
          <w:rFonts w:hint="eastAsia"/>
          <w:szCs w:val="21"/>
        </w:rPr>
        <w:t>、本基金更换基金管理人、基金托管人、基金份额登记机构，本基金改聘会计师事务所；</w:t>
      </w:r>
    </w:p>
    <w:p w:rsidR="008711D3" w:rsidRDefault="004479D9">
      <w:pPr>
        <w:spacing w:line="360" w:lineRule="auto"/>
        <w:ind w:firstLineChars="200" w:firstLine="420"/>
        <w:rPr>
          <w:szCs w:val="21"/>
        </w:rPr>
      </w:pPr>
      <w:r>
        <w:rPr>
          <w:szCs w:val="21"/>
        </w:rPr>
        <w:t>5</w:t>
      </w:r>
      <w:r>
        <w:rPr>
          <w:rFonts w:hint="eastAsia"/>
          <w:szCs w:val="21"/>
        </w:rPr>
        <w:t>、基金管理人委托基金服务机构代为办理基金的份额登记、核算、估值等事项，基金托管人委托基金服务机构代为办理基金的核算、估值、复核等事项；</w:t>
      </w:r>
    </w:p>
    <w:p w:rsidR="008711D3" w:rsidRDefault="004479D9">
      <w:pPr>
        <w:spacing w:line="360" w:lineRule="auto"/>
        <w:ind w:firstLineChars="200" w:firstLine="420"/>
        <w:rPr>
          <w:szCs w:val="21"/>
        </w:rPr>
      </w:pPr>
      <w:r>
        <w:rPr>
          <w:szCs w:val="21"/>
        </w:rPr>
        <w:t>6</w:t>
      </w:r>
      <w:r>
        <w:rPr>
          <w:rFonts w:hint="eastAsia"/>
          <w:szCs w:val="21"/>
        </w:rPr>
        <w:t>、基金管理人、基金托管人的法定名称、住所发生变更；</w:t>
      </w:r>
    </w:p>
    <w:p w:rsidR="008711D3" w:rsidRDefault="004479D9">
      <w:pPr>
        <w:spacing w:line="360" w:lineRule="auto"/>
        <w:ind w:firstLineChars="200" w:firstLine="420"/>
        <w:rPr>
          <w:szCs w:val="21"/>
        </w:rPr>
      </w:pPr>
      <w:r>
        <w:rPr>
          <w:szCs w:val="21"/>
        </w:rPr>
        <w:t>7</w:t>
      </w:r>
      <w:r>
        <w:rPr>
          <w:rFonts w:hint="eastAsia"/>
          <w:szCs w:val="21"/>
        </w:rPr>
        <w:t>、基金管理人变更持有百分之五以上股权的股东、变更公司的实际控制人；</w:t>
      </w:r>
    </w:p>
    <w:p w:rsidR="008711D3" w:rsidRDefault="004479D9">
      <w:pPr>
        <w:spacing w:line="360" w:lineRule="auto"/>
        <w:ind w:firstLineChars="200" w:firstLine="420"/>
        <w:rPr>
          <w:szCs w:val="21"/>
        </w:rPr>
      </w:pPr>
      <w:r>
        <w:rPr>
          <w:szCs w:val="21"/>
        </w:rPr>
        <w:t>8</w:t>
      </w:r>
      <w:r>
        <w:rPr>
          <w:rFonts w:hint="eastAsia"/>
          <w:szCs w:val="21"/>
        </w:rPr>
        <w:t>、本基金募集期延长或提前结束募集；</w:t>
      </w:r>
    </w:p>
    <w:p w:rsidR="008711D3" w:rsidRDefault="004479D9">
      <w:pPr>
        <w:spacing w:line="360" w:lineRule="auto"/>
        <w:ind w:firstLineChars="200" w:firstLine="420"/>
        <w:rPr>
          <w:szCs w:val="21"/>
        </w:rPr>
      </w:pPr>
      <w:r>
        <w:rPr>
          <w:szCs w:val="21"/>
        </w:rPr>
        <w:t>9</w:t>
      </w:r>
      <w:r>
        <w:rPr>
          <w:rFonts w:hint="eastAsia"/>
          <w:szCs w:val="21"/>
        </w:rPr>
        <w:t>、基金管理人高级管理人员、基金经理和基金托管人专门基金托管部门负责人发生变动；</w:t>
      </w:r>
    </w:p>
    <w:p w:rsidR="008711D3" w:rsidRDefault="004479D9">
      <w:pPr>
        <w:spacing w:line="360" w:lineRule="auto"/>
        <w:ind w:firstLineChars="200" w:firstLine="420"/>
        <w:rPr>
          <w:szCs w:val="21"/>
        </w:rPr>
      </w:pPr>
      <w:r>
        <w:rPr>
          <w:szCs w:val="21"/>
        </w:rPr>
        <w:t>10</w:t>
      </w:r>
      <w:r>
        <w:rPr>
          <w:rFonts w:hint="eastAsia"/>
          <w:szCs w:val="21"/>
        </w:rPr>
        <w:t>、基金管理人的董事在最近</w:t>
      </w:r>
      <w:r>
        <w:rPr>
          <w:szCs w:val="21"/>
        </w:rPr>
        <w:t>12</w:t>
      </w:r>
      <w:r>
        <w:rPr>
          <w:rFonts w:hint="eastAsia"/>
          <w:szCs w:val="21"/>
        </w:rPr>
        <w:t>个月内变更超过百分之五十，基金管理人、基金托管人专门基金托管部门的主要业务人员在最近</w:t>
      </w:r>
      <w:r>
        <w:rPr>
          <w:szCs w:val="21"/>
        </w:rPr>
        <w:t>12</w:t>
      </w:r>
      <w:r>
        <w:rPr>
          <w:rFonts w:hint="eastAsia"/>
          <w:szCs w:val="21"/>
        </w:rPr>
        <w:t>个月内变动超过百分之三十；</w:t>
      </w:r>
    </w:p>
    <w:p w:rsidR="008711D3" w:rsidRDefault="004479D9">
      <w:pPr>
        <w:spacing w:line="360" w:lineRule="auto"/>
        <w:ind w:firstLineChars="200" w:firstLine="420"/>
        <w:rPr>
          <w:szCs w:val="21"/>
        </w:rPr>
      </w:pPr>
      <w:r>
        <w:rPr>
          <w:szCs w:val="21"/>
        </w:rPr>
        <w:t>11</w:t>
      </w:r>
      <w:r>
        <w:rPr>
          <w:rFonts w:hint="eastAsia"/>
          <w:szCs w:val="21"/>
        </w:rPr>
        <w:t>、涉及基金财产、基金管理业务、基金托管业务的诉讼或仲裁；</w:t>
      </w:r>
    </w:p>
    <w:p w:rsidR="008711D3" w:rsidRDefault="004479D9">
      <w:pPr>
        <w:spacing w:line="360" w:lineRule="auto"/>
        <w:ind w:firstLineChars="200" w:firstLine="420"/>
        <w:rPr>
          <w:szCs w:val="21"/>
        </w:rPr>
      </w:pPr>
      <w:r>
        <w:rPr>
          <w:szCs w:val="21"/>
        </w:rPr>
        <w:t>12</w:t>
      </w:r>
      <w:r>
        <w:rPr>
          <w:rFonts w:hint="eastAsia"/>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8711D3" w:rsidRDefault="004479D9">
      <w:pPr>
        <w:spacing w:line="360" w:lineRule="auto"/>
        <w:ind w:firstLineChars="200" w:firstLine="420"/>
        <w:rPr>
          <w:szCs w:val="21"/>
        </w:rPr>
      </w:pPr>
      <w:r>
        <w:rPr>
          <w:szCs w:val="21"/>
        </w:rPr>
        <w:t>13</w:t>
      </w:r>
      <w:r>
        <w:rPr>
          <w:rFonts w:hint="eastAsia"/>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8711D3" w:rsidRDefault="004479D9">
      <w:pPr>
        <w:spacing w:line="360" w:lineRule="auto"/>
        <w:ind w:firstLineChars="200" w:firstLine="420"/>
        <w:rPr>
          <w:szCs w:val="21"/>
        </w:rPr>
      </w:pPr>
      <w:r>
        <w:rPr>
          <w:szCs w:val="21"/>
        </w:rPr>
        <w:t>14</w:t>
      </w:r>
      <w:r>
        <w:rPr>
          <w:rFonts w:hint="eastAsia"/>
          <w:szCs w:val="21"/>
        </w:rPr>
        <w:t>、本基金收益分配事项；</w:t>
      </w:r>
    </w:p>
    <w:p w:rsidR="008711D3" w:rsidRDefault="004479D9">
      <w:pPr>
        <w:spacing w:line="360" w:lineRule="auto"/>
        <w:ind w:firstLineChars="200" w:firstLine="420"/>
        <w:rPr>
          <w:szCs w:val="21"/>
        </w:rPr>
      </w:pPr>
      <w:r>
        <w:rPr>
          <w:szCs w:val="21"/>
        </w:rPr>
        <w:t>15</w:t>
      </w:r>
      <w:r>
        <w:rPr>
          <w:rFonts w:hint="eastAsia"/>
          <w:szCs w:val="21"/>
        </w:rPr>
        <w:t>、管理费、托管费、申购费、赎回费、销售服务费等费用计提标准、计提方式和费率发生变更；</w:t>
      </w:r>
      <w:r>
        <w:rPr>
          <w:rFonts w:hint="eastAsia"/>
          <w:bCs/>
          <w:szCs w:val="21"/>
        </w:rPr>
        <w:t xml:space="preserve"> </w:t>
      </w:r>
    </w:p>
    <w:p w:rsidR="008711D3" w:rsidRDefault="004479D9">
      <w:pPr>
        <w:spacing w:line="360" w:lineRule="auto"/>
        <w:ind w:firstLineChars="200" w:firstLine="420"/>
        <w:rPr>
          <w:szCs w:val="21"/>
        </w:rPr>
      </w:pPr>
      <w:r>
        <w:rPr>
          <w:szCs w:val="21"/>
        </w:rPr>
        <w:t>16</w:t>
      </w:r>
      <w:r>
        <w:rPr>
          <w:rFonts w:hint="eastAsia"/>
          <w:szCs w:val="21"/>
        </w:rPr>
        <w:t>、某类基金份额的基金份额净值计价错误达该类基金份额的基金份额净值百分之零点五；</w:t>
      </w:r>
    </w:p>
    <w:p w:rsidR="008711D3" w:rsidRDefault="004479D9">
      <w:pPr>
        <w:spacing w:line="360" w:lineRule="auto"/>
        <w:ind w:firstLineChars="200" w:firstLine="420"/>
        <w:rPr>
          <w:szCs w:val="21"/>
        </w:rPr>
      </w:pPr>
      <w:r>
        <w:rPr>
          <w:szCs w:val="21"/>
        </w:rPr>
        <w:t>17</w:t>
      </w:r>
      <w:r>
        <w:rPr>
          <w:rFonts w:hint="eastAsia"/>
          <w:szCs w:val="21"/>
        </w:rPr>
        <w:t>、本基金</w:t>
      </w:r>
      <w:r>
        <w:rPr>
          <w:rFonts w:hint="eastAsia"/>
          <w:bCs/>
          <w:szCs w:val="21"/>
        </w:rPr>
        <w:t>开始办理申购、赎回</w:t>
      </w:r>
      <w:r>
        <w:rPr>
          <w:rFonts w:hint="eastAsia"/>
          <w:szCs w:val="21"/>
        </w:rPr>
        <w:t>；</w:t>
      </w:r>
    </w:p>
    <w:p w:rsidR="008711D3" w:rsidRDefault="004479D9">
      <w:pPr>
        <w:spacing w:line="360" w:lineRule="auto"/>
        <w:ind w:firstLineChars="200" w:firstLine="420"/>
        <w:rPr>
          <w:szCs w:val="21"/>
        </w:rPr>
      </w:pPr>
      <w:r>
        <w:rPr>
          <w:szCs w:val="21"/>
        </w:rPr>
        <w:t>18</w:t>
      </w:r>
      <w:r>
        <w:rPr>
          <w:rFonts w:hint="eastAsia"/>
          <w:szCs w:val="21"/>
        </w:rPr>
        <w:t>、本基金发生巨额赎回并延期办理；</w:t>
      </w:r>
    </w:p>
    <w:p w:rsidR="008711D3" w:rsidRDefault="004479D9">
      <w:pPr>
        <w:spacing w:line="360" w:lineRule="auto"/>
        <w:ind w:firstLineChars="200" w:firstLine="420"/>
        <w:rPr>
          <w:szCs w:val="21"/>
        </w:rPr>
      </w:pPr>
      <w:r>
        <w:rPr>
          <w:szCs w:val="21"/>
        </w:rPr>
        <w:t>19</w:t>
      </w:r>
      <w:r>
        <w:rPr>
          <w:rFonts w:hint="eastAsia"/>
          <w:szCs w:val="21"/>
        </w:rPr>
        <w:t>、本基金连续发生巨额赎回并暂停接受赎回申请或延缓支付赎回款项；</w:t>
      </w:r>
    </w:p>
    <w:p w:rsidR="008711D3" w:rsidRDefault="004479D9">
      <w:pPr>
        <w:spacing w:line="360" w:lineRule="auto"/>
        <w:ind w:firstLineChars="200" w:firstLine="420"/>
        <w:rPr>
          <w:szCs w:val="21"/>
        </w:rPr>
      </w:pPr>
      <w:r>
        <w:rPr>
          <w:szCs w:val="21"/>
        </w:rPr>
        <w:t>20</w:t>
      </w:r>
      <w:r>
        <w:rPr>
          <w:rFonts w:hint="eastAsia"/>
          <w:szCs w:val="21"/>
        </w:rPr>
        <w:t>、本基金暂停接受申购、赎回申请或重新接受申购、赎回申请；</w:t>
      </w:r>
    </w:p>
    <w:p w:rsidR="008711D3" w:rsidRDefault="004479D9">
      <w:pPr>
        <w:spacing w:line="360" w:lineRule="auto"/>
        <w:ind w:firstLineChars="200" w:firstLine="420"/>
        <w:rPr>
          <w:bCs/>
          <w:szCs w:val="21"/>
        </w:rPr>
      </w:pPr>
      <w:r>
        <w:rPr>
          <w:rFonts w:hint="eastAsia"/>
          <w:bCs/>
          <w:szCs w:val="21"/>
        </w:rPr>
        <w:t>2</w:t>
      </w:r>
      <w:r>
        <w:rPr>
          <w:bCs/>
          <w:szCs w:val="21"/>
        </w:rPr>
        <w:t>1</w:t>
      </w:r>
      <w:r>
        <w:rPr>
          <w:rFonts w:hint="eastAsia"/>
          <w:bCs/>
          <w:szCs w:val="21"/>
        </w:rPr>
        <w:t>、调整本基金份额类别设置；</w:t>
      </w:r>
    </w:p>
    <w:p w:rsidR="008711D3" w:rsidRDefault="004479D9">
      <w:pPr>
        <w:spacing w:line="360" w:lineRule="auto"/>
        <w:ind w:firstLineChars="200" w:firstLine="420"/>
        <w:rPr>
          <w:bCs/>
          <w:szCs w:val="21"/>
        </w:rPr>
      </w:pPr>
      <w:r>
        <w:rPr>
          <w:bCs/>
          <w:szCs w:val="21"/>
        </w:rPr>
        <w:t>22</w:t>
      </w:r>
      <w:r>
        <w:rPr>
          <w:bCs/>
          <w:szCs w:val="21"/>
        </w:rPr>
        <w:t>、</w:t>
      </w:r>
      <w:r>
        <w:rPr>
          <w:rFonts w:hint="eastAsia"/>
          <w:bCs/>
          <w:szCs w:val="21"/>
        </w:rPr>
        <w:t>发生涉及基金申购、赎回事项调整或潜在影响投资者赎回等重大事项时；</w:t>
      </w:r>
    </w:p>
    <w:p w:rsidR="008711D3" w:rsidRDefault="004479D9">
      <w:pPr>
        <w:spacing w:line="360" w:lineRule="auto"/>
        <w:ind w:firstLineChars="200" w:firstLine="420"/>
        <w:rPr>
          <w:szCs w:val="21"/>
        </w:rPr>
      </w:pPr>
      <w:r>
        <w:rPr>
          <w:rFonts w:hint="eastAsia"/>
          <w:bCs/>
          <w:szCs w:val="21"/>
        </w:rPr>
        <w:lastRenderedPageBreak/>
        <w:t>2</w:t>
      </w:r>
      <w:r>
        <w:rPr>
          <w:bCs/>
          <w:szCs w:val="21"/>
        </w:rPr>
        <w:t>3</w:t>
      </w:r>
      <w:r>
        <w:rPr>
          <w:bCs/>
          <w:szCs w:val="21"/>
        </w:rPr>
        <w:t>、</w:t>
      </w:r>
      <w:r>
        <w:rPr>
          <w:rFonts w:hint="eastAsia"/>
          <w:szCs w:val="21"/>
        </w:rPr>
        <w:t>基金管理人采用摆动定价机制进行估值；</w:t>
      </w:r>
    </w:p>
    <w:p w:rsidR="008711D3" w:rsidRDefault="004479D9">
      <w:pPr>
        <w:spacing w:line="360" w:lineRule="auto"/>
        <w:ind w:firstLineChars="200" w:firstLine="420"/>
        <w:rPr>
          <w:szCs w:val="21"/>
        </w:rPr>
      </w:pPr>
      <w:r>
        <w:rPr>
          <w:bCs/>
          <w:szCs w:val="21"/>
        </w:rPr>
        <w:t>24</w:t>
      </w:r>
      <w:r>
        <w:rPr>
          <w:rFonts w:hint="eastAsia"/>
          <w:szCs w:val="21"/>
        </w:rPr>
        <w:t>、基金信息披露义务人认为可能对基金份额持有人权益或者基金份额的价格产生重大影响的其他事项或中国证监会规定的其他事项。</w:t>
      </w:r>
    </w:p>
    <w:p w:rsidR="008711D3" w:rsidRDefault="004479D9">
      <w:pPr>
        <w:spacing w:line="360" w:lineRule="auto"/>
        <w:ind w:firstLineChars="200" w:firstLine="420"/>
        <w:rPr>
          <w:szCs w:val="21"/>
        </w:rPr>
      </w:pPr>
      <w:r>
        <w:rPr>
          <w:rFonts w:hint="eastAsia"/>
          <w:szCs w:val="21"/>
        </w:rPr>
        <w:t>H</w:t>
      </w:r>
      <w:r>
        <w:rPr>
          <w:rFonts w:hint="eastAsia"/>
          <w:szCs w:val="21"/>
        </w:rPr>
        <w:t>、澄清公告</w:t>
      </w:r>
    </w:p>
    <w:p w:rsidR="008711D3" w:rsidRDefault="004479D9">
      <w:pPr>
        <w:spacing w:line="360" w:lineRule="auto"/>
        <w:ind w:firstLineChars="200" w:firstLine="420"/>
        <w:rPr>
          <w:szCs w:val="21"/>
        </w:rPr>
      </w:pPr>
      <w:r>
        <w:rPr>
          <w:rFonts w:hint="eastAsia"/>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rsidR="008711D3" w:rsidRDefault="004479D9">
      <w:pPr>
        <w:spacing w:line="360" w:lineRule="auto"/>
        <w:ind w:firstLineChars="200" w:firstLine="420"/>
        <w:rPr>
          <w:szCs w:val="21"/>
        </w:rPr>
      </w:pPr>
      <w:r>
        <w:rPr>
          <w:rFonts w:hint="eastAsia"/>
          <w:szCs w:val="21"/>
        </w:rPr>
        <w:t>I</w:t>
      </w:r>
      <w:r>
        <w:rPr>
          <w:rFonts w:hint="eastAsia"/>
          <w:szCs w:val="21"/>
        </w:rPr>
        <w:t>、基金份额持有人大会决议</w:t>
      </w:r>
    </w:p>
    <w:p w:rsidR="008711D3" w:rsidRDefault="004479D9">
      <w:pPr>
        <w:spacing w:line="360" w:lineRule="auto"/>
        <w:ind w:firstLineChars="200" w:firstLine="420"/>
        <w:rPr>
          <w:szCs w:val="21"/>
        </w:rPr>
      </w:pPr>
      <w:r>
        <w:rPr>
          <w:rFonts w:hint="eastAsia"/>
          <w:szCs w:val="21"/>
        </w:rPr>
        <w:t>基金份额持有人大会决议，应当依法报中国证监会备案，并予以公告。</w:t>
      </w:r>
    </w:p>
    <w:p w:rsidR="008711D3" w:rsidRDefault="004479D9">
      <w:pPr>
        <w:spacing w:line="360" w:lineRule="auto"/>
        <w:ind w:firstLineChars="200" w:firstLine="420"/>
        <w:rPr>
          <w:szCs w:val="21"/>
        </w:rPr>
      </w:pPr>
      <w:bookmarkStart w:id="112" w:name="_Hlk21945119"/>
      <w:r>
        <w:rPr>
          <w:rFonts w:hint="eastAsia"/>
          <w:szCs w:val="21"/>
        </w:rPr>
        <w:t>J</w:t>
      </w:r>
      <w:r>
        <w:rPr>
          <w:rFonts w:hint="eastAsia"/>
          <w:szCs w:val="21"/>
        </w:rPr>
        <w:t>、清算报告</w:t>
      </w:r>
      <w:r>
        <w:rPr>
          <w:szCs w:val="21"/>
        </w:rPr>
        <w:t xml:space="preserve"> </w:t>
      </w:r>
    </w:p>
    <w:p w:rsidR="008711D3" w:rsidRDefault="004479D9">
      <w:pPr>
        <w:spacing w:line="360" w:lineRule="auto"/>
        <w:ind w:firstLineChars="200" w:firstLine="420"/>
        <w:rPr>
          <w:szCs w:val="21"/>
        </w:rPr>
      </w:pPr>
      <w:r>
        <w:rPr>
          <w:rFonts w:hint="eastAsia"/>
          <w:szCs w:val="21"/>
        </w:rPr>
        <w:t>发生基金合同终止事由的，基金管理人应当依法组织基金财产清算小组对基金财产进行清算并制作清算报告。</w:t>
      </w:r>
    </w:p>
    <w:bookmarkEnd w:id="112"/>
    <w:p w:rsidR="008711D3" w:rsidRDefault="004479D9">
      <w:pPr>
        <w:spacing w:line="360" w:lineRule="auto"/>
        <w:ind w:firstLineChars="200" w:firstLine="420"/>
        <w:rPr>
          <w:szCs w:val="21"/>
        </w:rPr>
      </w:pPr>
      <w:r>
        <w:rPr>
          <w:rFonts w:hint="eastAsia"/>
          <w:szCs w:val="21"/>
        </w:rPr>
        <w:t>K</w:t>
      </w:r>
      <w:r>
        <w:rPr>
          <w:rFonts w:hint="eastAsia"/>
          <w:szCs w:val="21"/>
        </w:rPr>
        <w:t>、实施侧袋机制期间的信息披露</w:t>
      </w:r>
    </w:p>
    <w:p w:rsidR="008711D3" w:rsidRDefault="004479D9">
      <w:pPr>
        <w:spacing w:line="360" w:lineRule="auto"/>
        <w:ind w:firstLineChars="200" w:firstLine="420"/>
        <w:rPr>
          <w:szCs w:val="21"/>
        </w:rPr>
      </w:pPr>
      <w:r>
        <w:rPr>
          <w:rFonts w:hint="eastAsia"/>
          <w:szCs w:val="21"/>
        </w:rPr>
        <w:t>本基金实施侧袋机制的，相关信息披露义务人应当根据法律法规、基金合同和招募说明书的规定进行信息披露，详见招募说明书“侧袋机制”部分的规定。</w:t>
      </w:r>
    </w:p>
    <w:p w:rsidR="008711D3" w:rsidRDefault="004479D9">
      <w:pPr>
        <w:spacing w:line="360" w:lineRule="auto"/>
        <w:ind w:firstLineChars="200" w:firstLine="420"/>
        <w:rPr>
          <w:szCs w:val="21"/>
        </w:rPr>
      </w:pPr>
      <w:r>
        <w:rPr>
          <w:szCs w:val="21"/>
        </w:rPr>
        <w:t>L</w:t>
      </w:r>
      <w:r>
        <w:rPr>
          <w:rFonts w:hint="eastAsia"/>
          <w:szCs w:val="21"/>
        </w:rPr>
        <w:t>、中国证监会规定应予公开披露的其他信息。</w:t>
      </w:r>
    </w:p>
    <w:p w:rsidR="008711D3" w:rsidRDefault="004479D9">
      <w:pPr>
        <w:spacing w:line="360" w:lineRule="auto"/>
        <w:ind w:firstLineChars="200" w:firstLine="420"/>
        <w:rPr>
          <w:bCs/>
          <w:szCs w:val="21"/>
        </w:rPr>
      </w:pPr>
      <w:r>
        <w:rPr>
          <w:rFonts w:hint="eastAsia"/>
          <w:bCs/>
          <w:szCs w:val="21"/>
        </w:rPr>
        <w:t>在季度报告、中期报告、年度报告等定期报告和招募说明书（更新）等文件中披露股指期货、国债期货交易情况，包括投资政策、持仓情况、损益情况、风险指标等，并充分揭示股指期货、国债期货交易对基金总体风险的影响以及是否符合既定的投资政策和投资目标等。</w:t>
      </w:r>
    </w:p>
    <w:p w:rsidR="008711D3" w:rsidRDefault="004479D9">
      <w:pPr>
        <w:spacing w:line="360" w:lineRule="auto"/>
        <w:ind w:firstLineChars="200" w:firstLine="420"/>
        <w:rPr>
          <w:bCs/>
          <w:szCs w:val="21"/>
        </w:rPr>
      </w:pPr>
      <w:r>
        <w:rPr>
          <w:rFonts w:hint="eastAsia"/>
          <w:bCs/>
          <w:szCs w:val="21"/>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rsidR="008711D3" w:rsidRDefault="004479D9">
      <w:pPr>
        <w:spacing w:line="360" w:lineRule="auto"/>
        <w:ind w:firstLineChars="200" w:firstLine="420"/>
        <w:rPr>
          <w:bCs/>
          <w:szCs w:val="21"/>
        </w:rPr>
      </w:pPr>
      <w:r>
        <w:rPr>
          <w:rFonts w:hint="eastAsia"/>
          <w:bCs/>
          <w:szCs w:val="21"/>
        </w:rPr>
        <w:t>基金管理人应在基金年度报告及中期报告中披露其持有的资产支持证券总额、资产支持证券市值占基金净资产的比例和报告期内所有的资产支持证券明细。</w:t>
      </w:r>
    </w:p>
    <w:p w:rsidR="008711D3" w:rsidRDefault="004479D9">
      <w:pPr>
        <w:spacing w:line="360" w:lineRule="auto"/>
        <w:ind w:firstLineChars="200" w:firstLine="420"/>
        <w:rPr>
          <w:bCs/>
          <w:szCs w:val="21"/>
        </w:rPr>
      </w:pPr>
      <w:r>
        <w:rPr>
          <w:rFonts w:hint="eastAsia"/>
          <w:bCs/>
          <w:szCs w:val="21"/>
        </w:rPr>
        <w:t>基金管理人应在基金季度报告中披露其持有的资产支持证券总额、资产支持证券市值占基金净资产的比例和报告期末按市值占基金净资产比例大小排序的前</w:t>
      </w:r>
      <w:r>
        <w:rPr>
          <w:rFonts w:hint="eastAsia"/>
          <w:bCs/>
          <w:szCs w:val="21"/>
        </w:rPr>
        <w:t>10</w:t>
      </w:r>
      <w:r>
        <w:rPr>
          <w:rFonts w:hint="eastAsia"/>
          <w:bCs/>
          <w:szCs w:val="21"/>
        </w:rPr>
        <w:t>名资产支持证券明细。</w:t>
      </w:r>
    </w:p>
    <w:p w:rsidR="008711D3" w:rsidRDefault="004479D9">
      <w:pPr>
        <w:spacing w:line="360" w:lineRule="auto"/>
        <w:ind w:firstLineChars="200" w:firstLine="420"/>
        <w:rPr>
          <w:bCs/>
          <w:szCs w:val="21"/>
        </w:rPr>
      </w:pPr>
      <w:r>
        <w:rPr>
          <w:rFonts w:hint="eastAsia"/>
          <w:bCs/>
          <w:szCs w:val="21"/>
        </w:rPr>
        <w:t>基金管理人应当在季度报告、中期报告、年度报告等定期报告和招募说明书（更新）等文件中披露参与港股通标的股票交易的相关情况。</w:t>
      </w:r>
    </w:p>
    <w:p w:rsidR="008711D3" w:rsidRDefault="004479D9">
      <w:pPr>
        <w:spacing w:line="360" w:lineRule="auto"/>
        <w:ind w:firstLineChars="200" w:firstLine="420"/>
        <w:rPr>
          <w:bCs/>
          <w:szCs w:val="21"/>
        </w:rPr>
      </w:pPr>
      <w:r>
        <w:rPr>
          <w:rFonts w:hint="eastAsia"/>
          <w:bCs/>
          <w:szCs w:val="21"/>
        </w:rPr>
        <w:lastRenderedPageBreak/>
        <w:t>基金管理人应当在季度报告、中期报告、年度报告等定期报告和招募说明书（更新）等文件中披露参与融资交易情况，包括投资策略、业务开展情况、损益情况、风险及其管理情况等。</w:t>
      </w:r>
    </w:p>
    <w:p w:rsidR="008711D3" w:rsidRDefault="004479D9">
      <w:pPr>
        <w:spacing w:line="360" w:lineRule="auto"/>
        <w:ind w:firstLineChars="200" w:firstLine="422"/>
        <w:rPr>
          <w:b/>
          <w:szCs w:val="21"/>
        </w:rPr>
      </w:pPr>
      <w:r>
        <w:rPr>
          <w:rFonts w:hint="eastAsia"/>
          <w:b/>
          <w:szCs w:val="21"/>
        </w:rPr>
        <w:t>（六）信息披露事务管理</w:t>
      </w:r>
    </w:p>
    <w:p w:rsidR="008711D3" w:rsidRDefault="004479D9">
      <w:pPr>
        <w:spacing w:line="360" w:lineRule="auto"/>
        <w:ind w:firstLineChars="200" w:firstLine="420"/>
        <w:rPr>
          <w:szCs w:val="21"/>
        </w:rPr>
      </w:pPr>
      <w:r>
        <w:rPr>
          <w:rFonts w:hint="eastAsia"/>
          <w:szCs w:val="21"/>
        </w:rPr>
        <w:t>基金管理人、基金托管人应当建立健全信息披露管理制度，指定专门部门及高级管理人员负责管理信息披露事务。</w:t>
      </w:r>
    </w:p>
    <w:p w:rsidR="008711D3" w:rsidRDefault="004479D9">
      <w:pPr>
        <w:spacing w:line="360" w:lineRule="auto"/>
        <w:ind w:firstLineChars="200" w:firstLine="420"/>
        <w:rPr>
          <w:szCs w:val="21"/>
        </w:rPr>
      </w:pPr>
      <w:r>
        <w:rPr>
          <w:rFonts w:hint="eastAsia"/>
          <w:szCs w:val="21"/>
        </w:rPr>
        <w:t>基金信息披露义务人公开披露基金信息，应当符合中国证监会相关基金信息披露内容与格式准则等法规的规定。</w:t>
      </w:r>
    </w:p>
    <w:p w:rsidR="008711D3" w:rsidRDefault="004479D9">
      <w:pPr>
        <w:spacing w:line="360" w:lineRule="auto"/>
        <w:ind w:firstLineChars="200" w:firstLine="420"/>
        <w:rPr>
          <w:szCs w:val="21"/>
        </w:rPr>
      </w:pPr>
      <w:r>
        <w:rPr>
          <w:rFonts w:hint="eastAsia"/>
          <w:szCs w:val="21"/>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rsidR="008711D3" w:rsidRDefault="004479D9">
      <w:pPr>
        <w:spacing w:line="360" w:lineRule="auto"/>
        <w:ind w:firstLineChars="200" w:firstLine="420"/>
        <w:rPr>
          <w:szCs w:val="21"/>
        </w:rPr>
      </w:pPr>
      <w:r>
        <w:rPr>
          <w:rFonts w:hint="eastAsia"/>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8711D3" w:rsidRDefault="004479D9">
      <w:pPr>
        <w:spacing w:line="360" w:lineRule="auto"/>
        <w:ind w:firstLineChars="200" w:firstLine="420"/>
        <w:rPr>
          <w:szCs w:val="21"/>
        </w:rPr>
      </w:pPr>
      <w:r>
        <w:rPr>
          <w:rFonts w:hint="eastAsia"/>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rsidR="008711D3" w:rsidRDefault="004479D9">
      <w:pPr>
        <w:spacing w:line="360" w:lineRule="auto"/>
        <w:ind w:firstLineChars="200" w:firstLine="420"/>
        <w:rPr>
          <w:szCs w:val="21"/>
        </w:rPr>
      </w:pPr>
      <w:r>
        <w:rPr>
          <w:rFonts w:hint="eastAsia"/>
          <w:szCs w:val="21"/>
        </w:rPr>
        <w:t>为基金信息披露义务人公开披露的基金信息出具审计报告、法律意见书的专业机构，应当制作工作底稿，相关档案的保存期限不低于法律法规规定的最低年限。</w:t>
      </w:r>
    </w:p>
    <w:p w:rsidR="008711D3" w:rsidRDefault="004479D9">
      <w:pPr>
        <w:spacing w:line="360" w:lineRule="auto"/>
        <w:ind w:firstLineChars="200" w:firstLine="420"/>
        <w:rPr>
          <w:szCs w:val="21"/>
        </w:rPr>
      </w:pPr>
      <w:r>
        <w:rPr>
          <w:rFonts w:hint="eastAsia"/>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8711D3" w:rsidRDefault="004479D9">
      <w:pPr>
        <w:spacing w:line="360" w:lineRule="auto"/>
        <w:ind w:firstLineChars="200" w:firstLine="422"/>
        <w:rPr>
          <w:b/>
          <w:szCs w:val="21"/>
        </w:rPr>
      </w:pPr>
      <w:r>
        <w:rPr>
          <w:rFonts w:hint="eastAsia"/>
          <w:b/>
          <w:szCs w:val="21"/>
        </w:rPr>
        <w:t>（七）信息披露文件的存放与查阅</w:t>
      </w:r>
    </w:p>
    <w:p w:rsidR="008711D3" w:rsidRDefault="004479D9">
      <w:pPr>
        <w:spacing w:line="360" w:lineRule="auto"/>
        <w:ind w:firstLineChars="200" w:firstLine="420"/>
        <w:rPr>
          <w:szCs w:val="21"/>
        </w:rPr>
      </w:pPr>
      <w:r>
        <w:rPr>
          <w:rFonts w:hint="eastAsia"/>
          <w:szCs w:val="21"/>
        </w:rPr>
        <w:t>依法必须披露的信息发布后，基金管理人、基金托管人应当按照相关法律法规规定将信息置备于公司住所，供社会公众查阅、复制。</w:t>
      </w:r>
    </w:p>
    <w:p w:rsidR="008711D3" w:rsidRDefault="004479D9">
      <w:pPr>
        <w:spacing w:line="360" w:lineRule="auto"/>
        <w:ind w:firstLineChars="200" w:firstLine="422"/>
        <w:rPr>
          <w:b/>
          <w:szCs w:val="21"/>
        </w:rPr>
      </w:pPr>
      <w:r>
        <w:rPr>
          <w:rFonts w:hint="eastAsia"/>
          <w:b/>
          <w:szCs w:val="21"/>
        </w:rPr>
        <w:t>（八）暂停或延迟信息披露的情形</w:t>
      </w:r>
    </w:p>
    <w:p w:rsidR="008711D3" w:rsidRDefault="004479D9">
      <w:pPr>
        <w:spacing w:line="360" w:lineRule="auto"/>
        <w:ind w:firstLineChars="200" w:firstLine="420"/>
        <w:rPr>
          <w:szCs w:val="21"/>
        </w:rPr>
      </w:pPr>
      <w:r>
        <w:rPr>
          <w:rFonts w:hint="eastAsia"/>
          <w:szCs w:val="21"/>
        </w:rPr>
        <w:t>当出现下述情况时，基金管理人和基金托管人可暂停或延迟披露基金信息：</w:t>
      </w:r>
    </w:p>
    <w:p w:rsidR="008711D3" w:rsidRDefault="004479D9">
      <w:pPr>
        <w:spacing w:line="360" w:lineRule="auto"/>
        <w:ind w:firstLineChars="200" w:firstLine="420"/>
        <w:rPr>
          <w:szCs w:val="21"/>
        </w:rPr>
      </w:pPr>
      <w:r>
        <w:rPr>
          <w:szCs w:val="21"/>
        </w:rPr>
        <w:t>1</w:t>
      </w:r>
      <w:r>
        <w:rPr>
          <w:rFonts w:hint="eastAsia"/>
          <w:szCs w:val="21"/>
        </w:rPr>
        <w:t>、基金投资所涉及的证券、期货交易所或外汇市场遇法定节假日或因其他原因暂停营</w:t>
      </w:r>
      <w:r>
        <w:rPr>
          <w:rFonts w:hint="eastAsia"/>
          <w:szCs w:val="21"/>
        </w:rPr>
        <w:lastRenderedPageBreak/>
        <w:t>业时；</w:t>
      </w:r>
    </w:p>
    <w:p w:rsidR="008711D3" w:rsidRDefault="004479D9">
      <w:pPr>
        <w:spacing w:line="360" w:lineRule="auto"/>
        <w:ind w:firstLineChars="200" w:firstLine="420"/>
        <w:rPr>
          <w:szCs w:val="21"/>
        </w:rPr>
      </w:pPr>
      <w:r>
        <w:rPr>
          <w:szCs w:val="21"/>
        </w:rPr>
        <w:t>2</w:t>
      </w:r>
      <w:r>
        <w:rPr>
          <w:rFonts w:hint="eastAsia"/>
          <w:szCs w:val="21"/>
        </w:rPr>
        <w:t>、因不可抗力或其他情形致使基金管理人、基金托管人无法准确评估基金资产价值时；</w:t>
      </w:r>
    </w:p>
    <w:p w:rsidR="008711D3" w:rsidRDefault="004479D9">
      <w:pPr>
        <w:spacing w:line="360" w:lineRule="auto"/>
        <w:ind w:firstLineChars="200" w:firstLine="420"/>
        <w:rPr>
          <w:rFonts w:ascii="宋体" w:hAnsi="宋体"/>
          <w:bCs/>
          <w:szCs w:val="21"/>
        </w:rPr>
      </w:pPr>
      <w:r>
        <w:rPr>
          <w:szCs w:val="21"/>
        </w:rPr>
        <w:t>3</w:t>
      </w:r>
      <w:r>
        <w:rPr>
          <w:rFonts w:hint="eastAsia"/>
          <w:szCs w:val="21"/>
        </w:rPr>
        <w:t>、法律法规规定、中国证监会或基金合同认定的其他情形。</w:t>
      </w:r>
    </w:p>
    <w:p w:rsidR="008711D3" w:rsidRDefault="004479D9">
      <w:pPr>
        <w:spacing w:line="360" w:lineRule="auto"/>
        <w:rPr>
          <w:rFonts w:ascii="宋体" w:hAnsi="宋体"/>
          <w:bCs/>
          <w:szCs w:val="21"/>
        </w:rPr>
      </w:pPr>
      <w:r>
        <w:rPr>
          <w:rFonts w:ascii="宋体" w:hAnsi="宋体"/>
          <w:bCs/>
          <w:szCs w:val="21"/>
        </w:rPr>
        <w:br w:type="page"/>
      </w:r>
    </w:p>
    <w:p w:rsidR="008711D3" w:rsidRDefault="004479D9">
      <w:pPr>
        <w:pStyle w:val="1"/>
        <w:spacing w:before="340" w:after="330"/>
        <w:jc w:val="center"/>
        <w:rPr>
          <w:rFonts w:hAnsi="宋体"/>
          <w:bCs/>
          <w:color w:val="auto"/>
          <w:kern w:val="44"/>
          <w:sz w:val="21"/>
          <w:szCs w:val="21"/>
        </w:rPr>
      </w:pPr>
      <w:bookmarkStart w:id="113" w:name="_Toc47549423"/>
      <w:bookmarkStart w:id="114" w:name="_Toc50650799"/>
      <w:bookmarkStart w:id="115" w:name="_Toc71748074"/>
      <w:r>
        <w:rPr>
          <w:rFonts w:hAnsi="宋体"/>
          <w:bCs/>
          <w:color w:val="auto"/>
          <w:kern w:val="44"/>
          <w:sz w:val="21"/>
          <w:szCs w:val="21"/>
        </w:rPr>
        <w:lastRenderedPageBreak/>
        <w:t>十六</w:t>
      </w:r>
      <w:r>
        <w:rPr>
          <w:rFonts w:hAnsi="宋体" w:hint="eastAsia"/>
          <w:bCs/>
          <w:color w:val="auto"/>
          <w:kern w:val="44"/>
          <w:sz w:val="21"/>
          <w:szCs w:val="21"/>
        </w:rPr>
        <w:t>、</w:t>
      </w:r>
      <w:r>
        <w:rPr>
          <w:rFonts w:hAnsi="宋体"/>
          <w:bCs/>
          <w:color w:val="auto"/>
          <w:kern w:val="44"/>
          <w:sz w:val="21"/>
          <w:szCs w:val="21"/>
        </w:rPr>
        <w:t>侧袋机制</w:t>
      </w:r>
      <w:bookmarkEnd w:id="113"/>
      <w:bookmarkEnd w:id="114"/>
      <w:bookmarkEnd w:id="115"/>
    </w:p>
    <w:p w:rsidR="008711D3" w:rsidRDefault="004479D9">
      <w:pPr>
        <w:pStyle w:val="a9"/>
        <w:ind w:firstLineChars="200" w:firstLine="422"/>
        <w:rPr>
          <w:rFonts w:ascii="宋体" w:hAnsi="宋体"/>
          <w:b/>
          <w:sz w:val="21"/>
          <w:szCs w:val="21"/>
        </w:rPr>
      </w:pPr>
      <w:r>
        <w:rPr>
          <w:rFonts w:ascii="宋体" w:hAnsi="宋体" w:hint="eastAsia"/>
          <w:b/>
          <w:sz w:val="21"/>
          <w:szCs w:val="21"/>
        </w:rPr>
        <w:t>（一）侧袋机制的实施条件</w:t>
      </w:r>
    </w:p>
    <w:p w:rsidR="008711D3" w:rsidRDefault="004479D9">
      <w:pPr>
        <w:pStyle w:val="a9"/>
        <w:ind w:firstLineChars="200" w:firstLine="420"/>
        <w:rPr>
          <w:rFonts w:ascii="宋体" w:hAnsi="宋体"/>
          <w:sz w:val="21"/>
          <w:szCs w:val="21"/>
        </w:rPr>
      </w:pPr>
      <w:r>
        <w:rPr>
          <w:rFonts w:ascii="宋体" w:hAnsi="宋体" w:hint="eastAsia"/>
          <w:sz w:val="2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8711D3" w:rsidRDefault="004479D9">
      <w:pPr>
        <w:pStyle w:val="a9"/>
        <w:ind w:firstLineChars="200" w:firstLine="420"/>
        <w:rPr>
          <w:rFonts w:ascii="宋体" w:hAnsi="宋体"/>
          <w:sz w:val="21"/>
          <w:szCs w:val="21"/>
        </w:rPr>
      </w:pPr>
      <w:r>
        <w:rPr>
          <w:rFonts w:ascii="宋体" w:hAnsi="宋体" w:hint="eastAsia"/>
          <w:sz w:val="21"/>
          <w:szCs w:val="21"/>
        </w:rPr>
        <w:t>基金管理人应当在启用侧袋机制后及时发布临时公告，</w:t>
      </w:r>
      <w:bookmarkStart w:id="116" w:name="_Hlk45746268"/>
      <w:r>
        <w:rPr>
          <w:rFonts w:ascii="宋体" w:hAnsi="宋体" w:hint="eastAsia"/>
          <w:sz w:val="21"/>
          <w:szCs w:val="21"/>
        </w:rPr>
        <w:t>并在</w:t>
      </w:r>
      <w:bookmarkStart w:id="117" w:name="_Hlk45746204"/>
      <w:r>
        <w:rPr>
          <w:rFonts w:ascii="宋体" w:hAnsi="宋体" w:hint="eastAsia"/>
          <w:sz w:val="21"/>
          <w:szCs w:val="21"/>
        </w:rPr>
        <w:t>五个工作日内</w:t>
      </w:r>
      <w:bookmarkEnd w:id="116"/>
      <w:bookmarkEnd w:id="117"/>
      <w:r>
        <w:rPr>
          <w:rFonts w:ascii="宋体" w:hAnsi="宋体" w:hint="eastAsia"/>
          <w:sz w:val="21"/>
          <w:szCs w:val="21"/>
        </w:rPr>
        <w:t>聘请符合《中华人民共和国证券法》规定的会计师事务所</w:t>
      </w:r>
      <w:bookmarkStart w:id="118" w:name="_Hlk45746299"/>
      <w:r>
        <w:rPr>
          <w:rFonts w:ascii="宋体" w:hAnsi="宋体" w:hint="eastAsia"/>
          <w:sz w:val="21"/>
          <w:szCs w:val="21"/>
        </w:rPr>
        <w:t>进行审计并披露</w:t>
      </w:r>
      <w:bookmarkEnd w:id="118"/>
      <w:r>
        <w:rPr>
          <w:rFonts w:ascii="宋体" w:hAnsi="宋体" w:hint="eastAsia"/>
          <w:sz w:val="21"/>
          <w:szCs w:val="21"/>
        </w:rPr>
        <w:t>专项审计意见。</w:t>
      </w:r>
    </w:p>
    <w:p w:rsidR="008711D3" w:rsidRDefault="004479D9">
      <w:pPr>
        <w:pStyle w:val="a9"/>
        <w:ind w:firstLineChars="200" w:firstLine="422"/>
        <w:rPr>
          <w:rFonts w:ascii="宋体" w:hAnsi="宋体"/>
          <w:b/>
          <w:sz w:val="21"/>
          <w:szCs w:val="21"/>
        </w:rPr>
      </w:pPr>
      <w:r>
        <w:rPr>
          <w:rFonts w:ascii="宋体" w:hAnsi="宋体" w:hint="eastAsia"/>
          <w:b/>
          <w:sz w:val="21"/>
          <w:szCs w:val="21"/>
        </w:rPr>
        <w:t>（二）实施侧袋机制期间基金份额的申购与赎回</w:t>
      </w:r>
    </w:p>
    <w:p w:rsidR="008711D3" w:rsidRDefault="004479D9">
      <w:pPr>
        <w:pStyle w:val="a9"/>
        <w:ind w:firstLineChars="200" w:firstLine="420"/>
        <w:rPr>
          <w:rFonts w:ascii="宋体" w:hAnsi="宋体"/>
          <w:sz w:val="21"/>
          <w:szCs w:val="21"/>
        </w:rPr>
      </w:pPr>
      <w:r>
        <w:rPr>
          <w:rFonts w:ascii="宋体" w:hAnsi="宋体" w:hint="eastAsia"/>
          <w:sz w:val="21"/>
          <w:szCs w:val="21"/>
        </w:rPr>
        <w:t>1、启用侧袋机制当日，基金登记机构以基金份额持有人的原有账户份额为基础，确认相应侧袋账户基金份额持有人名册和份额。</w:t>
      </w:r>
    </w:p>
    <w:p w:rsidR="008711D3" w:rsidRDefault="004479D9">
      <w:pPr>
        <w:pStyle w:val="a9"/>
        <w:ind w:firstLineChars="200" w:firstLine="420"/>
        <w:rPr>
          <w:rFonts w:ascii="宋体" w:hAnsi="宋体"/>
          <w:sz w:val="21"/>
          <w:szCs w:val="21"/>
        </w:rPr>
      </w:pPr>
      <w:r>
        <w:rPr>
          <w:rFonts w:ascii="宋体" w:hAnsi="宋体"/>
          <w:sz w:val="21"/>
          <w:szCs w:val="21"/>
        </w:rPr>
        <w:t>2</w:t>
      </w:r>
      <w:r>
        <w:rPr>
          <w:rFonts w:ascii="宋体" w:hAnsi="宋体" w:hint="eastAsia"/>
          <w:sz w:val="21"/>
          <w:szCs w:val="21"/>
        </w:rPr>
        <w:t>、实施侧袋机制期间，基金管理人不办理侧袋账户份额的申购、赎回和转换；同时，基金管理人按照基金合同和招募说明书的约定办理主袋账户份额的赎回，并根据主袋账户运作情况确定是否暂停申购。</w:t>
      </w:r>
    </w:p>
    <w:p w:rsidR="008711D3" w:rsidRDefault="004479D9">
      <w:pPr>
        <w:pStyle w:val="a9"/>
        <w:ind w:firstLineChars="200" w:firstLine="420"/>
        <w:rPr>
          <w:rFonts w:ascii="宋体" w:hAnsi="宋体"/>
          <w:sz w:val="21"/>
          <w:szCs w:val="21"/>
        </w:rPr>
      </w:pPr>
      <w:r>
        <w:rPr>
          <w:rFonts w:ascii="宋体" w:hAnsi="宋体"/>
          <w:sz w:val="21"/>
          <w:szCs w:val="21"/>
        </w:rPr>
        <w:t>3</w:t>
      </w:r>
      <w:r>
        <w:rPr>
          <w:rFonts w:ascii="宋体" w:hAnsi="宋体" w:hint="eastAsia"/>
          <w:sz w:val="21"/>
          <w:szCs w:val="21"/>
        </w:rPr>
        <w:t>、除基金管理人应按照主袋账户的份额净值办理主袋账户份额的申购和赎回外，本招募说明书“基金份额的申购与赎回”部分的申购、赎回规定适用于主袋账户份额。</w:t>
      </w:r>
    </w:p>
    <w:p w:rsidR="008711D3" w:rsidRDefault="004479D9">
      <w:pPr>
        <w:pStyle w:val="a9"/>
        <w:ind w:firstLineChars="200" w:firstLine="422"/>
        <w:rPr>
          <w:rFonts w:ascii="宋体" w:hAnsi="宋体"/>
          <w:b/>
          <w:sz w:val="21"/>
          <w:szCs w:val="21"/>
        </w:rPr>
      </w:pPr>
      <w:r>
        <w:rPr>
          <w:rFonts w:ascii="宋体" w:hAnsi="宋体" w:hint="eastAsia"/>
          <w:b/>
          <w:sz w:val="21"/>
          <w:szCs w:val="21"/>
        </w:rPr>
        <w:t>（三）实施侧袋机制期间的基金投资</w:t>
      </w:r>
    </w:p>
    <w:p w:rsidR="008711D3" w:rsidRDefault="004479D9">
      <w:pPr>
        <w:pStyle w:val="a9"/>
        <w:ind w:firstLineChars="200" w:firstLine="420"/>
        <w:rPr>
          <w:rFonts w:ascii="宋体" w:hAnsi="宋体"/>
          <w:sz w:val="21"/>
          <w:szCs w:val="21"/>
        </w:rPr>
      </w:pPr>
      <w:r>
        <w:rPr>
          <w:rFonts w:ascii="宋体" w:hAnsi="宋体" w:hint="eastAsia"/>
          <w:sz w:val="21"/>
          <w:szCs w:val="21"/>
        </w:rPr>
        <w:t>侧袋机制实施期间，招募说明书“基金的投资”部分约定的</w:t>
      </w:r>
      <w:r>
        <w:rPr>
          <w:rFonts w:ascii="宋体" w:hAnsi="宋体"/>
          <w:sz w:val="21"/>
          <w:szCs w:val="21"/>
        </w:rPr>
        <w:t>投资组合比例</w:t>
      </w:r>
      <w:r>
        <w:rPr>
          <w:rFonts w:ascii="宋体" w:hAnsi="宋体" w:hint="eastAsia"/>
          <w:sz w:val="21"/>
          <w:szCs w:val="21"/>
        </w:rPr>
        <w:t>、投资策略、</w:t>
      </w:r>
      <w:r>
        <w:rPr>
          <w:rFonts w:ascii="宋体" w:hAnsi="宋体"/>
          <w:sz w:val="21"/>
          <w:szCs w:val="21"/>
        </w:rPr>
        <w:t>组合限制</w:t>
      </w:r>
      <w:r>
        <w:rPr>
          <w:rFonts w:ascii="宋体" w:hAnsi="宋体" w:hint="eastAsia"/>
          <w:sz w:val="21"/>
          <w:szCs w:val="21"/>
        </w:rPr>
        <w:t>、业绩比较基准、风险收益特征等约定仅适用于主袋账户。基金管理人计算各项投资运作指标和基金业绩指标时仅需考虑主袋账户资产。</w:t>
      </w:r>
    </w:p>
    <w:p w:rsidR="008711D3" w:rsidRDefault="004479D9">
      <w:pPr>
        <w:pStyle w:val="a9"/>
        <w:ind w:firstLineChars="200" w:firstLine="420"/>
        <w:rPr>
          <w:rFonts w:ascii="宋体" w:hAnsi="宋体"/>
          <w:sz w:val="21"/>
          <w:szCs w:val="21"/>
        </w:rPr>
      </w:pPr>
      <w:r>
        <w:rPr>
          <w:rFonts w:ascii="宋体" w:hAnsi="宋体" w:hint="eastAsia"/>
          <w:sz w:val="21"/>
          <w:szCs w:val="21"/>
        </w:rPr>
        <w:t>基金管理人原则上应当在侧袋</w:t>
      </w:r>
      <w:r>
        <w:rPr>
          <w:rFonts w:ascii="宋体" w:hAnsi="宋体"/>
          <w:sz w:val="21"/>
          <w:szCs w:val="21"/>
        </w:rPr>
        <w:t>机制启用后20个交易日内完成对主袋账户投资组合的调整，</w:t>
      </w:r>
      <w:r>
        <w:rPr>
          <w:rFonts w:ascii="宋体" w:hAnsi="宋体" w:hint="eastAsia"/>
          <w:sz w:val="21"/>
          <w:szCs w:val="21"/>
        </w:rPr>
        <w:t>因资产流动性受限等中国证监会规定的情形除外。</w:t>
      </w:r>
    </w:p>
    <w:p w:rsidR="008711D3" w:rsidRDefault="004479D9">
      <w:pPr>
        <w:pStyle w:val="a9"/>
        <w:ind w:firstLineChars="200" w:firstLine="420"/>
        <w:rPr>
          <w:rFonts w:ascii="宋体" w:hAnsi="宋体"/>
          <w:sz w:val="21"/>
          <w:szCs w:val="21"/>
        </w:rPr>
      </w:pPr>
      <w:r>
        <w:rPr>
          <w:rFonts w:ascii="宋体" w:hAnsi="宋体" w:hint="eastAsia"/>
          <w:sz w:val="21"/>
          <w:szCs w:val="21"/>
        </w:rPr>
        <w:t>基金管理人不得在侧袋账户中进行除特定资产处置变现以外的其他投资操作。</w:t>
      </w:r>
    </w:p>
    <w:p w:rsidR="008711D3" w:rsidRDefault="004479D9">
      <w:pPr>
        <w:pStyle w:val="a9"/>
        <w:ind w:firstLineChars="200" w:firstLine="422"/>
        <w:rPr>
          <w:rFonts w:ascii="宋体" w:hAnsi="宋体"/>
          <w:b/>
          <w:sz w:val="21"/>
          <w:szCs w:val="21"/>
        </w:rPr>
      </w:pPr>
      <w:r>
        <w:rPr>
          <w:rFonts w:ascii="宋体" w:hAnsi="宋体" w:hint="eastAsia"/>
          <w:b/>
          <w:sz w:val="21"/>
          <w:szCs w:val="21"/>
        </w:rPr>
        <w:t>（四）实施侧袋机制期间的基金估值</w:t>
      </w:r>
    </w:p>
    <w:p w:rsidR="008711D3" w:rsidRDefault="004479D9">
      <w:pPr>
        <w:pStyle w:val="a9"/>
        <w:ind w:firstLineChars="200" w:firstLine="420"/>
        <w:rPr>
          <w:rFonts w:ascii="宋体" w:hAnsi="宋体"/>
          <w:sz w:val="21"/>
          <w:szCs w:val="21"/>
        </w:rPr>
      </w:pPr>
      <w:r>
        <w:rPr>
          <w:rFonts w:ascii="宋体" w:hAnsi="宋体" w:hint="eastAsia"/>
          <w:sz w:val="21"/>
          <w:szCs w:val="21"/>
        </w:rPr>
        <w:t>本基金实施侧袋机制的，基金管理人和基金托管人应对主袋账户资产进行估值并披露主袋账户的基金净值信息，暂停披露侧袋账户的</w:t>
      </w:r>
      <w:r>
        <w:rPr>
          <w:rFonts w:ascii="宋体" w:hAnsi="宋体"/>
          <w:sz w:val="21"/>
          <w:szCs w:val="21"/>
        </w:rPr>
        <w:t>基金</w:t>
      </w:r>
      <w:r>
        <w:rPr>
          <w:rFonts w:ascii="宋体" w:hAnsi="宋体" w:hint="eastAsia"/>
          <w:sz w:val="21"/>
          <w:szCs w:val="21"/>
        </w:rPr>
        <w:t>净值信息。侧袋账户的会计核算应符合《企业会计准则》的相关要求。</w:t>
      </w:r>
    </w:p>
    <w:p w:rsidR="008711D3" w:rsidRDefault="004479D9">
      <w:pPr>
        <w:pStyle w:val="a9"/>
        <w:ind w:firstLineChars="200" w:firstLine="422"/>
        <w:rPr>
          <w:rFonts w:ascii="宋体" w:hAnsi="宋体"/>
          <w:b/>
          <w:sz w:val="21"/>
          <w:szCs w:val="21"/>
        </w:rPr>
      </w:pPr>
      <w:r>
        <w:rPr>
          <w:rFonts w:ascii="宋体" w:hAnsi="宋体" w:hint="eastAsia"/>
          <w:b/>
          <w:sz w:val="21"/>
          <w:szCs w:val="21"/>
        </w:rPr>
        <w:t>（五）实施侧袋账户期间的基金费用</w:t>
      </w:r>
    </w:p>
    <w:p w:rsidR="008711D3" w:rsidRDefault="004479D9">
      <w:pPr>
        <w:pStyle w:val="a9"/>
        <w:ind w:firstLineChars="200" w:firstLine="420"/>
        <w:rPr>
          <w:rFonts w:ascii="宋体" w:hAnsi="宋体"/>
          <w:sz w:val="21"/>
          <w:szCs w:val="21"/>
        </w:rPr>
      </w:pPr>
      <w:r>
        <w:rPr>
          <w:rFonts w:ascii="宋体" w:hAnsi="宋体" w:hint="eastAsia"/>
          <w:sz w:val="21"/>
          <w:szCs w:val="21"/>
        </w:rPr>
        <w:t>与侧袋账户有关的费用可从侧袋账户中列支，但应待侧袋账户资产变现后方可列支，有关费用可酌情收取或减免，但不得收取管理费。</w:t>
      </w:r>
    </w:p>
    <w:p w:rsidR="008711D3" w:rsidRDefault="004479D9">
      <w:pPr>
        <w:pStyle w:val="a9"/>
        <w:ind w:firstLineChars="200" w:firstLine="422"/>
        <w:rPr>
          <w:rFonts w:ascii="宋体" w:hAnsi="宋体"/>
          <w:b/>
          <w:sz w:val="21"/>
          <w:szCs w:val="21"/>
        </w:rPr>
      </w:pPr>
      <w:r>
        <w:rPr>
          <w:rFonts w:ascii="宋体" w:hAnsi="宋体" w:hint="eastAsia"/>
          <w:b/>
          <w:sz w:val="21"/>
          <w:szCs w:val="21"/>
        </w:rPr>
        <w:lastRenderedPageBreak/>
        <w:t>（六）侧袋账户中特定资产的处置变现和支付</w:t>
      </w:r>
    </w:p>
    <w:p w:rsidR="008711D3" w:rsidRDefault="004479D9">
      <w:pPr>
        <w:pStyle w:val="a9"/>
        <w:ind w:firstLineChars="200" w:firstLine="420"/>
        <w:rPr>
          <w:rFonts w:ascii="宋体" w:hAnsi="宋体"/>
          <w:sz w:val="21"/>
          <w:szCs w:val="21"/>
        </w:rPr>
      </w:pPr>
      <w:r>
        <w:rPr>
          <w:rFonts w:ascii="宋体" w:hAnsi="宋体" w:hint="eastAsia"/>
          <w:sz w:val="21"/>
          <w:szCs w:val="21"/>
        </w:rPr>
        <w:t>特定资产以可出售、可转让、恢复交易等方式恢复流动性后，基金管理人应当按照基金份额持有人利益最大化原则，采取将特定资产予以处置变现等方式，及时向侧袋账户份额持有人支付对应变现款项。</w:t>
      </w:r>
    </w:p>
    <w:p w:rsidR="008711D3" w:rsidRDefault="004479D9">
      <w:pPr>
        <w:pStyle w:val="a9"/>
        <w:ind w:firstLineChars="200" w:firstLine="420"/>
        <w:rPr>
          <w:rFonts w:ascii="宋体" w:hAnsi="宋体"/>
          <w:sz w:val="21"/>
          <w:szCs w:val="21"/>
        </w:rPr>
      </w:pPr>
      <w:r>
        <w:rPr>
          <w:rFonts w:ascii="宋体" w:hAnsi="宋体" w:hint="eastAsia"/>
          <w:sz w:val="21"/>
          <w:szCs w:val="21"/>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rsidR="008711D3" w:rsidRDefault="004479D9">
      <w:pPr>
        <w:pStyle w:val="a9"/>
        <w:ind w:firstLineChars="200" w:firstLine="420"/>
        <w:rPr>
          <w:rFonts w:ascii="宋体" w:hAnsi="宋体"/>
          <w:sz w:val="21"/>
          <w:szCs w:val="21"/>
        </w:rPr>
      </w:pPr>
      <w:r>
        <w:rPr>
          <w:rFonts w:ascii="宋体" w:hAnsi="宋体" w:hint="eastAsia"/>
          <w:sz w:val="21"/>
          <w:szCs w:val="21"/>
        </w:rPr>
        <w:t>侧袋账户资产全部完成变现并终止侧袋机制后，基金管理人应及时聘请符合《中华人民共和国证券法》规定的会计师事务所进行审计并披露专项审计意见。</w:t>
      </w:r>
    </w:p>
    <w:p w:rsidR="008711D3" w:rsidRDefault="004479D9">
      <w:pPr>
        <w:pStyle w:val="a9"/>
        <w:ind w:firstLineChars="200" w:firstLine="422"/>
        <w:rPr>
          <w:rFonts w:ascii="宋体" w:hAnsi="宋体"/>
          <w:b/>
          <w:sz w:val="21"/>
          <w:szCs w:val="21"/>
        </w:rPr>
      </w:pPr>
      <w:r>
        <w:rPr>
          <w:rFonts w:ascii="宋体" w:hAnsi="宋体" w:hint="eastAsia"/>
          <w:b/>
          <w:sz w:val="21"/>
          <w:szCs w:val="21"/>
        </w:rPr>
        <w:t>（七）侧袋机制的信息披露</w:t>
      </w:r>
    </w:p>
    <w:p w:rsidR="008711D3" w:rsidRDefault="004479D9">
      <w:pPr>
        <w:pStyle w:val="a9"/>
        <w:ind w:firstLineChars="200" w:firstLine="420"/>
        <w:rPr>
          <w:rFonts w:hAnsi="宋体"/>
          <w:sz w:val="21"/>
          <w:szCs w:val="21"/>
        </w:rPr>
      </w:pPr>
      <w:r>
        <w:rPr>
          <w:rFonts w:ascii="宋体" w:hAnsi="宋体" w:hint="eastAsia"/>
          <w:sz w:val="21"/>
          <w:szCs w:val="21"/>
        </w:rPr>
        <w:t>在启用侧袋机制、处置特定资产、终止侧袋机制以及发生其他可能对投资者利益产生重大影响的事项后基金管理人应及时发布临时公告</w:t>
      </w:r>
      <w:r>
        <w:rPr>
          <w:rFonts w:ascii="宋体" w:hAnsi="宋体"/>
          <w:sz w:val="21"/>
          <w:szCs w:val="21"/>
        </w:rPr>
        <w:t>,并在基金定期报告中披露特定资产的运作情况。</w:t>
      </w:r>
    </w:p>
    <w:p w:rsidR="008711D3" w:rsidRDefault="008711D3"/>
    <w:p w:rsidR="008711D3" w:rsidRDefault="008711D3"/>
    <w:p w:rsidR="008711D3" w:rsidRDefault="008711D3"/>
    <w:p w:rsidR="008711D3" w:rsidRDefault="008711D3"/>
    <w:p w:rsidR="008711D3" w:rsidRDefault="008711D3"/>
    <w:p w:rsidR="008711D3" w:rsidRDefault="008711D3"/>
    <w:p w:rsidR="008711D3" w:rsidRDefault="008711D3"/>
    <w:p w:rsidR="008711D3" w:rsidRDefault="008711D3"/>
    <w:p w:rsidR="008711D3" w:rsidRDefault="008711D3"/>
    <w:p w:rsidR="008711D3" w:rsidRDefault="008711D3"/>
    <w:p w:rsidR="008711D3" w:rsidRDefault="008711D3"/>
    <w:p w:rsidR="008711D3" w:rsidRDefault="008711D3"/>
    <w:p w:rsidR="008711D3" w:rsidRDefault="008711D3"/>
    <w:p w:rsidR="008711D3" w:rsidRDefault="008711D3"/>
    <w:p w:rsidR="008711D3" w:rsidRDefault="008711D3"/>
    <w:p w:rsidR="008711D3" w:rsidRDefault="008711D3"/>
    <w:p w:rsidR="008711D3" w:rsidRDefault="008711D3"/>
    <w:p w:rsidR="008711D3" w:rsidRDefault="008711D3"/>
    <w:p w:rsidR="008711D3" w:rsidRDefault="008711D3"/>
    <w:p w:rsidR="008711D3" w:rsidRDefault="008711D3"/>
    <w:p w:rsidR="008711D3" w:rsidRDefault="008711D3"/>
    <w:p w:rsidR="008711D3" w:rsidRDefault="004479D9">
      <w:pPr>
        <w:pStyle w:val="1"/>
        <w:spacing w:before="340" w:after="330"/>
        <w:jc w:val="center"/>
        <w:rPr>
          <w:rFonts w:hAnsi="宋体"/>
          <w:bCs/>
          <w:color w:val="auto"/>
          <w:kern w:val="44"/>
          <w:sz w:val="21"/>
          <w:szCs w:val="21"/>
        </w:rPr>
      </w:pPr>
      <w:bookmarkStart w:id="119" w:name="_Toc71748075"/>
      <w:r>
        <w:rPr>
          <w:rFonts w:hAnsi="宋体" w:hint="eastAsia"/>
          <w:bCs/>
          <w:color w:val="auto"/>
          <w:kern w:val="44"/>
          <w:sz w:val="21"/>
          <w:szCs w:val="21"/>
        </w:rPr>
        <w:lastRenderedPageBreak/>
        <w:t>十</w:t>
      </w:r>
      <w:r>
        <w:rPr>
          <w:rFonts w:hAnsi="宋体"/>
          <w:bCs/>
          <w:color w:val="auto"/>
          <w:kern w:val="44"/>
          <w:sz w:val="21"/>
          <w:szCs w:val="21"/>
        </w:rPr>
        <w:t>七</w:t>
      </w:r>
      <w:r>
        <w:rPr>
          <w:rFonts w:hAnsi="宋体" w:hint="eastAsia"/>
          <w:bCs/>
          <w:color w:val="auto"/>
          <w:kern w:val="44"/>
          <w:sz w:val="21"/>
          <w:szCs w:val="21"/>
        </w:rPr>
        <w:t>、风险揭示</w:t>
      </w:r>
      <w:bookmarkEnd w:id="108"/>
      <w:bookmarkEnd w:id="109"/>
      <w:bookmarkEnd w:id="110"/>
      <w:bookmarkEnd w:id="111"/>
      <w:bookmarkEnd w:id="119"/>
    </w:p>
    <w:p w:rsidR="008711D3" w:rsidRDefault="004479D9">
      <w:pPr>
        <w:spacing w:line="360" w:lineRule="auto"/>
        <w:rPr>
          <w:rFonts w:ascii="宋体" w:hAnsi="宋体"/>
          <w:b/>
          <w:bCs/>
          <w:szCs w:val="21"/>
        </w:rPr>
      </w:pPr>
      <w:bookmarkStart w:id="120" w:name="_Toc76969604"/>
      <w:bookmarkStart w:id="121" w:name="_Toc334542966"/>
      <w:bookmarkStart w:id="122" w:name="_Toc329187127"/>
      <w:bookmarkStart w:id="123" w:name="_Toc334542650"/>
      <w:r>
        <w:rPr>
          <w:rFonts w:ascii="宋体" w:hAnsi="宋体" w:hint="eastAsia"/>
          <w:b/>
          <w:bCs/>
          <w:szCs w:val="21"/>
        </w:rPr>
        <w:t>（一）市场风险</w:t>
      </w:r>
    </w:p>
    <w:p w:rsidR="008711D3" w:rsidRDefault="004479D9">
      <w:pPr>
        <w:autoSpaceDE w:val="0"/>
        <w:autoSpaceDN w:val="0"/>
        <w:adjustRightInd w:val="0"/>
        <w:spacing w:line="360" w:lineRule="auto"/>
        <w:ind w:firstLine="420"/>
        <w:rPr>
          <w:rFonts w:ascii="宋体" w:hAnsi="宋体"/>
          <w:szCs w:val="21"/>
        </w:rPr>
      </w:pPr>
      <w:r>
        <w:rPr>
          <w:rFonts w:ascii="宋体" w:hAnsi="宋体" w:hint="eastAsia"/>
          <w:szCs w:val="21"/>
        </w:rPr>
        <w:t>证券市场价格因受各种因素的影响而引起的波动，将对本基金资产产生潜在风险，主要包括：</w:t>
      </w:r>
    </w:p>
    <w:p w:rsidR="008711D3" w:rsidRDefault="004479D9">
      <w:pPr>
        <w:autoSpaceDE w:val="0"/>
        <w:autoSpaceDN w:val="0"/>
        <w:adjustRightInd w:val="0"/>
        <w:spacing w:line="360" w:lineRule="auto"/>
        <w:ind w:firstLineChars="171" w:firstLine="359"/>
        <w:rPr>
          <w:rFonts w:ascii="宋体" w:hAnsi="宋体"/>
          <w:szCs w:val="21"/>
        </w:rPr>
      </w:pPr>
      <w:r>
        <w:rPr>
          <w:rFonts w:ascii="宋体" w:hAnsi="宋体"/>
          <w:szCs w:val="21"/>
        </w:rPr>
        <w:t>1</w:t>
      </w:r>
      <w:r>
        <w:rPr>
          <w:rFonts w:ascii="宋体" w:hAnsi="宋体" w:hint="eastAsia"/>
          <w:szCs w:val="21"/>
        </w:rPr>
        <w:t>、政策风险</w:t>
      </w:r>
    </w:p>
    <w:p w:rsidR="008711D3" w:rsidRDefault="004479D9">
      <w:pPr>
        <w:autoSpaceDE w:val="0"/>
        <w:autoSpaceDN w:val="0"/>
        <w:adjustRightInd w:val="0"/>
        <w:spacing w:line="360" w:lineRule="auto"/>
        <w:ind w:firstLine="420"/>
        <w:rPr>
          <w:rFonts w:ascii="宋体" w:hAnsi="宋体"/>
          <w:szCs w:val="21"/>
        </w:rPr>
      </w:pPr>
      <w:r>
        <w:rPr>
          <w:rFonts w:ascii="宋体" w:hAnsi="宋体" w:hint="eastAsia"/>
          <w:szCs w:val="21"/>
        </w:rPr>
        <w:t>货币政策、财政政策、产业政策等国家政策的变化对证券市场产生一定的影响，导致市场价格波动，影响基金收益而产生风险。</w:t>
      </w:r>
    </w:p>
    <w:p w:rsidR="008711D3" w:rsidRDefault="004479D9">
      <w:pPr>
        <w:autoSpaceDE w:val="0"/>
        <w:autoSpaceDN w:val="0"/>
        <w:adjustRightInd w:val="0"/>
        <w:spacing w:line="360" w:lineRule="auto"/>
        <w:ind w:firstLineChars="171" w:firstLine="359"/>
        <w:rPr>
          <w:rFonts w:ascii="宋体" w:hAnsi="宋体"/>
          <w:szCs w:val="21"/>
        </w:rPr>
      </w:pPr>
      <w:r>
        <w:rPr>
          <w:rFonts w:ascii="宋体" w:hAnsi="宋体"/>
          <w:szCs w:val="21"/>
        </w:rPr>
        <w:t>2</w:t>
      </w:r>
      <w:r>
        <w:rPr>
          <w:rFonts w:ascii="宋体" w:hAnsi="宋体" w:hint="eastAsia"/>
          <w:szCs w:val="21"/>
        </w:rPr>
        <w:t>、经济周期风险</w:t>
      </w:r>
    </w:p>
    <w:p w:rsidR="008711D3" w:rsidRDefault="004479D9">
      <w:pPr>
        <w:autoSpaceDE w:val="0"/>
        <w:autoSpaceDN w:val="0"/>
        <w:adjustRightInd w:val="0"/>
        <w:spacing w:line="360" w:lineRule="auto"/>
        <w:ind w:firstLine="420"/>
        <w:rPr>
          <w:rFonts w:ascii="宋体" w:hAnsi="宋体"/>
          <w:szCs w:val="21"/>
        </w:rPr>
      </w:pPr>
      <w:r>
        <w:rPr>
          <w:rFonts w:ascii="宋体" w:hAnsi="宋体" w:hint="eastAsia"/>
          <w:szCs w:val="21"/>
        </w:rPr>
        <w:t>证券市场是国民经济的晴雨表，而经济运行具有周期性的特点。宏观经济运行状况将对证券市场的收益水平产生影响，从而产生风险。</w:t>
      </w:r>
    </w:p>
    <w:p w:rsidR="008711D3" w:rsidRDefault="004479D9">
      <w:pPr>
        <w:autoSpaceDE w:val="0"/>
        <w:autoSpaceDN w:val="0"/>
        <w:adjustRightInd w:val="0"/>
        <w:spacing w:line="360" w:lineRule="auto"/>
        <w:ind w:leftChars="179" w:left="391" w:hangingChars="7" w:hanging="15"/>
        <w:rPr>
          <w:rFonts w:ascii="宋体" w:hAnsi="宋体"/>
          <w:szCs w:val="21"/>
        </w:rPr>
      </w:pPr>
      <w:r>
        <w:rPr>
          <w:rFonts w:ascii="宋体" w:hAnsi="宋体"/>
          <w:szCs w:val="21"/>
        </w:rPr>
        <w:t>3</w:t>
      </w:r>
      <w:r>
        <w:rPr>
          <w:rFonts w:ascii="宋体" w:hAnsi="宋体" w:hint="eastAsia"/>
          <w:szCs w:val="21"/>
        </w:rPr>
        <w:t>、利率风险</w:t>
      </w:r>
    </w:p>
    <w:p w:rsidR="008711D3" w:rsidRDefault="004479D9">
      <w:pPr>
        <w:autoSpaceDE w:val="0"/>
        <w:autoSpaceDN w:val="0"/>
        <w:adjustRightInd w:val="0"/>
        <w:spacing w:line="360" w:lineRule="auto"/>
        <w:ind w:firstLine="420"/>
        <w:rPr>
          <w:rFonts w:ascii="宋体" w:hAnsi="宋体"/>
          <w:szCs w:val="21"/>
        </w:rPr>
      </w:pPr>
      <w:r>
        <w:rPr>
          <w:rFonts w:ascii="宋体" w:hAnsi="宋体" w:hint="eastAsia"/>
          <w:szCs w:val="21"/>
        </w:rPr>
        <w:t>金融市场利率波动会导致股票市场及债券市场的价格和收益率的变动，同时直接影响企业的融资成本和利润水平。基金投资于货币市场工具，收益水平会受到利率变化的影响。</w:t>
      </w:r>
    </w:p>
    <w:p w:rsidR="008711D3" w:rsidRDefault="004479D9">
      <w:pPr>
        <w:autoSpaceDE w:val="0"/>
        <w:autoSpaceDN w:val="0"/>
        <w:adjustRightInd w:val="0"/>
        <w:spacing w:line="360" w:lineRule="auto"/>
        <w:ind w:firstLine="346"/>
        <w:rPr>
          <w:rFonts w:ascii="宋体" w:hAnsi="宋体"/>
          <w:szCs w:val="21"/>
        </w:rPr>
      </w:pPr>
      <w:r>
        <w:rPr>
          <w:rFonts w:ascii="宋体" w:hAnsi="宋体"/>
          <w:szCs w:val="21"/>
        </w:rPr>
        <w:t>4</w:t>
      </w:r>
      <w:r>
        <w:rPr>
          <w:rFonts w:ascii="宋体" w:hAnsi="宋体" w:hint="eastAsia"/>
          <w:szCs w:val="21"/>
        </w:rPr>
        <w:t>、</w:t>
      </w:r>
      <w:r>
        <w:rPr>
          <w:rFonts w:ascii="宋体" w:hAnsi="宋体"/>
          <w:szCs w:val="21"/>
        </w:rPr>
        <w:t>购买力风险</w:t>
      </w:r>
    </w:p>
    <w:p w:rsidR="008711D3" w:rsidRDefault="004479D9">
      <w:pPr>
        <w:autoSpaceDE w:val="0"/>
        <w:autoSpaceDN w:val="0"/>
        <w:adjustRightInd w:val="0"/>
        <w:spacing w:line="360" w:lineRule="auto"/>
        <w:ind w:firstLine="420"/>
        <w:rPr>
          <w:rFonts w:ascii="宋体" w:hAnsi="宋体"/>
          <w:szCs w:val="21"/>
        </w:rPr>
      </w:pPr>
      <w:r>
        <w:rPr>
          <w:rFonts w:ascii="宋体" w:hAnsi="宋体" w:hint="eastAsia"/>
          <w:szCs w:val="21"/>
        </w:rPr>
        <w:t>本基金投资的目的是使基金资产保值增值，如果发生通货膨胀，基金投资于证券所获得的收益可能会被通货膨胀抵消，从而影响基金资产的保值增值。</w:t>
      </w:r>
    </w:p>
    <w:p w:rsidR="008711D3" w:rsidRDefault="004479D9">
      <w:pPr>
        <w:autoSpaceDE w:val="0"/>
        <w:autoSpaceDN w:val="0"/>
        <w:adjustRightInd w:val="0"/>
        <w:spacing w:line="360" w:lineRule="auto"/>
        <w:ind w:firstLine="420"/>
        <w:rPr>
          <w:rFonts w:ascii="宋体" w:hAnsi="宋体"/>
          <w:szCs w:val="21"/>
        </w:rPr>
      </w:pPr>
      <w:r>
        <w:rPr>
          <w:rFonts w:ascii="宋体" w:hAnsi="宋体" w:hint="eastAsia"/>
          <w:szCs w:val="21"/>
        </w:rPr>
        <w:t>5、上市公司经营风险</w:t>
      </w:r>
    </w:p>
    <w:p w:rsidR="008711D3" w:rsidRDefault="004479D9">
      <w:pPr>
        <w:autoSpaceDE w:val="0"/>
        <w:autoSpaceDN w:val="0"/>
        <w:adjustRightInd w:val="0"/>
        <w:spacing w:line="360" w:lineRule="auto"/>
        <w:ind w:firstLine="420"/>
        <w:rPr>
          <w:rFonts w:ascii="宋体" w:hAnsi="宋体"/>
          <w:szCs w:val="21"/>
        </w:rPr>
      </w:pPr>
      <w:r>
        <w:rPr>
          <w:rFonts w:ascii="宋体" w:hAnsi="宋体" w:hint="eastAsia"/>
          <w:szCs w:val="21"/>
        </w:rPr>
        <w:t>上市公司的经营状况受多种因素影响，如市场、技术、竞争、管理、财务等都会导致公司盈利发生变化，从而导致基金投资收益变化。</w:t>
      </w:r>
    </w:p>
    <w:p w:rsidR="008711D3" w:rsidRDefault="004479D9">
      <w:pPr>
        <w:spacing w:line="360" w:lineRule="auto"/>
        <w:rPr>
          <w:rFonts w:ascii="宋体" w:hAnsi="宋体"/>
          <w:b/>
          <w:bCs/>
          <w:szCs w:val="21"/>
        </w:rPr>
      </w:pPr>
      <w:r>
        <w:rPr>
          <w:rFonts w:ascii="宋体" w:hAnsi="宋体" w:hint="eastAsia"/>
          <w:b/>
          <w:bCs/>
          <w:szCs w:val="21"/>
        </w:rPr>
        <w:t>（二）信用风险</w:t>
      </w:r>
    </w:p>
    <w:p w:rsidR="008711D3" w:rsidRDefault="004479D9">
      <w:pPr>
        <w:spacing w:line="360" w:lineRule="auto"/>
        <w:ind w:firstLineChars="200" w:firstLine="420"/>
        <w:rPr>
          <w:rFonts w:ascii="宋体" w:hAnsi="宋体"/>
          <w:szCs w:val="21"/>
        </w:rPr>
      </w:pPr>
      <w:r>
        <w:rPr>
          <w:rFonts w:ascii="宋体" w:hAnsi="宋体" w:hint="eastAsia"/>
          <w:szCs w:val="21"/>
        </w:rPr>
        <w:t>信用风险主要指债券、资产支持证券等信用证券发行主体信用状况恶化，导致信用评级下降甚至到期不能履行合约进行兑付的风险，另外，信用风险也包括证券交易对手因违约而产生的证券交割风险。</w:t>
      </w:r>
    </w:p>
    <w:p w:rsidR="008711D3" w:rsidRDefault="004479D9">
      <w:pPr>
        <w:spacing w:line="360" w:lineRule="auto"/>
        <w:rPr>
          <w:rFonts w:ascii="宋体" w:hAnsi="宋体"/>
          <w:b/>
          <w:bCs/>
          <w:szCs w:val="21"/>
        </w:rPr>
      </w:pPr>
      <w:r>
        <w:rPr>
          <w:rFonts w:ascii="宋体" w:hAnsi="宋体" w:hint="eastAsia"/>
          <w:b/>
          <w:bCs/>
          <w:szCs w:val="21"/>
        </w:rPr>
        <w:t>（三）流动性风险</w:t>
      </w:r>
    </w:p>
    <w:p w:rsidR="008711D3" w:rsidRDefault="004479D9">
      <w:pPr>
        <w:autoSpaceDE w:val="0"/>
        <w:autoSpaceDN w:val="0"/>
        <w:adjustRightInd w:val="0"/>
        <w:spacing w:line="360" w:lineRule="auto"/>
        <w:ind w:firstLineChars="200" w:firstLine="420"/>
      </w:pPr>
      <w:r>
        <w:rPr>
          <w:rFonts w:hint="eastAsia"/>
        </w:rPr>
        <w:t>指基金资产不能迅速转变成现金，或者不能应付可能出现的投资者大额赎回的风险。在开放式基金交易过程中，可能会发生巨额赎回的情形。巨额赎回可能会产生基金仓位调整的困难，导致流动性风险，甚至影响基金份额净值。</w:t>
      </w:r>
    </w:p>
    <w:p w:rsidR="008711D3" w:rsidRDefault="004479D9">
      <w:pPr>
        <w:autoSpaceDE w:val="0"/>
        <w:autoSpaceDN w:val="0"/>
        <w:adjustRightInd w:val="0"/>
        <w:spacing w:line="360" w:lineRule="auto"/>
        <w:ind w:firstLineChars="200" w:firstLine="420"/>
      </w:pPr>
      <w:r>
        <w:rPr>
          <w:rFonts w:hint="eastAsia"/>
        </w:rPr>
        <w:t>1</w:t>
      </w:r>
      <w:r>
        <w:rPr>
          <w:rFonts w:hint="eastAsia"/>
        </w:rPr>
        <w:t>、本基金的申购、赎回安排</w:t>
      </w:r>
      <w:r>
        <w:rPr>
          <w:rFonts w:hint="eastAsia"/>
        </w:rPr>
        <w:t xml:space="preserve"> </w:t>
      </w:r>
    </w:p>
    <w:p w:rsidR="008711D3" w:rsidRDefault="004479D9">
      <w:pPr>
        <w:autoSpaceDE w:val="0"/>
        <w:autoSpaceDN w:val="0"/>
        <w:adjustRightInd w:val="0"/>
        <w:spacing w:line="360" w:lineRule="auto"/>
        <w:ind w:firstLineChars="200" w:firstLine="420"/>
      </w:pPr>
      <w:r>
        <w:rPr>
          <w:rFonts w:hint="eastAsia"/>
        </w:rPr>
        <w:t>投资人在开放日的开放时间办理基金份额的申购和赎回，若该工作日为非港股通交易日，</w:t>
      </w:r>
      <w:r>
        <w:rPr>
          <w:rFonts w:hint="eastAsia"/>
        </w:rPr>
        <w:lastRenderedPageBreak/>
        <w:t>则本基金不开放基金份额申购、赎回或其他业务，具体办理时间为上海证券交易所、深圳证券交易所的正常交易日的交易时间，但基金管理人根据法律法规、中国证监会的要求或基金合同的规定公告暂停申购、赎回时除外。</w:t>
      </w:r>
    </w:p>
    <w:p w:rsidR="008711D3" w:rsidRDefault="004479D9">
      <w:pPr>
        <w:autoSpaceDE w:val="0"/>
        <w:autoSpaceDN w:val="0"/>
        <w:adjustRightInd w:val="0"/>
        <w:spacing w:line="360" w:lineRule="auto"/>
        <w:ind w:firstLineChars="200" w:firstLine="420"/>
      </w:pPr>
      <w:r>
        <w:rPr>
          <w:rFonts w:hint="eastAsia"/>
        </w:rPr>
        <w:t>基金合同生效后，若证券交易所交易时间变更或本基金投资于证券交易所以外其他证券交易场所的交易标的或有其他特殊情况，基金管理人将视情况对前述开放日及开放时间进行相应的调整，但应在实施日前依照《信息披露办法》的有关规定在规定媒介上公告。</w:t>
      </w:r>
    </w:p>
    <w:p w:rsidR="008711D3" w:rsidRDefault="004479D9">
      <w:pPr>
        <w:autoSpaceDE w:val="0"/>
        <w:autoSpaceDN w:val="0"/>
        <w:adjustRightInd w:val="0"/>
        <w:spacing w:line="360" w:lineRule="auto"/>
        <w:ind w:firstLineChars="200" w:firstLine="420"/>
      </w:pPr>
      <w:r>
        <w:rPr>
          <w:rFonts w:hint="eastAsia"/>
        </w:rPr>
        <w:t>2</w:t>
      </w:r>
      <w:r>
        <w:rPr>
          <w:rFonts w:hint="eastAsia"/>
        </w:rPr>
        <w:t>、拟投资市场、行业及资产的流动性风险评估</w:t>
      </w:r>
    </w:p>
    <w:p w:rsidR="008711D3" w:rsidRDefault="004479D9">
      <w:pPr>
        <w:autoSpaceDE w:val="0"/>
        <w:autoSpaceDN w:val="0"/>
        <w:adjustRightInd w:val="0"/>
        <w:spacing w:line="360" w:lineRule="auto"/>
        <w:ind w:firstLineChars="200" w:firstLine="420"/>
      </w:pPr>
      <w:r>
        <w:rPr>
          <w:rFonts w:hint="eastAsia"/>
        </w:rPr>
        <w:t>（</w:t>
      </w:r>
      <w:r>
        <w:rPr>
          <w:rFonts w:hint="eastAsia"/>
        </w:rPr>
        <w:t>1</w:t>
      </w:r>
      <w:r>
        <w:rPr>
          <w:rFonts w:hint="eastAsia"/>
        </w:rPr>
        <w:t>）投资市场的流动性风险</w:t>
      </w:r>
    </w:p>
    <w:p w:rsidR="008711D3" w:rsidRDefault="004479D9">
      <w:pPr>
        <w:autoSpaceDE w:val="0"/>
        <w:autoSpaceDN w:val="0"/>
        <w:adjustRightInd w:val="0"/>
        <w:spacing w:line="360" w:lineRule="auto"/>
        <w:ind w:firstLineChars="200" w:firstLine="420"/>
      </w:pPr>
      <w:r>
        <w:rPr>
          <w:rFonts w:hint="eastAsia"/>
        </w:rPr>
        <w:t>基金主要投资于国内依法发行上市的股票、港股通标的股票、债券、股指期货、股票期权、国债</w:t>
      </w:r>
      <w:r>
        <w:t>期货、</w:t>
      </w:r>
      <w:r>
        <w:rPr>
          <w:rFonts w:hint="eastAsia"/>
        </w:rPr>
        <w:t>资产支持证券、债券回购、同业存单、银行存款等。上述资产均存在规范的交易场所，运作时间长，市场透明度较高，运作方式规范，历史流动性状况良好，正常情况下能够及时满足基金变现需求，保证基金按时应对赎回要求。极端市场情况下，上述资产可能出现流动性不足，导致基金资产无法变现，从而影响投资者按时收到赎回款项。根据过往经验统计，绝大部分时间上述资产流动性充裕，流动性风险可控，当遇到极端市场情况时，基金管理人会按照基金合同及相关法律法规要求，及时启动流动性风险应对措施，保护基金投资者的合法权益。</w:t>
      </w:r>
    </w:p>
    <w:p w:rsidR="008711D3" w:rsidRDefault="004479D9">
      <w:pPr>
        <w:autoSpaceDE w:val="0"/>
        <w:autoSpaceDN w:val="0"/>
        <w:adjustRightInd w:val="0"/>
        <w:spacing w:line="360" w:lineRule="auto"/>
        <w:ind w:firstLineChars="200" w:firstLine="420"/>
      </w:pPr>
      <w:r>
        <w:rPr>
          <w:rFonts w:hint="eastAsia"/>
        </w:rPr>
        <w:t>（</w:t>
      </w:r>
      <w:r>
        <w:rPr>
          <w:rFonts w:hint="eastAsia"/>
        </w:rPr>
        <w:t>2</w:t>
      </w:r>
      <w:r>
        <w:rPr>
          <w:rFonts w:hint="eastAsia"/>
        </w:rPr>
        <w:t>）投资行业的流动性风险</w:t>
      </w:r>
    </w:p>
    <w:p w:rsidR="008711D3" w:rsidRDefault="004479D9">
      <w:pPr>
        <w:autoSpaceDE w:val="0"/>
        <w:autoSpaceDN w:val="0"/>
        <w:adjustRightInd w:val="0"/>
        <w:spacing w:line="360" w:lineRule="auto"/>
        <w:ind w:firstLineChars="200" w:firstLine="420"/>
      </w:pPr>
      <w:r>
        <w:rPr>
          <w:rFonts w:hint="eastAsia"/>
        </w:rPr>
        <w:t>股票投资方面，本基金通过产业精选和个股研究相结合，一方面通过产业精选分析产业景气周期的变化和产业格局的变化，筛选具备投资机会的产业；另一方面，通过对公司定性分析、经营分析和估值探讨，判断公司投资价值。选择在景气度上行产业的优质上市公司，构成本基金的投资组合。</w:t>
      </w:r>
    </w:p>
    <w:p w:rsidR="008711D3" w:rsidRDefault="004479D9">
      <w:pPr>
        <w:autoSpaceDE w:val="0"/>
        <w:autoSpaceDN w:val="0"/>
        <w:adjustRightInd w:val="0"/>
        <w:spacing w:line="360" w:lineRule="auto"/>
        <w:ind w:firstLineChars="200" w:firstLine="420"/>
      </w:pPr>
      <w:r>
        <w:rPr>
          <w:rFonts w:hint="eastAsia"/>
        </w:rPr>
        <w:t>债券投资方面，本基金通过深入分析宏观经济数据、货币政策和利率变化趋势以及不同类属的收益率水平、流动性和信用风险等因素，以久期控制和结构分布策略为主，以收益率曲线策略、利差策略等为辅，构造能够提供稳定收益的债券和货币市场工具组合。</w:t>
      </w:r>
    </w:p>
    <w:p w:rsidR="008711D3" w:rsidRDefault="004479D9">
      <w:pPr>
        <w:autoSpaceDE w:val="0"/>
        <w:autoSpaceDN w:val="0"/>
        <w:adjustRightInd w:val="0"/>
        <w:spacing w:line="360" w:lineRule="auto"/>
        <w:ind w:firstLineChars="200" w:firstLine="420"/>
      </w:pPr>
      <w:r>
        <w:rPr>
          <w:rFonts w:hint="eastAsia"/>
        </w:rPr>
        <w:t>因此本基金在投资运作过程中的行业配置较为灵活，在综合考虑宏观因素及行业基本面的前提下进行配置，不以投资于某单一行业为投资目标，行业分散度较高，受到单一行业流动性风险的影响较小。</w:t>
      </w:r>
    </w:p>
    <w:p w:rsidR="008711D3" w:rsidRDefault="004479D9">
      <w:pPr>
        <w:autoSpaceDE w:val="0"/>
        <w:autoSpaceDN w:val="0"/>
        <w:adjustRightInd w:val="0"/>
        <w:spacing w:line="360" w:lineRule="auto"/>
        <w:ind w:firstLineChars="200" w:firstLine="420"/>
      </w:pPr>
      <w:r>
        <w:rPr>
          <w:rFonts w:hint="eastAsia"/>
        </w:rPr>
        <w:t>（</w:t>
      </w:r>
      <w:r>
        <w:rPr>
          <w:rFonts w:hint="eastAsia"/>
        </w:rPr>
        <w:t>3</w:t>
      </w:r>
      <w:r>
        <w:rPr>
          <w:rFonts w:hint="eastAsia"/>
        </w:rPr>
        <w:t>）投资资产的流动性风险</w:t>
      </w:r>
    </w:p>
    <w:p w:rsidR="008711D3" w:rsidRDefault="004479D9">
      <w:pPr>
        <w:autoSpaceDE w:val="0"/>
        <w:autoSpaceDN w:val="0"/>
        <w:adjustRightInd w:val="0"/>
        <w:spacing w:line="360" w:lineRule="auto"/>
        <w:ind w:firstLineChars="200" w:firstLine="420"/>
      </w:pPr>
      <w:r>
        <w:rPr>
          <w:rFonts w:hint="eastAsia"/>
        </w:rPr>
        <w:t>本基金针对流动性较低资产的投资进行了严格的限制，以降低基金的流动性风险：本基金主动投资于流动性受限资产的市值合计不得超过基金资产净值的</w:t>
      </w:r>
      <w:r>
        <w:rPr>
          <w:rFonts w:hint="eastAsia"/>
        </w:rPr>
        <w:t>15%</w:t>
      </w:r>
      <w:r>
        <w:rPr>
          <w:rFonts w:hint="eastAsia"/>
        </w:rPr>
        <w:t>。</w:t>
      </w:r>
    </w:p>
    <w:p w:rsidR="008711D3" w:rsidRDefault="004479D9">
      <w:pPr>
        <w:autoSpaceDE w:val="0"/>
        <w:autoSpaceDN w:val="0"/>
        <w:adjustRightInd w:val="0"/>
        <w:spacing w:line="360" w:lineRule="auto"/>
        <w:ind w:firstLineChars="200" w:firstLine="420"/>
      </w:pPr>
      <w:r>
        <w:rPr>
          <w:rFonts w:hint="eastAsia"/>
        </w:rPr>
        <w:lastRenderedPageBreak/>
        <w:t>本基金绝大部分基金资产投资于</w:t>
      </w:r>
      <w:r>
        <w:rPr>
          <w:rFonts w:hint="eastAsia"/>
        </w:rPr>
        <w:t>7</w:t>
      </w:r>
      <w:r>
        <w:rPr>
          <w:rFonts w:hint="eastAsia"/>
        </w:rPr>
        <w:t>个工作日可变现资产，包括可在交易所、银行间市场正常交易的股票、债券、非金融企业债务融资工具及同业存单，</w:t>
      </w:r>
      <w:r>
        <w:rPr>
          <w:rFonts w:hint="eastAsia"/>
        </w:rPr>
        <w:t>7</w:t>
      </w:r>
      <w:r>
        <w:rPr>
          <w:rFonts w:hint="eastAsia"/>
        </w:rPr>
        <w:t>个工作日内到期或可支取的逆回购、银行存款，</w:t>
      </w:r>
      <w:r>
        <w:rPr>
          <w:rFonts w:hint="eastAsia"/>
        </w:rPr>
        <w:t>7</w:t>
      </w:r>
      <w:r>
        <w:rPr>
          <w:rFonts w:hint="eastAsia"/>
        </w:rPr>
        <w:t>个工作日内能够确认收到的各类应收款项等，上述资产流动性情况良好。</w:t>
      </w:r>
    </w:p>
    <w:p w:rsidR="008711D3" w:rsidRDefault="004479D9">
      <w:pPr>
        <w:autoSpaceDE w:val="0"/>
        <w:autoSpaceDN w:val="0"/>
        <w:adjustRightInd w:val="0"/>
        <w:spacing w:line="360" w:lineRule="auto"/>
        <w:ind w:firstLineChars="200" w:firstLine="420"/>
      </w:pPr>
      <w:r>
        <w:rPr>
          <w:rFonts w:hint="eastAsia"/>
        </w:rPr>
        <w:t>3</w:t>
      </w:r>
      <w:r>
        <w:rPr>
          <w:rFonts w:hint="eastAsia"/>
        </w:rPr>
        <w:t>、巨额赎回措施</w:t>
      </w:r>
      <w:r>
        <w:rPr>
          <w:rFonts w:hint="eastAsia"/>
        </w:rPr>
        <w:t xml:space="preserve"> </w:t>
      </w:r>
    </w:p>
    <w:p w:rsidR="008711D3" w:rsidRDefault="004479D9">
      <w:pPr>
        <w:autoSpaceDE w:val="0"/>
        <w:autoSpaceDN w:val="0"/>
        <w:adjustRightInd w:val="0"/>
        <w:spacing w:line="360" w:lineRule="auto"/>
        <w:ind w:firstLineChars="200" w:firstLine="420"/>
      </w:pPr>
      <w:r>
        <w:rPr>
          <w:rFonts w:hint="eastAsia"/>
        </w:rPr>
        <w:t>若本基金单个开放日内的基金份额净赎回申请</w:t>
      </w:r>
      <w:r>
        <w:rPr>
          <w:rFonts w:hint="eastAsia"/>
        </w:rPr>
        <w:t>(</w:t>
      </w:r>
      <w:r>
        <w:rPr>
          <w:rFonts w:hint="eastAsia"/>
        </w:rPr>
        <w:t>赎回申请份额总数加上基金转换中转出申请份额总数后扣除申购申请份额总数及基金转换中转入申请份额总数后的余额</w:t>
      </w:r>
      <w:r>
        <w:rPr>
          <w:rFonts w:hint="eastAsia"/>
        </w:rPr>
        <w:t>)</w:t>
      </w:r>
      <w:r>
        <w:rPr>
          <w:rFonts w:hint="eastAsia"/>
        </w:rPr>
        <w:t>超过前一工作日的基金总份额的</w:t>
      </w:r>
      <w:r>
        <w:rPr>
          <w:rFonts w:hint="eastAsia"/>
        </w:rPr>
        <w:t>10%</w:t>
      </w:r>
      <w:r>
        <w:rPr>
          <w:rFonts w:hint="eastAsia"/>
        </w:rPr>
        <w:t>，即认为是发生了巨额赎回。</w:t>
      </w:r>
    </w:p>
    <w:p w:rsidR="008711D3" w:rsidRDefault="004479D9">
      <w:pPr>
        <w:autoSpaceDE w:val="0"/>
        <w:autoSpaceDN w:val="0"/>
        <w:adjustRightInd w:val="0"/>
        <w:spacing w:line="360" w:lineRule="auto"/>
        <w:ind w:firstLineChars="200" w:firstLine="420"/>
      </w:pPr>
      <w:r>
        <w:rPr>
          <w:rFonts w:hint="eastAsia"/>
        </w:rPr>
        <w:t>当本基金发生巨额赎回情形时，基金管理人可能采用以下流动性风险管理措施，以控制因巨额赎回可能产生的流动性风险：</w:t>
      </w:r>
    </w:p>
    <w:p w:rsidR="008711D3" w:rsidRDefault="004479D9">
      <w:pPr>
        <w:autoSpaceDE w:val="0"/>
        <w:autoSpaceDN w:val="0"/>
        <w:adjustRightInd w:val="0"/>
        <w:spacing w:line="360" w:lineRule="auto"/>
        <w:ind w:firstLineChars="200" w:firstLine="420"/>
      </w:pPr>
      <w:r>
        <w:rPr>
          <w:rFonts w:hint="eastAsia"/>
        </w:rPr>
        <w:t>（</w:t>
      </w:r>
      <w:r>
        <w:rPr>
          <w:rFonts w:hint="eastAsia"/>
        </w:rPr>
        <w:t>1</w:t>
      </w:r>
      <w:r>
        <w:rPr>
          <w:rFonts w:hint="eastAsia"/>
        </w:rPr>
        <w:t>）部分延期</w:t>
      </w:r>
      <w:r>
        <w:t>赎回</w:t>
      </w:r>
      <w:r>
        <w:rPr>
          <w:rFonts w:hint="eastAsia"/>
        </w:rPr>
        <w:t>，并对当日申请赎回的份额超过前一工作日基金总份额</w:t>
      </w:r>
      <w:r>
        <w:rPr>
          <w:rFonts w:hint="eastAsia"/>
        </w:rPr>
        <w:t>20%</w:t>
      </w:r>
      <w:r>
        <w:rPr>
          <w:rFonts w:hint="eastAsia"/>
        </w:rPr>
        <w:t>的单个赎回申请人部分延期办理；</w:t>
      </w:r>
    </w:p>
    <w:p w:rsidR="008711D3" w:rsidRDefault="004479D9">
      <w:pPr>
        <w:autoSpaceDE w:val="0"/>
        <w:autoSpaceDN w:val="0"/>
        <w:adjustRightInd w:val="0"/>
        <w:spacing w:line="360" w:lineRule="auto"/>
        <w:ind w:firstLineChars="200" w:firstLine="420"/>
      </w:pPr>
      <w:r>
        <w:rPr>
          <w:rFonts w:hint="eastAsia"/>
        </w:rPr>
        <w:t>（</w:t>
      </w:r>
      <w:r>
        <w:rPr>
          <w:rFonts w:hint="eastAsia"/>
        </w:rPr>
        <w:t>2</w:t>
      </w:r>
      <w:r>
        <w:rPr>
          <w:rFonts w:hint="eastAsia"/>
        </w:rPr>
        <w:t>）暂停</w:t>
      </w:r>
      <w:r>
        <w:t>赎回；</w:t>
      </w:r>
    </w:p>
    <w:p w:rsidR="008711D3" w:rsidRDefault="004479D9">
      <w:pPr>
        <w:autoSpaceDE w:val="0"/>
        <w:autoSpaceDN w:val="0"/>
        <w:adjustRightInd w:val="0"/>
        <w:spacing w:line="360" w:lineRule="auto"/>
        <w:ind w:firstLineChars="200" w:firstLine="420"/>
      </w:pPr>
      <w:r>
        <w:rPr>
          <w:rFonts w:hint="eastAsia"/>
        </w:rPr>
        <w:t>（</w:t>
      </w:r>
      <w:r>
        <w:rPr>
          <w:rFonts w:hint="eastAsia"/>
        </w:rPr>
        <w:t>3</w:t>
      </w:r>
      <w:r>
        <w:rPr>
          <w:rFonts w:hint="eastAsia"/>
        </w:rPr>
        <w:t>）采用摆动定价机制；</w:t>
      </w:r>
    </w:p>
    <w:p w:rsidR="008711D3" w:rsidRDefault="004479D9">
      <w:pPr>
        <w:autoSpaceDE w:val="0"/>
        <w:autoSpaceDN w:val="0"/>
        <w:adjustRightInd w:val="0"/>
        <w:spacing w:line="360" w:lineRule="auto"/>
        <w:ind w:firstLineChars="200" w:firstLine="420"/>
      </w:pPr>
      <w:r>
        <w:rPr>
          <w:rFonts w:hint="eastAsia"/>
        </w:rPr>
        <w:t>（</w:t>
      </w:r>
      <w:r>
        <w:t>4</w:t>
      </w:r>
      <w:r>
        <w:rPr>
          <w:rFonts w:hint="eastAsia"/>
        </w:rPr>
        <w:t>）中国证监会认定的其他措施。</w:t>
      </w:r>
    </w:p>
    <w:p w:rsidR="008711D3" w:rsidRDefault="004479D9">
      <w:pPr>
        <w:autoSpaceDE w:val="0"/>
        <w:autoSpaceDN w:val="0"/>
        <w:adjustRightInd w:val="0"/>
        <w:spacing w:line="360" w:lineRule="auto"/>
        <w:ind w:firstLineChars="200" w:firstLine="420"/>
      </w:pPr>
      <w:r>
        <w:rPr>
          <w:rFonts w:hint="eastAsia"/>
        </w:rPr>
        <w:t>4</w:t>
      </w:r>
      <w:r>
        <w:rPr>
          <w:rFonts w:hint="eastAsia"/>
        </w:rPr>
        <w:t>、实施备用的流动性风险管理工具的情形、程序及对投资者的潜在影响：</w:t>
      </w:r>
    </w:p>
    <w:p w:rsidR="008711D3" w:rsidRDefault="004479D9">
      <w:pPr>
        <w:autoSpaceDE w:val="0"/>
        <w:autoSpaceDN w:val="0"/>
        <w:adjustRightInd w:val="0"/>
        <w:spacing w:line="360" w:lineRule="auto"/>
        <w:ind w:firstLineChars="200" w:firstLine="420"/>
      </w:pPr>
      <w:r>
        <w:rPr>
          <w:rFonts w:hint="eastAsia"/>
        </w:rPr>
        <w:t>基金管理人在确保投资者得到公平对待的前提下，可依照法律法规及基金合同的约定，综合运用各类流动性风险管理工具，对赎回申请等进行适度调整，作为特定情形下基金管理人流动性风险的辅助措施，包括但不限于：</w:t>
      </w:r>
    </w:p>
    <w:p w:rsidR="008711D3" w:rsidRDefault="004479D9">
      <w:pPr>
        <w:autoSpaceDE w:val="0"/>
        <w:autoSpaceDN w:val="0"/>
        <w:adjustRightInd w:val="0"/>
        <w:spacing w:line="360" w:lineRule="auto"/>
        <w:ind w:firstLineChars="200" w:firstLine="420"/>
      </w:pPr>
      <w:r>
        <w:rPr>
          <w:rFonts w:hint="eastAsia"/>
        </w:rPr>
        <w:t>①</w:t>
      </w:r>
      <w:r>
        <w:rPr>
          <w:rFonts w:hint="eastAsia"/>
        </w:rPr>
        <w:t xml:space="preserve"> </w:t>
      </w:r>
      <w:r>
        <w:rPr>
          <w:rFonts w:hint="eastAsia"/>
        </w:rPr>
        <w:t>延期办理巨额赎回申请</w:t>
      </w:r>
    </w:p>
    <w:p w:rsidR="008711D3" w:rsidRDefault="004479D9">
      <w:pPr>
        <w:autoSpaceDE w:val="0"/>
        <w:autoSpaceDN w:val="0"/>
        <w:adjustRightInd w:val="0"/>
        <w:spacing w:line="360" w:lineRule="auto"/>
        <w:ind w:firstLineChars="200" w:firstLine="420"/>
      </w:pPr>
      <w:r>
        <w:rPr>
          <w:rFonts w:hint="eastAsia"/>
        </w:rPr>
        <w:t>具体请参见基金合同“第六部分、基金份额的申购与赎回”中的</w:t>
      </w:r>
      <w:r>
        <w:rPr>
          <w:rFonts w:hint="eastAsia"/>
        </w:rPr>
        <w:t xml:space="preserve"> </w:t>
      </w:r>
      <w:r>
        <w:rPr>
          <w:rFonts w:hint="eastAsia"/>
        </w:rPr>
        <w:t>“九、巨额赎回的情形及处理方式”，详细了解本基金延期办理巨额赎回申请的情形及程序。</w:t>
      </w:r>
    </w:p>
    <w:p w:rsidR="008711D3" w:rsidRDefault="004479D9">
      <w:pPr>
        <w:autoSpaceDE w:val="0"/>
        <w:autoSpaceDN w:val="0"/>
        <w:adjustRightInd w:val="0"/>
        <w:spacing w:line="360" w:lineRule="auto"/>
        <w:ind w:firstLineChars="200" w:firstLine="420"/>
      </w:pPr>
      <w:r>
        <w:rPr>
          <w:rFonts w:hint="eastAsia"/>
        </w:rPr>
        <w:t>在此情形下，投资人的部分或全部赎回申请可能被拒绝，同时投资人完成基金赎回时的基金份额净值可能与其提交赎回申请时的基金份额净值不同。</w:t>
      </w:r>
    </w:p>
    <w:p w:rsidR="008711D3" w:rsidRDefault="004479D9">
      <w:pPr>
        <w:autoSpaceDE w:val="0"/>
        <w:autoSpaceDN w:val="0"/>
        <w:adjustRightInd w:val="0"/>
        <w:spacing w:line="360" w:lineRule="auto"/>
        <w:ind w:firstLineChars="200" w:firstLine="420"/>
      </w:pPr>
      <w:r>
        <w:rPr>
          <w:rFonts w:hint="eastAsia"/>
        </w:rPr>
        <w:t>②暂停接受赎回申请</w:t>
      </w:r>
    </w:p>
    <w:p w:rsidR="008711D3" w:rsidRDefault="004479D9">
      <w:pPr>
        <w:autoSpaceDE w:val="0"/>
        <w:autoSpaceDN w:val="0"/>
        <w:adjustRightInd w:val="0"/>
        <w:spacing w:line="360" w:lineRule="auto"/>
        <w:ind w:firstLineChars="200" w:firstLine="420"/>
      </w:pPr>
      <w:r>
        <w:rPr>
          <w:rFonts w:hint="eastAsia"/>
        </w:rPr>
        <w:t>具体请参见基金合同“第六部分、基金份额的申购与赎回”中的“八、暂停赎回或延缓支付赎回款项的情形”，详细了解本基金暂停接受赎回申请的情形及程序。</w:t>
      </w:r>
    </w:p>
    <w:p w:rsidR="008711D3" w:rsidRDefault="004479D9">
      <w:pPr>
        <w:autoSpaceDE w:val="0"/>
        <w:autoSpaceDN w:val="0"/>
        <w:adjustRightInd w:val="0"/>
        <w:spacing w:line="360" w:lineRule="auto"/>
        <w:ind w:firstLineChars="200" w:firstLine="420"/>
      </w:pPr>
      <w:r>
        <w:rPr>
          <w:rFonts w:hint="eastAsia"/>
        </w:rPr>
        <w:t>③延缓支付赎回款项</w:t>
      </w:r>
    </w:p>
    <w:p w:rsidR="008711D3" w:rsidRDefault="004479D9">
      <w:pPr>
        <w:autoSpaceDE w:val="0"/>
        <w:autoSpaceDN w:val="0"/>
        <w:adjustRightInd w:val="0"/>
        <w:spacing w:line="360" w:lineRule="auto"/>
        <w:ind w:firstLineChars="200" w:firstLine="420"/>
      </w:pPr>
      <w:r>
        <w:rPr>
          <w:rFonts w:hint="eastAsia"/>
        </w:rPr>
        <w:t>投资人具体请参见基金合同“第六部分、基金份额的申购与赎回”中的“八、暂停赎回或延缓支付赎回款项的情形”和“九、巨额赎回的情形及处理方式”，详细了解本基金延缓</w:t>
      </w:r>
      <w:r>
        <w:rPr>
          <w:rFonts w:hint="eastAsia"/>
        </w:rPr>
        <w:lastRenderedPageBreak/>
        <w:t>支付赎回款项的情形及程序。</w:t>
      </w:r>
    </w:p>
    <w:p w:rsidR="008711D3" w:rsidRDefault="004479D9">
      <w:pPr>
        <w:autoSpaceDE w:val="0"/>
        <w:autoSpaceDN w:val="0"/>
        <w:adjustRightInd w:val="0"/>
        <w:spacing w:line="360" w:lineRule="auto"/>
        <w:ind w:firstLineChars="200" w:firstLine="420"/>
      </w:pPr>
      <w:r>
        <w:rPr>
          <w:rFonts w:hint="eastAsia"/>
        </w:rPr>
        <w:t>在此情形下，投资人接收赎回款项的时间将可能比一般正常情形下有所延迟。</w:t>
      </w:r>
    </w:p>
    <w:p w:rsidR="008711D3" w:rsidRDefault="004479D9">
      <w:pPr>
        <w:autoSpaceDE w:val="0"/>
        <w:autoSpaceDN w:val="0"/>
        <w:adjustRightInd w:val="0"/>
        <w:spacing w:line="360" w:lineRule="auto"/>
        <w:ind w:firstLineChars="200" w:firstLine="420"/>
      </w:pPr>
      <w:r>
        <w:rPr>
          <w:rFonts w:hint="eastAsia"/>
        </w:rPr>
        <w:t>④收取短期赎回费</w:t>
      </w:r>
    </w:p>
    <w:p w:rsidR="008711D3" w:rsidRDefault="004479D9">
      <w:pPr>
        <w:autoSpaceDE w:val="0"/>
        <w:autoSpaceDN w:val="0"/>
        <w:adjustRightInd w:val="0"/>
        <w:spacing w:line="360" w:lineRule="auto"/>
        <w:ind w:firstLineChars="200" w:firstLine="420"/>
      </w:pPr>
      <w:r>
        <w:rPr>
          <w:rFonts w:hint="eastAsia"/>
        </w:rPr>
        <w:t>本基金对持续持有期少于</w:t>
      </w:r>
      <w:r>
        <w:rPr>
          <w:rFonts w:hint="eastAsia"/>
        </w:rPr>
        <w:t>7</w:t>
      </w:r>
      <w:r>
        <w:rPr>
          <w:rFonts w:hint="eastAsia"/>
        </w:rPr>
        <w:t>日的投资者收取不低于</w:t>
      </w:r>
      <w:r>
        <w:rPr>
          <w:rFonts w:hint="eastAsia"/>
        </w:rPr>
        <w:t>1.5%</w:t>
      </w:r>
      <w:r>
        <w:rPr>
          <w:rFonts w:hint="eastAsia"/>
        </w:rPr>
        <w:t>的赎回费，并将上述赎回费全额计入基金财产。</w:t>
      </w:r>
    </w:p>
    <w:p w:rsidR="008711D3" w:rsidRDefault="004479D9">
      <w:pPr>
        <w:autoSpaceDE w:val="0"/>
        <w:autoSpaceDN w:val="0"/>
        <w:adjustRightInd w:val="0"/>
        <w:spacing w:line="360" w:lineRule="auto"/>
        <w:ind w:firstLineChars="200" w:firstLine="420"/>
      </w:pPr>
      <w:r>
        <w:rPr>
          <w:rFonts w:hint="eastAsia"/>
        </w:rPr>
        <w:t>⑤暂停基金估值</w:t>
      </w:r>
    </w:p>
    <w:p w:rsidR="008711D3" w:rsidRDefault="004479D9">
      <w:pPr>
        <w:autoSpaceDE w:val="0"/>
        <w:autoSpaceDN w:val="0"/>
        <w:adjustRightInd w:val="0"/>
        <w:spacing w:line="360" w:lineRule="auto"/>
        <w:ind w:firstLineChars="200" w:firstLine="420"/>
      </w:pPr>
      <w:r>
        <w:rPr>
          <w:rFonts w:hint="eastAsia"/>
        </w:rPr>
        <w:t>投资人具体请参见基金合同“第十四部分、基金资产估值”中的“七、暂停估值的情形”，详细了解本基金暂停估值的情形及程序。</w:t>
      </w:r>
    </w:p>
    <w:p w:rsidR="008711D3" w:rsidRDefault="004479D9">
      <w:pPr>
        <w:autoSpaceDE w:val="0"/>
        <w:autoSpaceDN w:val="0"/>
        <w:adjustRightInd w:val="0"/>
        <w:spacing w:line="360" w:lineRule="auto"/>
        <w:ind w:firstLineChars="200" w:firstLine="420"/>
      </w:pPr>
      <w:r>
        <w:rPr>
          <w:rFonts w:hint="eastAsia"/>
        </w:rPr>
        <w:t>在此情形下，投资人没有可供参考的基金份额净值，同时赎回申请可能被延期办理或被暂停接受，或被延缓支付赎回款项。</w:t>
      </w:r>
    </w:p>
    <w:p w:rsidR="008711D3" w:rsidRDefault="004479D9">
      <w:pPr>
        <w:autoSpaceDE w:val="0"/>
        <w:autoSpaceDN w:val="0"/>
        <w:adjustRightInd w:val="0"/>
        <w:spacing w:line="360" w:lineRule="auto"/>
        <w:ind w:firstLineChars="200" w:firstLine="420"/>
      </w:pPr>
      <w:r>
        <w:rPr>
          <w:rFonts w:hint="eastAsia"/>
        </w:rPr>
        <w:t>⑥摆动定价</w:t>
      </w:r>
    </w:p>
    <w:p w:rsidR="008711D3" w:rsidRDefault="004479D9">
      <w:pPr>
        <w:autoSpaceDE w:val="0"/>
        <w:autoSpaceDN w:val="0"/>
        <w:adjustRightInd w:val="0"/>
        <w:spacing w:line="360" w:lineRule="auto"/>
        <w:ind w:firstLineChars="200" w:firstLine="420"/>
      </w:pPr>
      <w:r>
        <w:rPr>
          <w:rFonts w:hint="eastAsia"/>
        </w:rPr>
        <w:t>当本基金发生大额申购或赎回情形时，基金管理人可以采用摆动定价机制，以确保基金估值的公平性。当基金采用摆动定价时，投资者申购或赎回基金份额时的基金份额净值，将会根据投资组合的市场冲击成本而进行调整，使得市场的冲击成本能够分配给实际申购、赎回的投资者，从而减少对存量基金份额持有人利益的不利影响，确保投资者的合法权益不受损害并得到公平对待。</w:t>
      </w:r>
    </w:p>
    <w:p w:rsidR="008711D3" w:rsidRDefault="004479D9">
      <w:pPr>
        <w:autoSpaceDE w:val="0"/>
        <w:autoSpaceDN w:val="0"/>
        <w:adjustRightInd w:val="0"/>
        <w:spacing w:line="360" w:lineRule="auto"/>
        <w:ind w:firstLineChars="200" w:firstLine="420"/>
      </w:pPr>
      <w:r>
        <w:rPr>
          <w:rFonts w:hint="eastAsia"/>
        </w:rPr>
        <w:t>⑦实施侧袋机制。</w:t>
      </w:r>
    </w:p>
    <w:p w:rsidR="008711D3" w:rsidRDefault="004479D9">
      <w:pPr>
        <w:autoSpaceDE w:val="0"/>
        <w:autoSpaceDN w:val="0"/>
        <w:adjustRightInd w:val="0"/>
        <w:spacing w:line="360" w:lineRule="auto"/>
        <w:ind w:firstLineChars="200" w:firstLine="420"/>
      </w:pPr>
      <w:r>
        <w:rPr>
          <w:rFonts w:hint="eastAsia"/>
        </w:rPr>
        <w:t>投资人具体请参见招募说明书“十六、侧袋机制”，详细了解本基金侧袋机制的情形及程序。</w:t>
      </w:r>
    </w:p>
    <w:p w:rsidR="008711D3" w:rsidRDefault="004479D9">
      <w:pPr>
        <w:autoSpaceDE w:val="0"/>
        <w:autoSpaceDN w:val="0"/>
        <w:adjustRightInd w:val="0"/>
        <w:spacing w:line="360" w:lineRule="auto"/>
        <w:ind w:firstLineChars="200" w:firstLine="420"/>
      </w:pPr>
      <w:r>
        <w:rPr>
          <w:rFonts w:hint="eastAsia"/>
        </w:rPr>
        <w:t>5</w:t>
      </w:r>
      <w:r>
        <w:rPr>
          <w:rFonts w:hint="eastAsia"/>
        </w:rPr>
        <w:t>、实施侧袋机制对投资者的影响</w:t>
      </w:r>
    </w:p>
    <w:p w:rsidR="008711D3" w:rsidRDefault="004479D9">
      <w:pPr>
        <w:autoSpaceDE w:val="0"/>
        <w:autoSpaceDN w:val="0"/>
        <w:adjustRightInd w:val="0"/>
        <w:spacing w:line="360" w:lineRule="auto"/>
        <w:ind w:firstLineChars="200" w:firstLine="420"/>
      </w:pPr>
      <w:r>
        <w:rPr>
          <w:rFonts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8711D3" w:rsidRDefault="004479D9">
      <w:pPr>
        <w:autoSpaceDE w:val="0"/>
        <w:autoSpaceDN w:val="0"/>
        <w:adjustRightInd w:val="0"/>
        <w:spacing w:line="360" w:lineRule="auto"/>
        <w:ind w:firstLineChars="200" w:firstLine="420"/>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w:t>
      </w:r>
      <w:r>
        <w:rPr>
          <w:rFonts w:hint="eastAsia"/>
        </w:rPr>
        <w:lastRenderedPageBreak/>
        <w:t>责任。</w:t>
      </w:r>
    </w:p>
    <w:p w:rsidR="008711D3" w:rsidRDefault="004479D9">
      <w:pPr>
        <w:autoSpaceDE w:val="0"/>
        <w:autoSpaceDN w:val="0"/>
        <w:adjustRightInd w:val="0"/>
        <w:spacing w:line="360" w:lineRule="auto"/>
        <w:ind w:firstLineChars="200" w:firstLine="420"/>
      </w:pPr>
      <w:r>
        <w:rPr>
          <w:rFonts w:hint="eastAsia"/>
        </w:rPr>
        <w:t>基金管理人将根据主袋账户运作情况合理确定申购政策</w:t>
      </w:r>
      <w:r>
        <w:rPr>
          <w:rFonts w:hint="eastAsia"/>
        </w:rPr>
        <w:t xml:space="preserve">, </w:t>
      </w:r>
      <w:r>
        <w:rPr>
          <w:rFonts w:hint="eastAsia"/>
        </w:rPr>
        <w:t>因此实施侧袋机制后主袋账户份额存在暂停申购的可能。</w:t>
      </w:r>
    </w:p>
    <w:p w:rsidR="008711D3" w:rsidRDefault="004479D9">
      <w:pPr>
        <w:autoSpaceDE w:val="0"/>
        <w:autoSpaceDN w:val="0"/>
        <w:adjustRightInd w:val="0"/>
        <w:spacing w:line="360" w:lineRule="auto"/>
        <w:ind w:firstLineChars="200" w:firstLine="420"/>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8711D3" w:rsidRDefault="004479D9">
      <w:pPr>
        <w:spacing w:line="360" w:lineRule="auto"/>
        <w:rPr>
          <w:rFonts w:ascii="宋体" w:hAnsi="宋体"/>
          <w:b/>
          <w:bCs/>
          <w:szCs w:val="21"/>
        </w:rPr>
      </w:pPr>
      <w:r>
        <w:rPr>
          <w:rFonts w:ascii="宋体" w:hAnsi="宋体" w:hint="eastAsia"/>
          <w:b/>
          <w:bCs/>
          <w:szCs w:val="21"/>
        </w:rPr>
        <w:t>（四）管理风险</w:t>
      </w:r>
    </w:p>
    <w:p w:rsidR="008711D3" w:rsidRDefault="004479D9">
      <w:pPr>
        <w:autoSpaceDE w:val="0"/>
        <w:autoSpaceDN w:val="0"/>
        <w:adjustRightInd w:val="0"/>
        <w:spacing w:line="360" w:lineRule="auto"/>
        <w:ind w:firstLineChars="200" w:firstLine="420"/>
      </w:pPr>
      <w:r>
        <w:rPr>
          <w:rFonts w:hint="eastAsia"/>
        </w:rPr>
        <w:t>在基金管理运作过程中，可能因基金管理人对经济形势和证券市场等判断有误、获取的信息不全等影响基金的收益水平。基金管理人的管理水平、管理手段和管理技术等对基金收益水平存在影响。</w:t>
      </w:r>
    </w:p>
    <w:p w:rsidR="008711D3" w:rsidRDefault="004479D9">
      <w:pPr>
        <w:spacing w:line="360" w:lineRule="auto"/>
        <w:rPr>
          <w:rFonts w:ascii="宋体" w:hAnsi="宋体"/>
          <w:b/>
          <w:bCs/>
          <w:szCs w:val="21"/>
        </w:rPr>
      </w:pPr>
      <w:r>
        <w:rPr>
          <w:rFonts w:ascii="宋体" w:hAnsi="宋体" w:hint="eastAsia"/>
          <w:b/>
          <w:bCs/>
          <w:szCs w:val="21"/>
        </w:rPr>
        <w:t>（五）操作或技术风险</w:t>
      </w:r>
    </w:p>
    <w:p w:rsidR="008711D3" w:rsidRDefault="004479D9">
      <w:pPr>
        <w:autoSpaceDE w:val="0"/>
        <w:autoSpaceDN w:val="0"/>
        <w:adjustRightInd w:val="0"/>
        <w:spacing w:line="360" w:lineRule="auto"/>
        <w:ind w:firstLineChars="200" w:firstLine="420"/>
      </w:pPr>
      <w:r>
        <w:rPr>
          <w:rFonts w:hint="eastAsia"/>
        </w:rPr>
        <w:t>指相关当事人在业务各环节操作过程中，因内部控制存在缺陷或者人为因素造成操作失误或违反操作规程等引致的风险，例如，越权违规交易、会计部门欺诈、交易错误、</w:t>
      </w:r>
      <w:r>
        <w:t>IT</w:t>
      </w:r>
      <w:r>
        <w:rPr>
          <w:rFonts w:hint="eastAsia"/>
        </w:rPr>
        <w:t>系统故障等风险。</w:t>
      </w:r>
    </w:p>
    <w:p w:rsidR="008711D3" w:rsidRDefault="004479D9">
      <w:pPr>
        <w:autoSpaceDE w:val="0"/>
        <w:autoSpaceDN w:val="0"/>
        <w:adjustRightInd w:val="0"/>
        <w:spacing w:line="360" w:lineRule="auto"/>
        <w:ind w:firstLineChars="200" w:firstLine="420"/>
      </w:pPr>
      <w:r>
        <w:rPr>
          <w:rFonts w:hint="eastAsia"/>
        </w:rPr>
        <w:t>在开放式基金的各种交易行为或者后台运作中，可能因为技术系统的故障或者差错而影响交易的正常进行或者导致投资者的利益受到影响。这种技术风险可能来自基金管理人、登记机构、代销机构、证券、期货交易所、证券登记结算机构等等。</w:t>
      </w:r>
    </w:p>
    <w:p w:rsidR="008711D3" w:rsidRDefault="004479D9">
      <w:pPr>
        <w:spacing w:line="360" w:lineRule="auto"/>
        <w:rPr>
          <w:rFonts w:ascii="宋体" w:hAnsi="宋体"/>
          <w:b/>
          <w:bCs/>
          <w:szCs w:val="21"/>
        </w:rPr>
      </w:pPr>
      <w:r>
        <w:rPr>
          <w:rFonts w:ascii="宋体" w:hAnsi="宋体" w:hint="eastAsia"/>
          <w:b/>
          <w:bCs/>
          <w:szCs w:val="21"/>
        </w:rPr>
        <w:t>（六）合规性风险</w:t>
      </w:r>
    </w:p>
    <w:p w:rsidR="008711D3" w:rsidRDefault="004479D9">
      <w:pPr>
        <w:autoSpaceDE w:val="0"/>
        <w:autoSpaceDN w:val="0"/>
        <w:adjustRightInd w:val="0"/>
        <w:spacing w:line="360" w:lineRule="auto"/>
        <w:ind w:firstLineChars="200" w:firstLine="420"/>
      </w:pPr>
      <w:r>
        <w:rPr>
          <w:rFonts w:hint="eastAsia"/>
        </w:rPr>
        <w:t>指基金管理或运作过程中，违反国家法律法规的规定，或者基金投资违反法规及基金合同有关规定的风险。</w:t>
      </w:r>
    </w:p>
    <w:p w:rsidR="008711D3" w:rsidRDefault="004479D9">
      <w:pPr>
        <w:spacing w:line="360" w:lineRule="auto"/>
        <w:rPr>
          <w:rFonts w:ascii="宋体" w:hAnsi="宋体"/>
          <w:b/>
          <w:bCs/>
          <w:szCs w:val="21"/>
        </w:rPr>
      </w:pPr>
      <w:r>
        <w:rPr>
          <w:rFonts w:ascii="宋体" w:hAnsi="宋体" w:hint="eastAsia"/>
          <w:b/>
          <w:bCs/>
          <w:szCs w:val="21"/>
        </w:rPr>
        <w:t>（七）本基金特有的风险</w:t>
      </w:r>
    </w:p>
    <w:p w:rsidR="008711D3" w:rsidRDefault="004479D9">
      <w:pPr>
        <w:spacing w:line="360" w:lineRule="auto"/>
        <w:ind w:firstLineChars="200" w:firstLine="420"/>
      </w:pPr>
      <w:r>
        <w:rPr>
          <w:rFonts w:hint="eastAsia"/>
        </w:rPr>
        <w:t>1</w:t>
      </w:r>
      <w:r>
        <w:rPr>
          <w:rFonts w:hint="eastAsia"/>
        </w:rPr>
        <w:t>、市场下跌风险</w:t>
      </w:r>
    </w:p>
    <w:p w:rsidR="008711D3" w:rsidRDefault="004479D9">
      <w:pPr>
        <w:spacing w:line="360" w:lineRule="auto"/>
        <w:ind w:firstLineChars="200" w:firstLine="420"/>
      </w:pPr>
      <w:r>
        <w:rPr>
          <w:rFonts w:hint="eastAsia"/>
        </w:rPr>
        <w:t>本基金是混合型基金，基金资产主要投资于股票市场与债券市场，因此股市、债市的变化将影响到基金业绩表现。本基金虽然按照风险收益配比原则，实行动态的资产配置，但并不能完全抵御市场整体下跌风险，基金净值表现因此会可能受到影响。本基金管理人将发挥专业研究优势，加强对市场、上市公司基本面和固定收益类产品的深入研究，持续优化组合配置，以控制特定风险。</w:t>
      </w:r>
    </w:p>
    <w:p w:rsidR="008711D3" w:rsidRDefault="004479D9">
      <w:pPr>
        <w:spacing w:line="360" w:lineRule="auto"/>
        <w:ind w:firstLineChars="200" w:firstLine="420"/>
      </w:pPr>
      <w:r>
        <w:t>2</w:t>
      </w:r>
      <w:r>
        <w:rPr>
          <w:rFonts w:hint="eastAsia"/>
        </w:rPr>
        <w:t>、资产支持证券投资风险</w:t>
      </w:r>
    </w:p>
    <w:p w:rsidR="008711D3" w:rsidRDefault="004479D9">
      <w:pPr>
        <w:spacing w:line="360" w:lineRule="auto"/>
        <w:ind w:firstLineChars="200" w:firstLine="420"/>
      </w:pPr>
      <w:r>
        <w:rPr>
          <w:rFonts w:hint="eastAsia"/>
        </w:rPr>
        <w:t>本基金投资资产支持证券，可能面临利率风险、流动性风险、现金流预测风险。利率风险是指市场利率将随宏观经济环境的变化而波动，利率波动可能会影响资产支持证券收益。</w:t>
      </w:r>
      <w:r>
        <w:rPr>
          <w:rFonts w:hint="eastAsia"/>
        </w:rPr>
        <w:lastRenderedPageBreak/>
        <w:t>流动性风险是指在交易对手有限的情况下，资产支持证券持有人将面临无法在合理的时间内以公允价格出售资产支持证券而遭受损失的风险。资产支持证券的还款来源为基础资产未来现金流，现金流预测风险是指由于对基础资产的现金流预测发生偏差导致的资产支持证券本息无法按期或足额偿还的风险。</w:t>
      </w:r>
    </w:p>
    <w:p w:rsidR="008711D3" w:rsidRDefault="004479D9">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3</w:t>
      </w:r>
      <w:r>
        <w:rPr>
          <w:rFonts w:asciiTheme="minorEastAsia" w:eastAsiaTheme="minorEastAsia" w:hAnsiTheme="minorEastAsia" w:hint="eastAsia"/>
          <w:bCs/>
          <w:color w:val="000000" w:themeColor="text1"/>
          <w:szCs w:val="21"/>
        </w:rPr>
        <w:t>、港股交易失败风险</w:t>
      </w:r>
    </w:p>
    <w:p w:rsidR="008711D3" w:rsidRDefault="004479D9">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港股通业务试点期间存在每日额度限制。在香港联合交易所有限公司开市前阶段，当日额度使用完毕的，新增的买单申报将面临失败的风险；在联交所持续交易时段，当日额度使用完毕的，当日本基金将面临不能通过港股通进行买入交易的风险。</w:t>
      </w:r>
    </w:p>
    <w:p w:rsidR="008711D3" w:rsidRDefault="004479D9">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4</w:t>
      </w:r>
      <w:r>
        <w:rPr>
          <w:rFonts w:asciiTheme="minorEastAsia" w:eastAsiaTheme="minorEastAsia" w:hAnsiTheme="minorEastAsia" w:hint="eastAsia"/>
          <w:bCs/>
          <w:color w:val="000000" w:themeColor="text1"/>
          <w:szCs w:val="21"/>
        </w:rPr>
        <w:t>、汇率风险</w:t>
      </w:r>
    </w:p>
    <w:p w:rsidR="008711D3" w:rsidRDefault="004479D9">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故本基金投资面临汇率风险，汇率波动可能对基金的投资收益造成损失。</w:t>
      </w:r>
    </w:p>
    <w:p w:rsidR="008711D3" w:rsidRDefault="004479D9">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5</w:t>
      </w:r>
      <w:r>
        <w:rPr>
          <w:rFonts w:asciiTheme="minorEastAsia" w:eastAsiaTheme="minorEastAsia" w:hAnsiTheme="minorEastAsia" w:hint="eastAsia"/>
          <w:bCs/>
          <w:color w:val="000000" w:themeColor="text1"/>
          <w:szCs w:val="21"/>
        </w:rPr>
        <w:t xml:space="preserve">、境外市场的风险 </w:t>
      </w:r>
    </w:p>
    <w:p w:rsidR="008711D3" w:rsidRDefault="004479D9">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 xml:space="preserve">（1）本基金的将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 </w:t>
      </w:r>
    </w:p>
    <w:p w:rsidR="008711D3" w:rsidRDefault="004479D9">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 xml:space="preserve">（2）香港市场交易规则有别于内地A股市场规则，此外，在“内地与香港股票市场交易互联互通机制”下参与香港股票投资还将面临包括但不限于如下特殊风险： </w:t>
      </w:r>
    </w:p>
    <w:p w:rsidR="008711D3" w:rsidRDefault="004479D9">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 xml:space="preserve">1）港股市场实行T+0回转交易，且对个股不设涨跌幅限制，港股估价可能表现出比A股更为剧烈的股价波动； </w:t>
      </w:r>
    </w:p>
    <w:p w:rsidR="008711D3" w:rsidRDefault="004479D9">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2）只有境内、香港两地均为交易日且能够满足结算安排、开通港股通交易的交易日才为港股通交易日，在内地开市香港休市的情形下，港股通不能正常交易，港股不能及时卖出，可能带来一定的流动性风险；</w:t>
      </w:r>
    </w:p>
    <w:p w:rsidR="008711D3" w:rsidRDefault="004479D9">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 xml:space="preserve">3）香港出现台风、黑色暴雨或者联交所规定的其他情形时，联交所将可能停市，投资者将面临在停市期间无法进行港股通交易的风险；出现内地证券交易服务公司认定的交易异常情况时，内地证券交易服务公司将可能暂停提供部分或者全部港股通服务，投资者将面临在暂停服务期间无法进行港股通交易的风险。 </w:t>
      </w:r>
    </w:p>
    <w:p w:rsidR="008711D3" w:rsidRDefault="004479D9">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lastRenderedPageBreak/>
        <w:t>4）投资者因港股通股票权益分派、转换、上市公司被收购等情形或者异常情况，所取得的港股通股票以外的联交所上市证券，只能通过港股通卖出，但不得买入，内地证券交易服务公司另有规定的除外；因港股通股票权益分派或者转换等情形取得的联交所上市股票的认购权利在联交所上市的，可以通过港股通卖出，但不得行权；因港股通股票权益分派、转换或者上市公司被收购等所取得的非联交所上市证券，可以享有相关权益，但不得通过港股通买入或卖出。</w:t>
      </w:r>
    </w:p>
    <w:p w:rsidR="008711D3" w:rsidRDefault="004479D9">
      <w:pPr>
        <w:widowControl/>
        <w:spacing w:line="360" w:lineRule="auto"/>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5）代理投票。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 以上所述因素可能会给本基金投资带来特殊交易风险。</w:t>
      </w:r>
    </w:p>
    <w:p w:rsidR="008711D3" w:rsidRDefault="004479D9">
      <w:pPr>
        <w:spacing w:line="360" w:lineRule="auto"/>
        <w:ind w:firstLineChars="200" w:firstLine="420"/>
        <w:rPr>
          <w:rFonts w:ascii="宋体" w:hAnsi="宋体"/>
          <w:bCs/>
          <w:szCs w:val="21"/>
        </w:rPr>
      </w:pPr>
      <w:r>
        <w:rPr>
          <w:rFonts w:ascii="宋体" w:hAnsi="宋体" w:hint="eastAsia"/>
          <w:bCs/>
          <w:szCs w:val="21"/>
        </w:rPr>
        <w:t>6、其他投资风险</w:t>
      </w:r>
    </w:p>
    <w:p w:rsidR="008711D3" w:rsidRDefault="004479D9">
      <w:pPr>
        <w:spacing w:line="360" w:lineRule="auto"/>
        <w:ind w:firstLineChars="200" w:firstLine="420"/>
        <w:rPr>
          <w:rFonts w:ascii="宋体" w:hAnsi="宋体"/>
          <w:bCs/>
          <w:szCs w:val="21"/>
        </w:rPr>
      </w:pPr>
      <w:r>
        <w:rPr>
          <w:rFonts w:ascii="宋体" w:hAnsi="宋体" w:hint="eastAsia"/>
          <w:bCs/>
          <w:szCs w:val="21"/>
        </w:rPr>
        <w:t>本基金还投资于国债期货、股指期货、股票期权等衍生金融工具，而衍生金融工具属于高风险投资工具，相应市场的波动也可能给基金财产带来较高风险。</w:t>
      </w:r>
    </w:p>
    <w:p w:rsidR="008711D3" w:rsidRDefault="004479D9">
      <w:pPr>
        <w:spacing w:line="360" w:lineRule="auto"/>
        <w:ind w:firstLineChars="200" w:firstLine="420"/>
        <w:rPr>
          <w:rFonts w:ascii="宋体" w:hAnsi="宋体"/>
          <w:bCs/>
          <w:szCs w:val="21"/>
        </w:rPr>
      </w:pPr>
      <w:r>
        <w:rPr>
          <w:rFonts w:ascii="宋体" w:hAnsi="宋体" w:hint="eastAsia"/>
          <w:bCs/>
          <w:szCs w:val="21"/>
        </w:rPr>
        <w:t>期货交易采用保证金交易方式，基金资产可能由于无法及时筹措资金满足建立或者维持期货头寸所要求的保证金而面临保证金风险。同时，该潜在损失可能成倍放大，具有杠杆性风险。另外，期货在对冲市场风险的使用过程中，基金资产可能因为期货合约与合约标的价格波动不一致而面临基差风险。</w:t>
      </w:r>
    </w:p>
    <w:p w:rsidR="008711D3" w:rsidRDefault="004479D9">
      <w:pPr>
        <w:spacing w:line="360" w:lineRule="auto"/>
        <w:ind w:firstLineChars="200" w:firstLine="420"/>
        <w:rPr>
          <w:rFonts w:ascii="宋体" w:hAnsi="宋体"/>
          <w:bCs/>
          <w:szCs w:val="21"/>
        </w:rPr>
      </w:pPr>
      <w:r>
        <w:rPr>
          <w:rFonts w:ascii="宋体" w:hAnsi="宋体" w:hint="eastAsia"/>
          <w:bCs/>
          <w:szCs w:val="21"/>
        </w:rPr>
        <w:t>本基金投资股票期权，可能引发如下风险：股票期权作为一种金融衍生品，具备一些特有的风险点。投资股票期权所面临的主要风险是衍生品价格波动带来的市场风险；衍生品基础资产交易量大于市场可报价的交易量而产生的流动性风险；衍生品合约价格和标的指数价格之间的价格差的波动所造成基差风险；无法及时筹措资金满足建立或者维持衍生品合约头寸所要求的保证金而带来的保证金风险；交易对手不愿或无法履行契约而产生的信用风险；以及各类操作风险。</w:t>
      </w:r>
    </w:p>
    <w:p w:rsidR="008711D3" w:rsidRDefault="004479D9">
      <w:pPr>
        <w:spacing w:line="360" w:lineRule="auto"/>
        <w:ind w:firstLineChars="200" w:firstLine="420"/>
        <w:rPr>
          <w:rFonts w:ascii="宋体" w:hAnsi="宋体"/>
          <w:bCs/>
          <w:szCs w:val="21"/>
        </w:rPr>
      </w:pPr>
      <w:r>
        <w:rPr>
          <w:rFonts w:ascii="宋体" w:hAnsi="宋体" w:hint="eastAsia"/>
          <w:bCs/>
          <w:szCs w:val="21"/>
        </w:rPr>
        <w:t xml:space="preserve">7、融资业务的主要风险 </w:t>
      </w:r>
    </w:p>
    <w:p w:rsidR="008711D3" w:rsidRDefault="004479D9">
      <w:pPr>
        <w:spacing w:line="360" w:lineRule="auto"/>
        <w:ind w:firstLineChars="200" w:firstLine="420"/>
        <w:rPr>
          <w:rFonts w:ascii="宋体" w:hAnsi="宋体"/>
          <w:bCs/>
          <w:szCs w:val="21"/>
        </w:rPr>
      </w:pPr>
      <w:r>
        <w:rPr>
          <w:rFonts w:ascii="宋体" w:hAnsi="宋体" w:hint="eastAsia"/>
          <w:bCs/>
          <w:szCs w:val="21"/>
        </w:rPr>
        <w:t xml:space="preserve">（1）市场风险 </w:t>
      </w:r>
    </w:p>
    <w:p w:rsidR="008711D3" w:rsidRDefault="004479D9">
      <w:pPr>
        <w:spacing w:line="360" w:lineRule="auto"/>
        <w:ind w:firstLineChars="200" w:firstLine="420"/>
        <w:rPr>
          <w:rFonts w:ascii="宋体" w:hAnsi="宋体"/>
          <w:bCs/>
          <w:szCs w:val="21"/>
        </w:rPr>
      </w:pPr>
      <w:r>
        <w:rPr>
          <w:rFonts w:ascii="宋体" w:hAnsi="宋体" w:hint="eastAsia"/>
          <w:bCs/>
          <w:szCs w:val="21"/>
        </w:rPr>
        <w:t>1）可能放大投资损失的风险：融资业务具有杠杆效应，它在放大投资收益的同时也必然放大投资风险。将股票作为担保品进行融资交易时，既需要承担原有的股票价格下跌带来的风险，又得承担融资买入股票带来的风险，同时还须支付相应的利息和费用，由此承担的风险可能远远超过普通证券交易。</w:t>
      </w:r>
    </w:p>
    <w:p w:rsidR="008711D3" w:rsidRDefault="004479D9">
      <w:pPr>
        <w:spacing w:line="360" w:lineRule="auto"/>
        <w:ind w:firstLineChars="200" w:firstLine="420"/>
        <w:rPr>
          <w:rFonts w:ascii="宋体" w:hAnsi="宋体"/>
          <w:bCs/>
          <w:szCs w:val="21"/>
        </w:rPr>
      </w:pPr>
      <w:r>
        <w:rPr>
          <w:rFonts w:ascii="宋体" w:hAnsi="宋体" w:hint="eastAsia"/>
          <w:bCs/>
          <w:szCs w:val="21"/>
        </w:rPr>
        <w:t>2）利率变动带来的成本加大风险：在从事融资交易期间，如中国人民银行规定的同期</w:t>
      </w:r>
      <w:r>
        <w:rPr>
          <w:rFonts w:ascii="宋体" w:hAnsi="宋体" w:hint="eastAsia"/>
          <w:bCs/>
          <w:szCs w:val="21"/>
        </w:rPr>
        <w:lastRenderedPageBreak/>
        <w:t>贷款基准利率调高，证券公司将相应调高融资利率，投资成本也因为利率的上调而增加，将面临融资成本增加的风险。</w:t>
      </w:r>
    </w:p>
    <w:p w:rsidR="008711D3" w:rsidRDefault="004479D9">
      <w:pPr>
        <w:spacing w:line="360" w:lineRule="auto"/>
        <w:ind w:firstLineChars="200" w:firstLine="420"/>
        <w:rPr>
          <w:rFonts w:ascii="宋体" w:hAnsi="宋体"/>
          <w:bCs/>
          <w:szCs w:val="21"/>
        </w:rPr>
      </w:pPr>
      <w:r>
        <w:rPr>
          <w:rFonts w:ascii="宋体" w:hAnsi="宋体" w:hint="eastAsia"/>
          <w:bCs/>
          <w:szCs w:val="21"/>
        </w:rPr>
        <w:t>3）强制平仓风险：融资交易中，投资组合与证券公司间除了普通交易的委托买卖关系外，还存在着较为复杂的债权债务关系，以及由于债权债务产生的信托关系和担保关系。证券公司为保护自身债权，对投资组合信用账户的资产负债情况实时监控，在一定条件下可以对投资组合担保资产执行强制平仓,且平仓的品种、数量、价格、时机将不受投资组合的控制，平仓的数额可能超过全部负债，由此给投资组合带来损失。</w:t>
      </w:r>
    </w:p>
    <w:p w:rsidR="008711D3" w:rsidRDefault="004479D9">
      <w:pPr>
        <w:spacing w:line="360" w:lineRule="auto"/>
        <w:ind w:firstLineChars="200" w:firstLine="420"/>
        <w:rPr>
          <w:rFonts w:ascii="宋体" w:hAnsi="宋体"/>
          <w:bCs/>
          <w:szCs w:val="21"/>
        </w:rPr>
      </w:pPr>
      <w:r>
        <w:rPr>
          <w:rFonts w:ascii="宋体" w:hAnsi="宋体" w:hint="eastAsia"/>
          <w:bCs/>
          <w:szCs w:val="21"/>
        </w:rPr>
        <w:t>4）外部监管风险：在融资交易出现异常或市场出现系统性风险时，监管部门、证券交易所和证券公司都将可能对融资交易采取相应措施，例如提高融资保证金比例、维持担保比例和强制平仓的条件等，以维护市场平稳运行。这些措施将可能给本金带来杠杆效应降低、甚至提前进入追加担保物或强制平仓状态等潜在损失。</w:t>
      </w:r>
    </w:p>
    <w:p w:rsidR="008711D3" w:rsidRDefault="004479D9">
      <w:pPr>
        <w:spacing w:line="360" w:lineRule="auto"/>
        <w:ind w:firstLineChars="200" w:firstLine="420"/>
        <w:rPr>
          <w:rFonts w:ascii="宋体" w:hAnsi="宋体"/>
          <w:bCs/>
          <w:szCs w:val="21"/>
        </w:rPr>
      </w:pPr>
      <w:r>
        <w:rPr>
          <w:rFonts w:ascii="宋体" w:hAnsi="宋体" w:hint="eastAsia"/>
          <w:bCs/>
          <w:szCs w:val="21"/>
        </w:rPr>
        <w:t xml:space="preserve">（2）流动性风险 </w:t>
      </w:r>
    </w:p>
    <w:p w:rsidR="008711D3" w:rsidRDefault="004479D9">
      <w:pPr>
        <w:spacing w:line="360" w:lineRule="auto"/>
        <w:ind w:firstLineChars="200" w:firstLine="420"/>
        <w:rPr>
          <w:rFonts w:ascii="宋体" w:hAnsi="宋体"/>
          <w:bCs/>
          <w:szCs w:val="21"/>
        </w:rPr>
      </w:pPr>
      <w:r>
        <w:rPr>
          <w:rFonts w:ascii="宋体" w:hAnsi="宋体" w:hint="eastAsia"/>
          <w:bCs/>
          <w:szCs w:val="21"/>
        </w:rPr>
        <w:t>融资业务的流动性风险主要指当基金不能按照约定的期限清偿债务，或上市证券价格波动导致担保物价值与融资债务之间的比例低于平仓维持担保比例，且不能按照约定的时间追加担保物时面临强制平仓的风险。</w:t>
      </w:r>
    </w:p>
    <w:p w:rsidR="008711D3" w:rsidRDefault="004479D9">
      <w:pPr>
        <w:spacing w:line="360" w:lineRule="auto"/>
        <w:ind w:firstLineChars="200" w:firstLine="420"/>
        <w:rPr>
          <w:rFonts w:ascii="宋体" w:hAnsi="宋体"/>
          <w:bCs/>
          <w:szCs w:val="21"/>
        </w:rPr>
      </w:pPr>
      <w:r>
        <w:rPr>
          <w:rFonts w:ascii="宋体" w:hAnsi="宋体" w:hint="eastAsia"/>
          <w:bCs/>
          <w:szCs w:val="21"/>
        </w:rPr>
        <w:t xml:space="preserve">（3）信用风险 </w:t>
      </w:r>
    </w:p>
    <w:p w:rsidR="008711D3" w:rsidRDefault="004479D9">
      <w:pPr>
        <w:spacing w:line="360" w:lineRule="auto"/>
        <w:ind w:firstLineChars="200" w:firstLine="420"/>
        <w:rPr>
          <w:rFonts w:ascii="宋体" w:hAnsi="宋体"/>
          <w:bCs/>
          <w:szCs w:val="21"/>
        </w:rPr>
      </w:pPr>
      <w:r>
        <w:rPr>
          <w:rFonts w:ascii="宋体" w:hAnsi="宋体" w:hint="eastAsia"/>
          <w:bCs/>
          <w:szCs w:val="21"/>
        </w:rPr>
        <w:t>信用风险主要指交易对手违约产生的风险。一方面，如果证券公司没有按照融资合同的要求履行义务可能带来风险；另一方面，若在从事融资交易期间，证券公司融资业务资格、融资业务交易权限被取消或被暂停，证券公司可能无法履约，则投资组合可能会面临一定的风险。</w:t>
      </w:r>
    </w:p>
    <w:p w:rsidR="008711D3" w:rsidRDefault="004479D9">
      <w:pPr>
        <w:spacing w:line="360" w:lineRule="auto"/>
        <w:ind w:firstLineChars="200" w:firstLine="420"/>
        <w:rPr>
          <w:rFonts w:ascii="宋体" w:hAnsi="宋体"/>
          <w:bCs/>
          <w:szCs w:val="21"/>
        </w:rPr>
      </w:pPr>
      <w:r>
        <w:rPr>
          <w:rFonts w:ascii="宋体" w:hAnsi="宋体" w:hint="eastAsia"/>
          <w:bCs/>
          <w:szCs w:val="21"/>
        </w:rPr>
        <w:t>8、存托凭证的投资风险</w:t>
      </w:r>
    </w:p>
    <w:p w:rsidR="008711D3" w:rsidRDefault="004479D9">
      <w:pPr>
        <w:spacing w:line="360" w:lineRule="auto"/>
        <w:ind w:firstLineChars="200" w:firstLine="420"/>
        <w:rPr>
          <w:rFonts w:ascii="宋体" w:hAnsi="宋体"/>
          <w:bCs/>
          <w:szCs w:val="21"/>
        </w:rPr>
      </w:pPr>
      <w:r>
        <w:rPr>
          <w:rFonts w:ascii="宋体" w:hAnsi="宋体" w:hint="eastAsia"/>
          <w:bCs/>
          <w:szCs w:val="21"/>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证券交易机制、法律制度、监管环境差异可能导致的其他风险。</w:t>
      </w:r>
    </w:p>
    <w:p w:rsidR="008711D3" w:rsidRDefault="004479D9">
      <w:pPr>
        <w:spacing w:line="360" w:lineRule="auto"/>
        <w:rPr>
          <w:rFonts w:ascii="宋体" w:hAnsi="宋体"/>
          <w:b/>
          <w:bCs/>
          <w:szCs w:val="21"/>
        </w:rPr>
      </w:pPr>
      <w:r>
        <w:rPr>
          <w:rFonts w:ascii="宋体" w:hAnsi="宋体" w:hint="eastAsia"/>
          <w:b/>
          <w:bCs/>
          <w:szCs w:val="21"/>
        </w:rPr>
        <w:t>（八）其他风险</w:t>
      </w:r>
    </w:p>
    <w:p w:rsidR="008711D3" w:rsidRDefault="004479D9">
      <w:pPr>
        <w:autoSpaceDE w:val="0"/>
        <w:autoSpaceDN w:val="0"/>
        <w:adjustRightInd w:val="0"/>
        <w:spacing w:line="360" w:lineRule="auto"/>
        <w:ind w:firstLineChars="200" w:firstLine="420"/>
      </w:pPr>
      <w:r>
        <w:rPr>
          <w:rFonts w:hint="eastAsia"/>
        </w:rPr>
        <w:lastRenderedPageBreak/>
        <w:t>战争、自然灾害等不可抗力因素的出现，将会严重影响证券市场的运行，可能导致基金资产的损失。</w:t>
      </w:r>
    </w:p>
    <w:p w:rsidR="008711D3" w:rsidRDefault="004479D9">
      <w:pPr>
        <w:widowControl/>
        <w:spacing w:line="360" w:lineRule="auto"/>
        <w:ind w:firstLineChars="200" w:firstLine="420"/>
        <w:jc w:val="left"/>
      </w:pPr>
      <w:r>
        <w:rPr>
          <w:rFonts w:hint="eastAsia"/>
        </w:rPr>
        <w:t>金融市场危机、行业竞争、代理商违约、托管行违约等超出基金管理人自身直接控制能力之外的风险，可能导致基金或者基金持有人利益受损。</w:t>
      </w:r>
    </w:p>
    <w:p w:rsidR="008711D3" w:rsidRDefault="004479D9">
      <w:pPr>
        <w:pStyle w:val="1"/>
        <w:spacing w:before="0" w:after="0" w:line="240" w:lineRule="atLeast"/>
        <w:jc w:val="center"/>
        <w:rPr>
          <w:rFonts w:hAnsi="宋体"/>
          <w:bCs/>
          <w:color w:val="auto"/>
          <w:kern w:val="44"/>
          <w:sz w:val="21"/>
          <w:szCs w:val="21"/>
        </w:rPr>
      </w:pPr>
      <w:r>
        <w:rPr>
          <w:rFonts w:hAnsi="宋体"/>
          <w:bCs/>
          <w:color w:val="auto"/>
          <w:kern w:val="44"/>
          <w:sz w:val="21"/>
          <w:szCs w:val="21"/>
        </w:rPr>
        <w:br w:type="page"/>
      </w:r>
      <w:bookmarkStart w:id="124" w:name="_Toc71748076"/>
      <w:r>
        <w:rPr>
          <w:rFonts w:hAnsi="宋体" w:hint="eastAsia"/>
          <w:bCs/>
          <w:color w:val="auto"/>
          <w:kern w:val="44"/>
          <w:sz w:val="21"/>
          <w:szCs w:val="21"/>
        </w:rPr>
        <w:lastRenderedPageBreak/>
        <w:t>十</w:t>
      </w:r>
      <w:r>
        <w:rPr>
          <w:rFonts w:hAnsi="宋体"/>
          <w:bCs/>
          <w:color w:val="auto"/>
          <w:kern w:val="44"/>
          <w:sz w:val="21"/>
          <w:szCs w:val="21"/>
        </w:rPr>
        <w:t>八</w:t>
      </w:r>
      <w:r>
        <w:rPr>
          <w:rFonts w:hAnsi="宋体" w:hint="eastAsia"/>
          <w:bCs/>
          <w:color w:val="auto"/>
          <w:kern w:val="44"/>
          <w:sz w:val="21"/>
          <w:szCs w:val="21"/>
        </w:rPr>
        <w:t>、</w:t>
      </w:r>
      <w:bookmarkEnd w:id="120"/>
      <w:r>
        <w:rPr>
          <w:rFonts w:hAnsi="宋体" w:hint="eastAsia"/>
          <w:bCs/>
          <w:color w:val="auto"/>
          <w:kern w:val="44"/>
          <w:sz w:val="21"/>
          <w:szCs w:val="21"/>
        </w:rPr>
        <w:t>基金合同的变更、终止与基金财产的清算</w:t>
      </w:r>
      <w:bookmarkEnd w:id="121"/>
      <w:bookmarkEnd w:id="122"/>
      <w:bookmarkEnd w:id="123"/>
      <w:bookmarkEnd w:id="124"/>
    </w:p>
    <w:p w:rsidR="008711D3" w:rsidRDefault="008711D3">
      <w:pPr>
        <w:spacing w:line="360" w:lineRule="auto"/>
        <w:rPr>
          <w:rFonts w:ascii="宋体" w:hAnsi="宋体"/>
          <w:b/>
          <w:bCs/>
          <w:szCs w:val="21"/>
        </w:rPr>
      </w:pPr>
      <w:bookmarkStart w:id="125" w:name="_Toc79392639"/>
      <w:bookmarkStart w:id="126" w:name="_Toc329187128"/>
      <w:bookmarkStart w:id="127" w:name="_Toc334542967"/>
      <w:bookmarkStart w:id="128" w:name="_Toc334542651"/>
      <w:bookmarkStart w:id="129" w:name="_Toc63171764"/>
      <w:bookmarkStart w:id="130" w:name="_Toc530223198"/>
    </w:p>
    <w:p w:rsidR="008711D3" w:rsidRDefault="004479D9">
      <w:pPr>
        <w:spacing w:line="360" w:lineRule="auto"/>
        <w:ind w:firstLineChars="200" w:firstLine="422"/>
        <w:rPr>
          <w:b/>
          <w:szCs w:val="21"/>
        </w:rPr>
      </w:pPr>
      <w:r>
        <w:rPr>
          <w:rFonts w:hint="eastAsia"/>
          <w:b/>
          <w:szCs w:val="21"/>
        </w:rPr>
        <w:t>（一）基金合同的变更</w:t>
      </w:r>
    </w:p>
    <w:p w:rsidR="008711D3" w:rsidRDefault="004479D9">
      <w:pPr>
        <w:autoSpaceDE w:val="0"/>
        <w:autoSpaceDN w:val="0"/>
        <w:adjustRightInd w:val="0"/>
        <w:spacing w:line="360" w:lineRule="auto"/>
        <w:ind w:firstLineChars="200" w:firstLine="420"/>
        <w:jc w:val="left"/>
        <w:rPr>
          <w:szCs w:val="21"/>
        </w:rPr>
      </w:pPr>
      <w:r>
        <w:rPr>
          <w:szCs w:val="21"/>
        </w:rPr>
        <w:t>1</w:t>
      </w:r>
      <w:r>
        <w:rPr>
          <w:rFonts w:hint="eastAsia"/>
          <w:szCs w:val="21"/>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或变更注册。</w:t>
      </w:r>
    </w:p>
    <w:p w:rsidR="008711D3" w:rsidRDefault="004479D9">
      <w:pPr>
        <w:spacing w:line="360" w:lineRule="auto"/>
        <w:ind w:firstLineChars="200" w:firstLine="420"/>
        <w:rPr>
          <w:szCs w:val="21"/>
        </w:rPr>
      </w:pPr>
      <w:r>
        <w:rPr>
          <w:szCs w:val="21"/>
        </w:rPr>
        <w:t>2</w:t>
      </w:r>
      <w:r>
        <w:rPr>
          <w:rFonts w:hint="eastAsia"/>
          <w:szCs w:val="21"/>
        </w:rPr>
        <w:t>、关于基金合同变更的基金份额持有人大会决议自通过之日起生效。信息披露义务人应在决议生效后依照《信息披露办法》的有关规定在规定媒介公告。</w:t>
      </w:r>
    </w:p>
    <w:p w:rsidR="008711D3" w:rsidRDefault="004479D9">
      <w:pPr>
        <w:spacing w:line="360" w:lineRule="auto"/>
        <w:ind w:firstLineChars="200" w:firstLine="422"/>
        <w:rPr>
          <w:b/>
          <w:szCs w:val="21"/>
        </w:rPr>
      </w:pPr>
      <w:r>
        <w:rPr>
          <w:rFonts w:hint="eastAsia"/>
          <w:b/>
          <w:szCs w:val="21"/>
        </w:rPr>
        <w:t>（二）基金合同的终止事由</w:t>
      </w:r>
    </w:p>
    <w:p w:rsidR="008711D3" w:rsidRDefault="004479D9">
      <w:pPr>
        <w:spacing w:line="360" w:lineRule="auto"/>
        <w:ind w:firstLineChars="200" w:firstLine="420"/>
        <w:rPr>
          <w:szCs w:val="21"/>
        </w:rPr>
      </w:pPr>
      <w:r>
        <w:rPr>
          <w:rFonts w:hint="eastAsia"/>
          <w:szCs w:val="21"/>
        </w:rPr>
        <w:t>有下列情形之一的，经履行相关程序后，基金合同应当终止：</w:t>
      </w:r>
    </w:p>
    <w:p w:rsidR="008711D3" w:rsidRDefault="004479D9">
      <w:pPr>
        <w:spacing w:line="360" w:lineRule="auto"/>
        <w:ind w:firstLineChars="200" w:firstLine="420"/>
        <w:rPr>
          <w:szCs w:val="21"/>
        </w:rPr>
      </w:pPr>
      <w:r>
        <w:rPr>
          <w:szCs w:val="21"/>
        </w:rPr>
        <w:t>1</w:t>
      </w:r>
      <w:r>
        <w:rPr>
          <w:rFonts w:hint="eastAsia"/>
          <w:szCs w:val="21"/>
        </w:rPr>
        <w:t>、基金份额持有人大会决定终止的；</w:t>
      </w:r>
    </w:p>
    <w:p w:rsidR="008711D3" w:rsidRDefault="004479D9">
      <w:pPr>
        <w:spacing w:line="360" w:lineRule="auto"/>
        <w:ind w:firstLineChars="200" w:firstLine="420"/>
        <w:rPr>
          <w:szCs w:val="21"/>
        </w:rPr>
      </w:pPr>
      <w:r>
        <w:rPr>
          <w:szCs w:val="21"/>
        </w:rPr>
        <w:t>2</w:t>
      </w:r>
      <w:r>
        <w:rPr>
          <w:rFonts w:hint="eastAsia"/>
          <w:szCs w:val="21"/>
        </w:rPr>
        <w:t>、基金管理人、基金托管人职责终止，在</w:t>
      </w:r>
      <w:r>
        <w:rPr>
          <w:szCs w:val="21"/>
        </w:rPr>
        <w:t>6</w:t>
      </w:r>
      <w:r>
        <w:rPr>
          <w:rFonts w:hint="eastAsia"/>
          <w:szCs w:val="21"/>
        </w:rPr>
        <w:t>个月内没有新基金管理人、新基金托管人承接的；</w:t>
      </w:r>
    </w:p>
    <w:p w:rsidR="008711D3" w:rsidRDefault="004479D9">
      <w:pPr>
        <w:spacing w:line="360" w:lineRule="auto"/>
        <w:ind w:firstLineChars="200" w:firstLine="420"/>
        <w:rPr>
          <w:szCs w:val="21"/>
        </w:rPr>
      </w:pPr>
      <w:r>
        <w:rPr>
          <w:szCs w:val="21"/>
        </w:rPr>
        <w:t>3</w:t>
      </w:r>
      <w:r>
        <w:rPr>
          <w:rFonts w:hint="eastAsia"/>
          <w:szCs w:val="21"/>
        </w:rPr>
        <w:t>、基金合同约定的其他情形；</w:t>
      </w:r>
    </w:p>
    <w:p w:rsidR="008711D3" w:rsidRDefault="004479D9">
      <w:pPr>
        <w:spacing w:line="360" w:lineRule="auto"/>
        <w:ind w:firstLineChars="200" w:firstLine="420"/>
        <w:rPr>
          <w:szCs w:val="21"/>
        </w:rPr>
      </w:pPr>
      <w:r>
        <w:rPr>
          <w:szCs w:val="21"/>
        </w:rPr>
        <w:t>4</w:t>
      </w:r>
      <w:r>
        <w:rPr>
          <w:rFonts w:hint="eastAsia"/>
          <w:szCs w:val="21"/>
        </w:rPr>
        <w:t>、相关法律法规和中国证监会规定的其他情况。</w:t>
      </w:r>
    </w:p>
    <w:p w:rsidR="008711D3" w:rsidRDefault="004479D9">
      <w:pPr>
        <w:spacing w:line="360" w:lineRule="auto"/>
        <w:ind w:firstLineChars="200" w:firstLine="422"/>
        <w:rPr>
          <w:b/>
          <w:szCs w:val="21"/>
        </w:rPr>
      </w:pPr>
      <w:r>
        <w:rPr>
          <w:rFonts w:hint="eastAsia"/>
          <w:b/>
          <w:szCs w:val="21"/>
        </w:rPr>
        <w:t>（三）基金财产的清算</w:t>
      </w:r>
    </w:p>
    <w:p w:rsidR="008711D3" w:rsidRDefault="004479D9">
      <w:pPr>
        <w:spacing w:line="360" w:lineRule="auto"/>
        <w:ind w:firstLineChars="200" w:firstLine="420"/>
        <w:rPr>
          <w:szCs w:val="21"/>
        </w:rPr>
      </w:pPr>
      <w:r>
        <w:rPr>
          <w:szCs w:val="21"/>
        </w:rPr>
        <w:t>1</w:t>
      </w:r>
      <w:r>
        <w:rPr>
          <w:rFonts w:hint="eastAsia"/>
          <w:szCs w:val="21"/>
        </w:rPr>
        <w:t>、基金财产清算小组：自出现基金合同的终止事由之日起</w:t>
      </w:r>
      <w:r>
        <w:rPr>
          <w:szCs w:val="21"/>
        </w:rPr>
        <w:t>30</w:t>
      </w:r>
      <w:r>
        <w:rPr>
          <w:rFonts w:hint="eastAsia"/>
          <w:szCs w:val="21"/>
        </w:rPr>
        <w:t>个工作日内成立清算小组，基金管理人组织基金财产清算小组并在中国证监会的监督下进行基金清算。</w:t>
      </w:r>
    </w:p>
    <w:p w:rsidR="008711D3" w:rsidRDefault="004479D9">
      <w:pPr>
        <w:spacing w:line="360" w:lineRule="auto"/>
        <w:ind w:firstLineChars="200" w:firstLine="420"/>
        <w:rPr>
          <w:szCs w:val="21"/>
        </w:rPr>
      </w:pPr>
      <w:r>
        <w:rPr>
          <w:kern w:val="0"/>
          <w:szCs w:val="21"/>
        </w:rPr>
        <w:t>2</w:t>
      </w:r>
      <w:r>
        <w:rPr>
          <w:rFonts w:hint="eastAsia"/>
          <w:kern w:val="0"/>
          <w:szCs w:val="21"/>
        </w:rPr>
        <w:t>、在基金财产清算小组接管基金财产之前，基金管理人和基金托管人应按照基金合同和托管协议的规定继续履行保护基金财产安全的职责。</w:t>
      </w:r>
    </w:p>
    <w:p w:rsidR="008711D3" w:rsidRDefault="004479D9">
      <w:pPr>
        <w:spacing w:line="360" w:lineRule="auto"/>
        <w:ind w:firstLineChars="200" w:firstLine="420"/>
        <w:rPr>
          <w:szCs w:val="21"/>
        </w:rPr>
      </w:pPr>
      <w:r>
        <w:rPr>
          <w:szCs w:val="21"/>
        </w:rPr>
        <w:t>3</w:t>
      </w:r>
      <w:r>
        <w:rPr>
          <w:rFonts w:hint="eastAsia"/>
          <w:szCs w:val="21"/>
        </w:rPr>
        <w:t>、基金财产清算小组组成：基金财产清算小组成员由基金管理人、基金托管人、符合</w:t>
      </w:r>
      <w:r>
        <w:rPr>
          <w:rFonts w:hint="eastAsia"/>
          <w:bCs/>
          <w:szCs w:val="21"/>
        </w:rPr>
        <w:t>《中华人民共和国证券法》</w:t>
      </w:r>
      <w:r>
        <w:rPr>
          <w:rFonts w:hint="eastAsia"/>
          <w:szCs w:val="21"/>
        </w:rPr>
        <w:t>规定的注册会计师、律师组成。基金财产清算小组可以聘用必要的工作人员。</w:t>
      </w:r>
    </w:p>
    <w:p w:rsidR="008711D3" w:rsidRDefault="004479D9">
      <w:pPr>
        <w:spacing w:line="360" w:lineRule="auto"/>
        <w:ind w:firstLineChars="200" w:firstLine="420"/>
        <w:rPr>
          <w:szCs w:val="21"/>
        </w:rPr>
      </w:pPr>
      <w:r>
        <w:rPr>
          <w:szCs w:val="21"/>
        </w:rPr>
        <w:t>4</w:t>
      </w:r>
      <w:r>
        <w:rPr>
          <w:rFonts w:hint="eastAsia"/>
          <w:szCs w:val="21"/>
        </w:rPr>
        <w:t>、基金财产清算小组职责：基金财产清算小组负责基金财产的保管、清理、估价、变现和分配。基金财产清算小组可以依法进行必要的民事活动。</w:t>
      </w:r>
    </w:p>
    <w:p w:rsidR="008711D3" w:rsidRDefault="004479D9">
      <w:pPr>
        <w:spacing w:line="360" w:lineRule="auto"/>
        <w:ind w:firstLineChars="200" w:firstLine="420"/>
        <w:rPr>
          <w:szCs w:val="21"/>
        </w:rPr>
      </w:pPr>
      <w:r>
        <w:rPr>
          <w:szCs w:val="21"/>
        </w:rPr>
        <w:t>5</w:t>
      </w:r>
      <w:r>
        <w:rPr>
          <w:rFonts w:hint="eastAsia"/>
          <w:szCs w:val="21"/>
        </w:rPr>
        <w:t>、基金财产清算程序：</w:t>
      </w:r>
    </w:p>
    <w:p w:rsidR="008711D3" w:rsidRDefault="004479D9">
      <w:pPr>
        <w:spacing w:line="360" w:lineRule="auto"/>
        <w:ind w:firstLineChars="200" w:firstLine="420"/>
        <w:rPr>
          <w:szCs w:val="21"/>
        </w:rPr>
      </w:pPr>
      <w:r>
        <w:rPr>
          <w:rFonts w:hint="eastAsia"/>
          <w:szCs w:val="21"/>
        </w:rPr>
        <w:t>（</w:t>
      </w:r>
      <w:r>
        <w:rPr>
          <w:szCs w:val="21"/>
        </w:rPr>
        <w:t>1</w:t>
      </w:r>
      <w:r>
        <w:rPr>
          <w:rFonts w:hint="eastAsia"/>
          <w:szCs w:val="21"/>
        </w:rPr>
        <w:t>）基金财产清算小组成立后，由基金财产清算小组统一接管基金；</w:t>
      </w:r>
    </w:p>
    <w:p w:rsidR="008711D3" w:rsidRDefault="004479D9">
      <w:pPr>
        <w:spacing w:line="360" w:lineRule="auto"/>
        <w:ind w:firstLineChars="200" w:firstLine="420"/>
        <w:rPr>
          <w:szCs w:val="21"/>
        </w:rPr>
      </w:pPr>
      <w:r>
        <w:rPr>
          <w:rFonts w:hint="eastAsia"/>
          <w:szCs w:val="21"/>
        </w:rPr>
        <w:t>（</w:t>
      </w:r>
      <w:r>
        <w:rPr>
          <w:szCs w:val="21"/>
        </w:rPr>
        <w:t>2</w:t>
      </w:r>
      <w:r>
        <w:rPr>
          <w:rFonts w:hint="eastAsia"/>
          <w:szCs w:val="21"/>
        </w:rPr>
        <w:t>）对基金财产和债权债务进行清理和确认；</w:t>
      </w:r>
    </w:p>
    <w:p w:rsidR="008711D3" w:rsidRDefault="004479D9">
      <w:pPr>
        <w:spacing w:line="360" w:lineRule="auto"/>
        <w:ind w:firstLineChars="200" w:firstLine="420"/>
        <w:rPr>
          <w:szCs w:val="21"/>
        </w:rPr>
      </w:pPr>
      <w:r>
        <w:rPr>
          <w:rFonts w:hint="eastAsia"/>
          <w:szCs w:val="21"/>
        </w:rPr>
        <w:t>（</w:t>
      </w:r>
      <w:r>
        <w:rPr>
          <w:szCs w:val="21"/>
        </w:rPr>
        <w:t>3</w:t>
      </w:r>
      <w:r>
        <w:rPr>
          <w:rFonts w:hint="eastAsia"/>
          <w:szCs w:val="21"/>
        </w:rPr>
        <w:t>）对基金财产进行估值和变现；</w:t>
      </w:r>
    </w:p>
    <w:p w:rsidR="008711D3" w:rsidRDefault="004479D9">
      <w:pPr>
        <w:spacing w:line="360" w:lineRule="auto"/>
        <w:ind w:firstLineChars="200" w:firstLine="420"/>
        <w:rPr>
          <w:szCs w:val="21"/>
        </w:rPr>
      </w:pPr>
      <w:r>
        <w:rPr>
          <w:rFonts w:hint="eastAsia"/>
          <w:szCs w:val="21"/>
        </w:rPr>
        <w:lastRenderedPageBreak/>
        <w:t>（</w:t>
      </w:r>
      <w:r>
        <w:rPr>
          <w:szCs w:val="21"/>
        </w:rPr>
        <w:t>4</w:t>
      </w:r>
      <w:r>
        <w:rPr>
          <w:rFonts w:hint="eastAsia"/>
          <w:szCs w:val="21"/>
        </w:rPr>
        <w:t>）制作清算报告；</w:t>
      </w:r>
    </w:p>
    <w:p w:rsidR="008711D3" w:rsidRDefault="004479D9">
      <w:pPr>
        <w:spacing w:line="360" w:lineRule="auto"/>
        <w:ind w:firstLineChars="200" w:firstLine="420"/>
        <w:rPr>
          <w:szCs w:val="21"/>
        </w:rPr>
      </w:pPr>
      <w:r>
        <w:rPr>
          <w:rFonts w:hint="eastAsia"/>
          <w:szCs w:val="21"/>
        </w:rPr>
        <w:t>（</w:t>
      </w:r>
      <w:r>
        <w:rPr>
          <w:szCs w:val="21"/>
        </w:rPr>
        <w:t>5</w:t>
      </w:r>
      <w:r>
        <w:rPr>
          <w:rFonts w:hint="eastAsia"/>
          <w:szCs w:val="21"/>
        </w:rPr>
        <w:t>）聘请会计师事务所对清算报告进行外部审计，聘请律师事务所对清算报告出具法律意见书；</w:t>
      </w:r>
    </w:p>
    <w:p w:rsidR="008711D3" w:rsidRDefault="004479D9">
      <w:pPr>
        <w:spacing w:line="360" w:lineRule="auto"/>
        <w:ind w:firstLineChars="200" w:firstLine="420"/>
        <w:rPr>
          <w:szCs w:val="21"/>
        </w:rPr>
      </w:pPr>
      <w:r>
        <w:rPr>
          <w:rFonts w:hint="eastAsia"/>
          <w:szCs w:val="21"/>
        </w:rPr>
        <w:t>（</w:t>
      </w:r>
      <w:r>
        <w:rPr>
          <w:szCs w:val="21"/>
        </w:rPr>
        <w:t>6</w:t>
      </w:r>
      <w:r>
        <w:rPr>
          <w:rFonts w:hint="eastAsia"/>
          <w:szCs w:val="21"/>
        </w:rPr>
        <w:t>）将清算报告报中国证监会备案并公告；</w:t>
      </w:r>
    </w:p>
    <w:p w:rsidR="008711D3" w:rsidRDefault="004479D9">
      <w:pPr>
        <w:spacing w:line="360" w:lineRule="auto"/>
        <w:ind w:firstLineChars="200" w:firstLine="420"/>
        <w:rPr>
          <w:szCs w:val="21"/>
        </w:rPr>
      </w:pPr>
      <w:r>
        <w:rPr>
          <w:rFonts w:hint="eastAsia"/>
          <w:szCs w:val="21"/>
        </w:rPr>
        <w:t>（</w:t>
      </w:r>
      <w:r>
        <w:rPr>
          <w:szCs w:val="21"/>
        </w:rPr>
        <w:t>7</w:t>
      </w:r>
      <w:r>
        <w:rPr>
          <w:rFonts w:hint="eastAsia"/>
          <w:szCs w:val="21"/>
        </w:rPr>
        <w:t>）对基金剩余财产进行分配。</w:t>
      </w:r>
    </w:p>
    <w:p w:rsidR="008711D3" w:rsidRDefault="004479D9">
      <w:pPr>
        <w:spacing w:line="360" w:lineRule="auto"/>
        <w:ind w:firstLineChars="200" w:firstLine="420"/>
        <w:rPr>
          <w:szCs w:val="21"/>
        </w:rPr>
      </w:pPr>
      <w:r>
        <w:rPr>
          <w:szCs w:val="21"/>
        </w:rPr>
        <w:t>6</w:t>
      </w:r>
      <w:r>
        <w:rPr>
          <w:rFonts w:hint="eastAsia"/>
          <w:szCs w:val="21"/>
        </w:rPr>
        <w:t>、基金财产清算的期限为</w:t>
      </w:r>
      <w:r>
        <w:rPr>
          <w:szCs w:val="21"/>
        </w:rPr>
        <w:t>6</w:t>
      </w:r>
      <w:r>
        <w:rPr>
          <w:rFonts w:hint="eastAsia"/>
          <w:szCs w:val="21"/>
        </w:rPr>
        <w:t>个月，但因本基金所持证券的流动性受到限制而不能及时变现、结算保证金相关规定等客观因素，清算期限相应顺延。</w:t>
      </w:r>
    </w:p>
    <w:p w:rsidR="008711D3" w:rsidRDefault="004479D9">
      <w:pPr>
        <w:spacing w:line="360" w:lineRule="auto"/>
        <w:ind w:firstLineChars="200" w:firstLine="422"/>
        <w:rPr>
          <w:b/>
          <w:szCs w:val="21"/>
        </w:rPr>
      </w:pPr>
      <w:r>
        <w:rPr>
          <w:rFonts w:hint="eastAsia"/>
          <w:b/>
          <w:szCs w:val="21"/>
        </w:rPr>
        <w:t>（四）清算费用</w:t>
      </w:r>
    </w:p>
    <w:p w:rsidR="008711D3" w:rsidRDefault="004479D9">
      <w:pPr>
        <w:spacing w:line="360" w:lineRule="auto"/>
        <w:ind w:firstLineChars="200" w:firstLine="420"/>
        <w:rPr>
          <w:szCs w:val="21"/>
        </w:rPr>
      </w:pPr>
      <w:r>
        <w:rPr>
          <w:rFonts w:hint="eastAsia"/>
          <w:szCs w:val="21"/>
        </w:rPr>
        <w:t>清算费用是指基金财产清算小组在进行基金清算过程中发生的所有合理费用，清算费用由基金财产清算小组优先从基金财产中支付。</w:t>
      </w:r>
    </w:p>
    <w:p w:rsidR="008711D3" w:rsidRDefault="004479D9">
      <w:pPr>
        <w:spacing w:line="360" w:lineRule="auto"/>
        <w:ind w:firstLineChars="200" w:firstLine="422"/>
        <w:rPr>
          <w:b/>
          <w:szCs w:val="21"/>
        </w:rPr>
      </w:pPr>
      <w:r>
        <w:rPr>
          <w:rFonts w:hint="eastAsia"/>
          <w:b/>
          <w:szCs w:val="21"/>
        </w:rPr>
        <w:t>（五）基金财产清算剩余资产的分配</w:t>
      </w:r>
    </w:p>
    <w:p w:rsidR="008711D3" w:rsidRDefault="004479D9">
      <w:pPr>
        <w:spacing w:line="360" w:lineRule="auto"/>
        <w:ind w:firstLineChars="200" w:firstLine="420"/>
        <w:rPr>
          <w:szCs w:val="21"/>
        </w:rPr>
      </w:pPr>
      <w:r>
        <w:rPr>
          <w:rFonts w:hint="eastAsia"/>
          <w:szCs w:val="21"/>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对基金财产清算后本类别基金份额的剩余资产具有同等的分配权。</w:t>
      </w:r>
    </w:p>
    <w:p w:rsidR="008711D3" w:rsidRDefault="004479D9">
      <w:pPr>
        <w:spacing w:line="360" w:lineRule="auto"/>
        <w:ind w:firstLineChars="200" w:firstLine="422"/>
        <w:rPr>
          <w:b/>
          <w:szCs w:val="21"/>
        </w:rPr>
      </w:pPr>
      <w:r>
        <w:rPr>
          <w:rFonts w:hint="eastAsia"/>
          <w:b/>
          <w:szCs w:val="21"/>
        </w:rPr>
        <w:t>（六）基金财产清算的公告</w:t>
      </w:r>
    </w:p>
    <w:p w:rsidR="008711D3" w:rsidRDefault="004479D9">
      <w:pPr>
        <w:spacing w:line="360" w:lineRule="auto"/>
        <w:ind w:firstLineChars="200" w:firstLine="420"/>
        <w:rPr>
          <w:szCs w:val="21"/>
        </w:rPr>
      </w:pPr>
      <w:r>
        <w:rPr>
          <w:rFonts w:hint="eastAsia"/>
          <w:szCs w:val="21"/>
        </w:rPr>
        <w:t>清算过程中的有关重大事项应及时公告；基金财产清算报告经符合</w:t>
      </w:r>
      <w:r>
        <w:rPr>
          <w:rFonts w:hint="eastAsia"/>
          <w:bCs/>
          <w:szCs w:val="21"/>
        </w:rPr>
        <w:t>《中华人民共和国证券法》</w:t>
      </w:r>
      <w:r>
        <w:rPr>
          <w:rFonts w:hint="eastAsia"/>
          <w:szCs w:val="21"/>
        </w:rPr>
        <w:t>规定的会计师事务所审计并由律师事务所出具法律意见书后报中国证监会备案并公告。基金财产清算报告报中国证监会备案后按照《信息披露办法》的规定由基金财产清算小组进行公告。</w:t>
      </w:r>
    </w:p>
    <w:p w:rsidR="008711D3" w:rsidRDefault="004479D9">
      <w:pPr>
        <w:spacing w:line="360" w:lineRule="auto"/>
        <w:ind w:firstLineChars="200" w:firstLine="422"/>
        <w:rPr>
          <w:b/>
          <w:szCs w:val="21"/>
        </w:rPr>
      </w:pPr>
      <w:r>
        <w:rPr>
          <w:rFonts w:hint="eastAsia"/>
          <w:b/>
          <w:szCs w:val="21"/>
        </w:rPr>
        <w:t>（七）基金财产清算账册及文件的保存</w:t>
      </w:r>
    </w:p>
    <w:p w:rsidR="008711D3" w:rsidRDefault="004479D9">
      <w:pPr>
        <w:spacing w:line="360" w:lineRule="auto"/>
        <w:ind w:firstLineChars="200" w:firstLine="420"/>
        <w:rPr>
          <w:szCs w:val="21"/>
        </w:rPr>
      </w:pPr>
      <w:r>
        <w:rPr>
          <w:rFonts w:hint="eastAsia"/>
          <w:szCs w:val="21"/>
        </w:rPr>
        <w:t>基金财产清算账册及有关文件由基金托管人保存，保存期限不低于法律法规规定的最低年限。</w:t>
      </w:r>
    </w:p>
    <w:p w:rsidR="008711D3" w:rsidRDefault="008711D3">
      <w:pPr>
        <w:spacing w:line="360" w:lineRule="auto"/>
        <w:ind w:firstLineChars="200" w:firstLine="420"/>
        <w:rPr>
          <w:bCs/>
          <w:szCs w:val="21"/>
        </w:rPr>
      </w:pPr>
    </w:p>
    <w:p w:rsidR="008711D3" w:rsidRDefault="008711D3">
      <w:pPr>
        <w:spacing w:line="360" w:lineRule="auto"/>
        <w:ind w:firstLineChars="200" w:firstLine="420"/>
        <w:rPr>
          <w:rFonts w:ascii="宋体" w:hAnsi="宋体"/>
          <w:bCs/>
          <w:szCs w:val="21"/>
        </w:rPr>
      </w:pPr>
    </w:p>
    <w:p w:rsidR="008711D3" w:rsidRDefault="004479D9">
      <w:pPr>
        <w:pStyle w:val="1"/>
        <w:spacing w:before="0" w:after="330"/>
        <w:jc w:val="center"/>
        <w:rPr>
          <w:rFonts w:hAnsi="宋体"/>
          <w:bCs/>
          <w:szCs w:val="21"/>
        </w:rPr>
      </w:pPr>
      <w:r>
        <w:rPr>
          <w:rFonts w:hAnsi="宋体"/>
          <w:bCs/>
          <w:szCs w:val="21"/>
        </w:rPr>
        <w:br w:type="page"/>
      </w:r>
    </w:p>
    <w:p w:rsidR="008711D3" w:rsidRDefault="004479D9">
      <w:pPr>
        <w:pStyle w:val="1"/>
        <w:spacing w:before="0" w:after="330"/>
        <w:jc w:val="center"/>
        <w:rPr>
          <w:rFonts w:hAnsi="宋体"/>
          <w:bCs/>
          <w:color w:val="auto"/>
          <w:kern w:val="44"/>
          <w:sz w:val="21"/>
          <w:szCs w:val="21"/>
        </w:rPr>
      </w:pPr>
      <w:bookmarkStart w:id="131" w:name="_Toc71748077"/>
      <w:bookmarkEnd w:id="125"/>
      <w:r>
        <w:rPr>
          <w:rFonts w:hAnsi="宋体" w:hint="eastAsia"/>
          <w:bCs/>
          <w:color w:val="auto"/>
          <w:kern w:val="44"/>
          <w:sz w:val="21"/>
          <w:szCs w:val="21"/>
        </w:rPr>
        <w:lastRenderedPageBreak/>
        <w:t>十</w:t>
      </w:r>
      <w:r>
        <w:rPr>
          <w:rFonts w:hAnsi="宋体"/>
          <w:bCs/>
          <w:color w:val="auto"/>
          <w:kern w:val="44"/>
          <w:sz w:val="21"/>
          <w:szCs w:val="21"/>
        </w:rPr>
        <w:t>九</w:t>
      </w:r>
      <w:r>
        <w:rPr>
          <w:rFonts w:hAnsi="宋体" w:hint="eastAsia"/>
          <w:bCs/>
          <w:color w:val="auto"/>
          <w:kern w:val="44"/>
          <w:sz w:val="21"/>
          <w:szCs w:val="21"/>
        </w:rPr>
        <w:t>、基金合同的内容摘要</w:t>
      </w:r>
      <w:bookmarkEnd w:id="126"/>
      <w:bookmarkEnd w:id="127"/>
      <w:bookmarkEnd w:id="128"/>
      <w:bookmarkEnd w:id="131"/>
    </w:p>
    <w:p w:rsidR="008711D3" w:rsidRDefault="004479D9">
      <w:pPr>
        <w:spacing w:line="360" w:lineRule="auto"/>
        <w:rPr>
          <w:rFonts w:ascii="宋体" w:hAnsi="宋体"/>
          <w:b/>
          <w:bCs/>
          <w:szCs w:val="21"/>
        </w:rPr>
      </w:pPr>
      <w:bookmarkStart w:id="132" w:name="_Toc329187129"/>
      <w:bookmarkStart w:id="133" w:name="_Toc334542652"/>
      <w:bookmarkStart w:id="134" w:name="_Toc334542968"/>
      <w:r>
        <w:rPr>
          <w:rFonts w:ascii="宋体" w:hAnsi="宋体" w:hint="eastAsia"/>
          <w:b/>
          <w:bCs/>
          <w:szCs w:val="21"/>
        </w:rPr>
        <w:t>（一）基金合同当事人及权利义务</w:t>
      </w:r>
    </w:p>
    <w:p w:rsidR="008711D3" w:rsidRDefault="004479D9">
      <w:pPr>
        <w:spacing w:line="360" w:lineRule="auto"/>
        <w:ind w:firstLineChars="200" w:firstLine="420"/>
        <w:rPr>
          <w:rFonts w:ascii="宋体" w:hAnsi="宋体"/>
          <w:bCs/>
          <w:szCs w:val="21"/>
        </w:rPr>
      </w:pPr>
      <w:r>
        <w:rPr>
          <w:rFonts w:ascii="宋体" w:hAnsi="宋体" w:hint="eastAsia"/>
          <w:szCs w:val="21"/>
        </w:rPr>
        <w:t>A.</w:t>
      </w:r>
      <w:r>
        <w:rPr>
          <w:rFonts w:ascii="宋体" w:hAnsi="宋体" w:hint="eastAsia"/>
          <w:bCs/>
          <w:szCs w:val="21"/>
        </w:rPr>
        <w:t>基金份额持有人的权利和义务</w:t>
      </w:r>
    </w:p>
    <w:p w:rsidR="008711D3" w:rsidRDefault="004479D9">
      <w:pPr>
        <w:spacing w:line="360" w:lineRule="auto"/>
        <w:ind w:firstLineChars="200" w:firstLine="420"/>
        <w:rPr>
          <w:szCs w:val="21"/>
        </w:rPr>
      </w:pPr>
      <w:r>
        <w:rPr>
          <w:rFonts w:hint="eastAsia"/>
          <w:szCs w:val="21"/>
        </w:rPr>
        <w:t>基金投资者持有本基金</w:t>
      </w:r>
      <w:bookmarkStart w:id="135" w:name="_Hlt88899909"/>
      <w:bookmarkEnd w:id="135"/>
      <w:r>
        <w:rPr>
          <w:rFonts w:hint="eastAsia"/>
          <w:szCs w:val="21"/>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8711D3" w:rsidRDefault="004479D9">
      <w:pPr>
        <w:spacing w:line="360" w:lineRule="auto"/>
        <w:ind w:firstLineChars="200" w:firstLine="420"/>
        <w:rPr>
          <w:szCs w:val="21"/>
        </w:rPr>
      </w:pPr>
      <w:r>
        <w:rPr>
          <w:rFonts w:hint="eastAsia"/>
          <w:szCs w:val="21"/>
        </w:rPr>
        <w:t>同一类别的每份基金份额具有同等的合法权益。</w:t>
      </w:r>
    </w:p>
    <w:p w:rsidR="008711D3" w:rsidRDefault="004479D9">
      <w:pPr>
        <w:spacing w:line="360" w:lineRule="auto"/>
        <w:ind w:firstLineChars="200" w:firstLine="420"/>
        <w:rPr>
          <w:szCs w:val="21"/>
        </w:rPr>
      </w:pPr>
      <w:r>
        <w:rPr>
          <w:szCs w:val="21"/>
        </w:rPr>
        <w:t>1</w:t>
      </w:r>
      <w:r>
        <w:rPr>
          <w:rFonts w:hint="eastAsia"/>
          <w:szCs w:val="21"/>
        </w:rPr>
        <w:t>、根据《基金法》、《运作办法》及其他有关规定，基金份额持有人的权利包括但不限于：</w:t>
      </w:r>
    </w:p>
    <w:p w:rsidR="008711D3" w:rsidRDefault="004479D9">
      <w:pPr>
        <w:spacing w:line="360" w:lineRule="auto"/>
        <w:ind w:firstLineChars="200" w:firstLine="420"/>
        <w:rPr>
          <w:szCs w:val="21"/>
        </w:rPr>
      </w:pPr>
      <w:r>
        <w:rPr>
          <w:rFonts w:hint="eastAsia"/>
          <w:szCs w:val="21"/>
        </w:rPr>
        <w:t>（</w:t>
      </w:r>
      <w:r>
        <w:rPr>
          <w:szCs w:val="21"/>
        </w:rPr>
        <w:t>1</w:t>
      </w:r>
      <w:r>
        <w:rPr>
          <w:rFonts w:hint="eastAsia"/>
          <w:szCs w:val="21"/>
        </w:rPr>
        <w:t>）分享基金财产收益；</w:t>
      </w:r>
    </w:p>
    <w:p w:rsidR="008711D3" w:rsidRDefault="004479D9">
      <w:pPr>
        <w:spacing w:line="360" w:lineRule="auto"/>
        <w:ind w:firstLineChars="200" w:firstLine="420"/>
        <w:rPr>
          <w:szCs w:val="21"/>
        </w:rPr>
      </w:pPr>
      <w:r>
        <w:rPr>
          <w:rFonts w:hint="eastAsia"/>
          <w:szCs w:val="21"/>
        </w:rPr>
        <w:t>（</w:t>
      </w:r>
      <w:r>
        <w:rPr>
          <w:szCs w:val="21"/>
        </w:rPr>
        <w:t>2</w:t>
      </w:r>
      <w:r>
        <w:rPr>
          <w:rFonts w:hint="eastAsia"/>
          <w:szCs w:val="21"/>
        </w:rPr>
        <w:t>）参与分配清算后的剩余基金财产；</w:t>
      </w:r>
      <w:bookmarkStart w:id="136" w:name="_Hlt88825574"/>
      <w:bookmarkEnd w:id="136"/>
    </w:p>
    <w:p w:rsidR="008711D3" w:rsidRDefault="004479D9">
      <w:pPr>
        <w:spacing w:line="360" w:lineRule="auto"/>
        <w:ind w:firstLineChars="200" w:firstLine="420"/>
        <w:rPr>
          <w:szCs w:val="21"/>
        </w:rPr>
      </w:pPr>
      <w:r>
        <w:rPr>
          <w:rFonts w:hint="eastAsia"/>
          <w:szCs w:val="21"/>
        </w:rPr>
        <w:t>（</w:t>
      </w:r>
      <w:r>
        <w:rPr>
          <w:szCs w:val="21"/>
        </w:rPr>
        <w:t>3</w:t>
      </w:r>
      <w:r>
        <w:rPr>
          <w:rFonts w:hint="eastAsia"/>
          <w:szCs w:val="21"/>
        </w:rPr>
        <w:t>）依法转让或者申请赎回其持有的基金份额；</w:t>
      </w:r>
    </w:p>
    <w:p w:rsidR="008711D3" w:rsidRDefault="004479D9">
      <w:pPr>
        <w:spacing w:line="360" w:lineRule="auto"/>
        <w:ind w:firstLineChars="200" w:firstLine="420"/>
        <w:rPr>
          <w:szCs w:val="21"/>
        </w:rPr>
      </w:pPr>
      <w:r>
        <w:rPr>
          <w:rFonts w:hint="eastAsia"/>
          <w:szCs w:val="21"/>
        </w:rPr>
        <w:t>（</w:t>
      </w:r>
      <w:r>
        <w:rPr>
          <w:szCs w:val="21"/>
        </w:rPr>
        <w:t>4</w:t>
      </w:r>
      <w:r>
        <w:rPr>
          <w:rFonts w:hint="eastAsia"/>
          <w:szCs w:val="21"/>
        </w:rPr>
        <w:t>）按照规定要求召开基金份额持有人大会或者召集基金份额持有人大会；</w:t>
      </w:r>
    </w:p>
    <w:p w:rsidR="008711D3" w:rsidRDefault="004479D9">
      <w:pPr>
        <w:spacing w:line="360" w:lineRule="auto"/>
        <w:ind w:firstLineChars="200" w:firstLine="420"/>
        <w:rPr>
          <w:szCs w:val="21"/>
        </w:rPr>
      </w:pPr>
      <w:r>
        <w:rPr>
          <w:rFonts w:hint="eastAsia"/>
          <w:szCs w:val="21"/>
        </w:rPr>
        <w:t>（</w:t>
      </w:r>
      <w:r>
        <w:rPr>
          <w:szCs w:val="21"/>
        </w:rPr>
        <w:t>5</w:t>
      </w:r>
      <w:r>
        <w:rPr>
          <w:rFonts w:hint="eastAsia"/>
          <w:szCs w:val="21"/>
        </w:rPr>
        <w:t>）出席或者委派代表出席基金份额持有人大会，对基金份额持有人大会审议事项行使表决权；</w:t>
      </w:r>
    </w:p>
    <w:p w:rsidR="008711D3" w:rsidRDefault="004479D9">
      <w:pPr>
        <w:spacing w:line="360" w:lineRule="auto"/>
        <w:ind w:firstLineChars="200" w:firstLine="420"/>
        <w:rPr>
          <w:szCs w:val="21"/>
        </w:rPr>
      </w:pPr>
      <w:r>
        <w:rPr>
          <w:rFonts w:hint="eastAsia"/>
          <w:szCs w:val="21"/>
        </w:rPr>
        <w:t>（</w:t>
      </w:r>
      <w:r>
        <w:rPr>
          <w:szCs w:val="21"/>
        </w:rPr>
        <w:t>6</w:t>
      </w:r>
      <w:r>
        <w:rPr>
          <w:rFonts w:hint="eastAsia"/>
          <w:szCs w:val="21"/>
        </w:rPr>
        <w:t>）查阅或者复制公开披露的基金信息资料；</w:t>
      </w:r>
    </w:p>
    <w:p w:rsidR="008711D3" w:rsidRDefault="004479D9">
      <w:pPr>
        <w:spacing w:line="360" w:lineRule="auto"/>
        <w:ind w:firstLineChars="200" w:firstLine="420"/>
        <w:rPr>
          <w:szCs w:val="21"/>
        </w:rPr>
      </w:pPr>
      <w:r>
        <w:rPr>
          <w:rFonts w:hint="eastAsia"/>
          <w:szCs w:val="21"/>
        </w:rPr>
        <w:t>（</w:t>
      </w:r>
      <w:r>
        <w:rPr>
          <w:szCs w:val="21"/>
        </w:rPr>
        <w:t>7</w:t>
      </w:r>
      <w:r>
        <w:rPr>
          <w:rFonts w:hint="eastAsia"/>
          <w:szCs w:val="21"/>
        </w:rPr>
        <w:t>）监督基金管理人的投资运作；</w:t>
      </w:r>
    </w:p>
    <w:p w:rsidR="008711D3" w:rsidRDefault="004479D9">
      <w:pPr>
        <w:spacing w:line="360" w:lineRule="auto"/>
        <w:ind w:firstLineChars="200" w:firstLine="420"/>
        <w:rPr>
          <w:szCs w:val="21"/>
        </w:rPr>
      </w:pPr>
      <w:r>
        <w:rPr>
          <w:rFonts w:hint="eastAsia"/>
          <w:szCs w:val="21"/>
        </w:rPr>
        <w:t>（</w:t>
      </w:r>
      <w:r>
        <w:rPr>
          <w:szCs w:val="21"/>
        </w:rPr>
        <w:t>8</w:t>
      </w:r>
      <w:r>
        <w:rPr>
          <w:rFonts w:hint="eastAsia"/>
          <w:szCs w:val="21"/>
        </w:rPr>
        <w:t>）对基金管理人、基金托管人损害其合法权益的行为依法提起仲裁；</w:t>
      </w:r>
    </w:p>
    <w:p w:rsidR="008711D3" w:rsidRDefault="004479D9">
      <w:pPr>
        <w:spacing w:line="360" w:lineRule="auto"/>
        <w:ind w:firstLineChars="200" w:firstLine="420"/>
        <w:rPr>
          <w:szCs w:val="21"/>
        </w:rPr>
      </w:pPr>
      <w:r>
        <w:rPr>
          <w:rFonts w:hint="eastAsia"/>
          <w:szCs w:val="21"/>
        </w:rPr>
        <w:t>（</w:t>
      </w:r>
      <w:r>
        <w:rPr>
          <w:szCs w:val="21"/>
        </w:rPr>
        <w:t>9</w:t>
      </w:r>
      <w:r>
        <w:rPr>
          <w:rFonts w:hint="eastAsia"/>
          <w:szCs w:val="21"/>
        </w:rPr>
        <w:t>）法律法规或中国证监会或基金合同规定的其他权利。</w:t>
      </w:r>
    </w:p>
    <w:p w:rsidR="008711D3" w:rsidRDefault="004479D9">
      <w:pPr>
        <w:spacing w:line="360" w:lineRule="auto"/>
        <w:ind w:firstLineChars="200" w:firstLine="420"/>
        <w:rPr>
          <w:szCs w:val="21"/>
        </w:rPr>
      </w:pPr>
      <w:r>
        <w:rPr>
          <w:szCs w:val="21"/>
        </w:rPr>
        <w:t>2</w:t>
      </w:r>
      <w:r>
        <w:rPr>
          <w:rFonts w:hint="eastAsia"/>
          <w:szCs w:val="21"/>
        </w:rPr>
        <w:t>、根据《基金法》、《运作办法》及其他有关规定，基金份额持有人的义务包括但不限于：</w:t>
      </w:r>
    </w:p>
    <w:p w:rsidR="008711D3" w:rsidRDefault="004479D9">
      <w:pPr>
        <w:spacing w:line="360" w:lineRule="auto"/>
        <w:ind w:firstLineChars="200" w:firstLine="420"/>
        <w:rPr>
          <w:szCs w:val="21"/>
        </w:rPr>
      </w:pPr>
      <w:r>
        <w:rPr>
          <w:rFonts w:hint="eastAsia"/>
          <w:szCs w:val="21"/>
        </w:rPr>
        <w:t>（</w:t>
      </w:r>
      <w:r>
        <w:rPr>
          <w:szCs w:val="21"/>
        </w:rPr>
        <w:t>1</w:t>
      </w:r>
      <w:r>
        <w:rPr>
          <w:rFonts w:hint="eastAsia"/>
          <w:szCs w:val="21"/>
        </w:rPr>
        <w:t>）认真阅读并遵守基金合同、招募说明书、基金产品资料概要、业务规则以及基金管理人按照规定就本基金发布的相关公告；</w:t>
      </w:r>
    </w:p>
    <w:p w:rsidR="008711D3" w:rsidRDefault="004479D9">
      <w:pPr>
        <w:spacing w:line="360" w:lineRule="auto"/>
        <w:ind w:firstLineChars="200" w:firstLine="420"/>
        <w:rPr>
          <w:szCs w:val="21"/>
        </w:rPr>
      </w:pPr>
      <w:r>
        <w:rPr>
          <w:rFonts w:hint="eastAsia"/>
          <w:szCs w:val="21"/>
        </w:rPr>
        <w:t>（</w:t>
      </w:r>
      <w:r>
        <w:rPr>
          <w:szCs w:val="21"/>
        </w:rPr>
        <w:t>2</w:t>
      </w:r>
      <w:r>
        <w:rPr>
          <w:rFonts w:hint="eastAsia"/>
          <w:szCs w:val="21"/>
        </w:rPr>
        <w:t>）了解所投资基金产品，了解自身风险承受能力，自主判断基金的投资价值，自主做出投资决策，自行承担投资风险；</w:t>
      </w:r>
    </w:p>
    <w:p w:rsidR="008711D3" w:rsidRDefault="004479D9">
      <w:pPr>
        <w:spacing w:line="360" w:lineRule="auto"/>
        <w:ind w:firstLineChars="200" w:firstLine="420"/>
        <w:rPr>
          <w:szCs w:val="21"/>
        </w:rPr>
      </w:pPr>
      <w:r>
        <w:rPr>
          <w:rFonts w:hint="eastAsia"/>
          <w:szCs w:val="21"/>
        </w:rPr>
        <w:t>（</w:t>
      </w:r>
      <w:r>
        <w:rPr>
          <w:szCs w:val="21"/>
        </w:rPr>
        <w:t>3</w:t>
      </w:r>
      <w:r>
        <w:rPr>
          <w:rFonts w:hint="eastAsia"/>
          <w:szCs w:val="21"/>
        </w:rPr>
        <w:t>）关注基金信息披露，及时行使权利和履行义务；</w:t>
      </w:r>
    </w:p>
    <w:p w:rsidR="008711D3" w:rsidRDefault="004479D9">
      <w:pPr>
        <w:spacing w:line="360" w:lineRule="auto"/>
        <w:ind w:firstLineChars="200" w:firstLine="420"/>
        <w:rPr>
          <w:szCs w:val="21"/>
        </w:rPr>
      </w:pPr>
      <w:r>
        <w:rPr>
          <w:rFonts w:hint="eastAsia"/>
          <w:szCs w:val="21"/>
        </w:rPr>
        <w:t>（</w:t>
      </w:r>
      <w:r>
        <w:rPr>
          <w:szCs w:val="21"/>
        </w:rPr>
        <w:t>4</w:t>
      </w:r>
      <w:r>
        <w:rPr>
          <w:rFonts w:hint="eastAsia"/>
          <w:szCs w:val="21"/>
        </w:rPr>
        <w:t>）交纳基金认购、申购款项及法律法规和基金合同所规定的费用；</w:t>
      </w:r>
    </w:p>
    <w:p w:rsidR="008711D3" w:rsidRDefault="004479D9">
      <w:pPr>
        <w:spacing w:line="360" w:lineRule="auto"/>
        <w:ind w:firstLineChars="200" w:firstLine="420"/>
        <w:rPr>
          <w:szCs w:val="21"/>
        </w:rPr>
      </w:pPr>
      <w:r>
        <w:rPr>
          <w:rFonts w:hint="eastAsia"/>
          <w:szCs w:val="21"/>
        </w:rPr>
        <w:t>（</w:t>
      </w:r>
      <w:r>
        <w:rPr>
          <w:szCs w:val="21"/>
        </w:rPr>
        <w:t>5</w:t>
      </w:r>
      <w:r>
        <w:rPr>
          <w:rFonts w:hint="eastAsia"/>
          <w:szCs w:val="21"/>
        </w:rPr>
        <w:t>）在其持有的基金份额范围内，承担基金亏损或者基金合同终止的有限责任；</w:t>
      </w:r>
    </w:p>
    <w:p w:rsidR="008711D3" w:rsidRDefault="004479D9">
      <w:pPr>
        <w:spacing w:line="360" w:lineRule="auto"/>
        <w:ind w:firstLineChars="200" w:firstLine="420"/>
        <w:rPr>
          <w:szCs w:val="21"/>
        </w:rPr>
      </w:pPr>
      <w:r>
        <w:rPr>
          <w:rFonts w:hint="eastAsia"/>
          <w:szCs w:val="21"/>
        </w:rPr>
        <w:lastRenderedPageBreak/>
        <w:t>（</w:t>
      </w:r>
      <w:r>
        <w:rPr>
          <w:szCs w:val="21"/>
        </w:rPr>
        <w:t>6</w:t>
      </w:r>
      <w:r>
        <w:rPr>
          <w:rFonts w:hint="eastAsia"/>
          <w:szCs w:val="21"/>
        </w:rPr>
        <w:t>）不从事任何有损基金及其他基金合同当事人合法权益的活动；</w:t>
      </w:r>
    </w:p>
    <w:p w:rsidR="008711D3" w:rsidRDefault="004479D9">
      <w:pPr>
        <w:spacing w:line="360" w:lineRule="auto"/>
        <w:ind w:firstLineChars="200" w:firstLine="420"/>
        <w:rPr>
          <w:szCs w:val="21"/>
        </w:rPr>
      </w:pPr>
      <w:r>
        <w:rPr>
          <w:rFonts w:hint="eastAsia"/>
          <w:szCs w:val="21"/>
        </w:rPr>
        <w:t>（</w:t>
      </w:r>
      <w:r>
        <w:rPr>
          <w:szCs w:val="21"/>
        </w:rPr>
        <w:t>7</w:t>
      </w:r>
      <w:r>
        <w:rPr>
          <w:rFonts w:hint="eastAsia"/>
          <w:szCs w:val="21"/>
        </w:rPr>
        <w:t>）执行生效的基金份额持有人大会的决议；</w:t>
      </w:r>
    </w:p>
    <w:p w:rsidR="008711D3" w:rsidRDefault="004479D9">
      <w:pPr>
        <w:spacing w:line="360" w:lineRule="auto"/>
        <w:ind w:firstLineChars="200" w:firstLine="420"/>
        <w:rPr>
          <w:szCs w:val="21"/>
        </w:rPr>
      </w:pPr>
      <w:r>
        <w:rPr>
          <w:rFonts w:hint="eastAsia"/>
          <w:szCs w:val="21"/>
        </w:rPr>
        <w:t>（</w:t>
      </w:r>
      <w:r>
        <w:rPr>
          <w:szCs w:val="21"/>
        </w:rPr>
        <w:t>8</w:t>
      </w:r>
      <w:r>
        <w:rPr>
          <w:rFonts w:hint="eastAsia"/>
          <w:szCs w:val="21"/>
        </w:rPr>
        <w:t>）返还在基金交易过程中因任何原因获得的不当得利；</w:t>
      </w:r>
    </w:p>
    <w:p w:rsidR="008711D3" w:rsidRDefault="004479D9">
      <w:pPr>
        <w:spacing w:line="360" w:lineRule="auto"/>
        <w:ind w:firstLineChars="200" w:firstLine="420"/>
        <w:rPr>
          <w:szCs w:val="21"/>
        </w:rPr>
      </w:pPr>
      <w:r>
        <w:rPr>
          <w:rFonts w:hint="eastAsia"/>
          <w:szCs w:val="21"/>
        </w:rPr>
        <w:t>（</w:t>
      </w:r>
      <w:r>
        <w:rPr>
          <w:szCs w:val="21"/>
        </w:rPr>
        <w:t>9</w:t>
      </w:r>
      <w:r>
        <w:rPr>
          <w:rFonts w:hint="eastAsia"/>
          <w:szCs w:val="21"/>
        </w:rPr>
        <w:t>）如实提供基金管理人或其销售机构依法要求提供的信息，并不时予以更新和补充；</w:t>
      </w:r>
    </w:p>
    <w:p w:rsidR="008711D3" w:rsidRDefault="004479D9">
      <w:pPr>
        <w:spacing w:line="360" w:lineRule="auto"/>
        <w:ind w:firstLineChars="200" w:firstLine="420"/>
        <w:rPr>
          <w:bCs/>
          <w:szCs w:val="21"/>
        </w:rPr>
      </w:pPr>
      <w:r>
        <w:rPr>
          <w:rFonts w:hint="eastAsia"/>
          <w:szCs w:val="21"/>
        </w:rPr>
        <w:t>（</w:t>
      </w:r>
      <w:r>
        <w:rPr>
          <w:szCs w:val="21"/>
        </w:rPr>
        <w:t>10</w:t>
      </w:r>
      <w:r>
        <w:rPr>
          <w:rFonts w:hint="eastAsia"/>
          <w:szCs w:val="21"/>
        </w:rPr>
        <w:t>）法律法规或中国证监会或基金合同规定的其他义务。</w:t>
      </w:r>
    </w:p>
    <w:p w:rsidR="008711D3" w:rsidRDefault="004479D9">
      <w:pPr>
        <w:spacing w:line="360" w:lineRule="auto"/>
        <w:ind w:firstLineChars="200" w:firstLine="420"/>
        <w:rPr>
          <w:rFonts w:ascii="宋体" w:hAnsi="宋体"/>
          <w:bCs/>
          <w:szCs w:val="21"/>
        </w:rPr>
      </w:pPr>
      <w:r>
        <w:rPr>
          <w:rFonts w:ascii="宋体" w:hAnsi="宋体" w:hint="eastAsia"/>
          <w:bCs/>
          <w:szCs w:val="21"/>
        </w:rPr>
        <w:t>B．</w:t>
      </w:r>
      <w:r>
        <w:rPr>
          <w:rFonts w:ascii="宋体" w:hAnsi="宋体"/>
          <w:bCs/>
          <w:szCs w:val="21"/>
        </w:rPr>
        <w:t>基金管理人的权利与义务</w:t>
      </w:r>
    </w:p>
    <w:p w:rsidR="008711D3" w:rsidRDefault="004479D9">
      <w:pPr>
        <w:spacing w:line="360" w:lineRule="auto"/>
        <w:ind w:firstLineChars="200" w:firstLine="420"/>
        <w:rPr>
          <w:szCs w:val="21"/>
        </w:rPr>
      </w:pPr>
      <w:r>
        <w:rPr>
          <w:szCs w:val="21"/>
        </w:rPr>
        <w:t>1</w:t>
      </w:r>
      <w:r>
        <w:rPr>
          <w:rFonts w:hint="eastAsia"/>
          <w:szCs w:val="21"/>
        </w:rPr>
        <w:t>、根据《基金法》、《运作办法》及其他有关规定，基金管理人的权利包括但不限于：</w:t>
      </w:r>
    </w:p>
    <w:p w:rsidR="008711D3" w:rsidRDefault="004479D9">
      <w:pPr>
        <w:spacing w:line="360" w:lineRule="auto"/>
        <w:ind w:firstLineChars="200" w:firstLine="420"/>
        <w:rPr>
          <w:szCs w:val="21"/>
        </w:rPr>
      </w:pPr>
      <w:r>
        <w:rPr>
          <w:rFonts w:hint="eastAsia"/>
          <w:szCs w:val="21"/>
        </w:rPr>
        <w:t>（</w:t>
      </w:r>
      <w:r>
        <w:rPr>
          <w:szCs w:val="21"/>
        </w:rPr>
        <w:t>1</w:t>
      </w:r>
      <w:r>
        <w:rPr>
          <w:rFonts w:hint="eastAsia"/>
          <w:szCs w:val="21"/>
        </w:rPr>
        <w:t>）依法募集资金；</w:t>
      </w:r>
    </w:p>
    <w:p w:rsidR="008711D3" w:rsidRDefault="004479D9">
      <w:pPr>
        <w:spacing w:line="360" w:lineRule="auto"/>
        <w:ind w:firstLineChars="200" w:firstLine="420"/>
        <w:rPr>
          <w:szCs w:val="21"/>
        </w:rPr>
      </w:pPr>
      <w:r>
        <w:rPr>
          <w:rFonts w:hint="eastAsia"/>
          <w:szCs w:val="21"/>
        </w:rPr>
        <w:t>（</w:t>
      </w:r>
      <w:r>
        <w:rPr>
          <w:szCs w:val="21"/>
        </w:rPr>
        <w:t>2</w:t>
      </w:r>
      <w:r>
        <w:rPr>
          <w:rFonts w:hint="eastAsia"/>
          <w:szCs w:val="21"/>
        </w:rPr>
        <w:t>）自基金合同生效之日起，根据法律法规和基金合同独立运用并管理基金财产；</w:t>
      </w:r>
    </w:p>
    <w:p w:rsidR="008711D3" w:rsidRDefault="004479D9">
      <w:pPr>
        <w:spacing w:line="360" w:lineRule="auto"/>
        <w:ind w:firstLineChars="200" w:firstLine="420"/>
        <w:rPr>
          <w:szCs w:val="21"/>
        </w:rPr>
      </w:pPr>
      <w:r>
        <w:rPr>
          <w:rFonts w:hint="eastAsia"/>
          <w:szCs w:val="21"/>
        </w:rPr>
        <w:t>（</w:t>
      </w:r>
      <w:r>
        <w:rPr>
          <w:szCs w:val="21"/>
        </w:rPr>
        <w:t>3</w:t>
      </w:r>
      <w:r>
        <w:rPr>
          <w:rFonts w:hint="eastAsia"/>
          <w:szCs w:val="21"/>
        </w:rPr>
        <w:t>）依照基金合同收取基金管理费以及法律法规规定或中国证监会批准的其他费用；</w:t>
      </w:r>
    </w:p>
    <w:p w:rsidR="008711D3" w:rsidRDefault="004479D9">
      <w:pPr>
        <w:spacing w:line="360" w:lineRule="auto"/>
        <w:ind w:firstLineChars="200" w:firstLine="420"/>
        <w:rPr>
          <w:szCs w:val="21"/>
        </w:rPr>
      </w:pPr>
      <w:r>
        <w:rPr>
          <w:rFonts w:hint="eastAsia"/>
          <w:szCs w:val="21"/>
        </w:rPr>
        <w:t>（</w:t>
      </w:r>
      <w:r>
        <w:rPr>
          <w:szCs w:val="21"/>
        </w:rPr>
        <w:t>4</w:t>
      </w:r>
      <w:r>
        <w:rPr>
          <w:rFonts w:hint="eastAsia"/>
          <w:szCs w:val="21"/>
        </w:rPr>
        <w:t>）销售基金份额；</w:t>
      </w:r>
    </w:p>
    <w:p w:rsidR="008711D3" w:rsidRDefault="004479D9">
      <w:pPr>
        <w:spacing w:line="360" w:lineRule="auto"/>
        <w:ind w:firstLineChars="200" w:firstLine="420"/>
        <w:rPr>
          <w:szCs w:val="21"/>
        </w:rPr>
      </w:pPr>
      <w:r>
        <w:rPr>
          <w:rFonts w:hint="eastAsia"/>
          <w:szCs w:val="21"/>
        </w:rPr>
        <w:t>（</w:t>
      </w:r>
      <w:r>
        <w:rPr>
          <w:szCs w:val="21"/>
        </w:rPr>
        <w:t>5</w:t>
      </w:r>
      <w:r>
        <w:rPr>
          <w:rFonts w:hint="eastAsia"/>
          <w:szCs w:val="21"/>
        </w:rPr>
        <w:t>）</w:t>
      </w:r>
      <w:bookmarkStart w:id="137" w:name="_Hlt88896155"/>
      <w:r>
        <w:rPr>
          <w:rFonts w:hint="eastAsia"/>
          <w:szCs w:val="21"/>
        </w:rPr>
        <w:t>按照规定召集</w:t>
      </w:r>
      <w:bookmarkEnd w:id="137"/>
      <w:r>
        <w:rPr>
          <w:rFonts w:hint="eastAsia"/>
          <w:szCs w:val="21"/>
        </w:rPr>
        <w:t>基金份额持有人大会；</w:t>
      </w:r>
    </w:p>
    <w:p w:rsidR="008711D3" w:rsidRDefault="004479D9">
      <w:pPr>
        <w:spacing w:line="360" w:lineRule="auto"/>
        <w:ind w:firstLineChars="200" w:firstLine="420"/>
        <w:rPr>
          <w:szCs w:val="21"/>
        </w:rPr>
      </w:pPr>
      <w:r>
        <w:rPr>
          <w:rFonts w:hint="eastAsia"/>
          <w:szCs w:val="21"/>
        </w:rPr>
        <w:t>（</w:t>
      </w:r>
      <w:r>
        <w:rPr>
          <w:szCs w:val="21"/>
        </w:rPr>
        <w:t>6</w:t>
      </w:r>
      <w:r>
        <w:rPr>
          <w:rFonts w:hint="eastAsia"/>
          <w:szCs w:val="21"/>
        </w:rPr>
        <w:t>）依据基金合同及有关法律规定监督基金托管人，如认为基金托管人违反了基金合同及国家有关法律规定，应呈报中国证监会和其他监管部门，并采取必要措施保护基金投资者的利益；</w:t>
      </w:r>
    </w:p>
    <w:p w:rsidR="008711D3" w:rsidRDefault="004479D9">
      <w:pPr>
        <w:spacing w:line="360" w:lineRule="auto"/>
        <w:ind w:firstLineChars="200" w:firstLine="420"/>
        <w:rPr>
          <w:szCs w:val="21"/>
        </w:rPr>
      </w:pPr>
      <w:r>
        <w:rPr>
          <w:rFonts w:hint="eastAsia"/>
          <w:szCs w:val="21"/>
        </w:rPr>
        <w:t>（</w:t>
      </w:r>
      <w:r>
        <w:rPr>
          <w:szCs w:val="21"/>
        </w:rPr>
        <w:t>7</w:t>
      </w:r>
      <w:r>
        <w:rPr>
          <w:rFonts w:hint="eastAsia"/>
          <w:szCs w:val="21"/>
        </w:rPr>
        <w:t>）在基金托管人更换时，提名新的基金托管人；</w:t>
      </w:r>
    </w:p>
    <w:p w:rsidR="008711D3" w:rsidRDefault="004479D9">
      <w:pPr>
        <w:spacing w:line="440" w:lineRule="atLeast"/>
        <w:ind w:firstLineChars="200" w:firstLine="420"/>
        <w:rPr>
          <w:szCs w:val="21"/>
        </w:rPr>
      </w:pPr>
      <w:r>
        <w:rPr>
          <w:rFonts w:hint="eastAsia"/>
          <w:szCs w:val="21"/>
        </w:rPr>
        <w:t>（</w:t>
      </w:r>
      <w:r>
        <w:rPr>
          <w:szCs w:val="21"/>
        </w:rPr>
        <w:t>8</w:t>
      </w:r>
      <w:r>
        <w:rPr>
          <w:rFonts w:hint="eastAsia"/>
          <w:szCs w:val="21"/>
        </w:rPr>
        <w:t>）依据基金合同及有关法律规定决定基金收益的分配方案；</w:t>
      </w:r>
      <w:r>
        <w:rPr>
          <w:szCs w:val="21"/>
        </w:rPr>
        <w:tab/>
      </w:r>
    </w:p>
    <w:p w:rsidR="008711D3" w:rsidRDefault="004479D9">
      <w:pPr>
        <w:spacing w:line="440" w:lineRule="atLeast"/>
        <w:ind w:firstLineChars="200" w:firstLine="420"/>
        <w:rPr>
          <w:szCs w:val="21"/>
        </w:rPr>
      </w:pPr>
      <w:r>
        <w:rPr>
          <w:rFonts w:hint="eastAsia"/>
          <w:szCs w:val="21"/>
        </w:rPr>
        <w:t>（</w:t>
      </w:r>
      <w:r>
        <w:rPr>
          <w:szCs w:val="21"/>
        </w:rPr>
        <w:t>9</w:t>
      </w:r>
      <w:r>
        <w:rPr>
          <w:rFonts w:hint="eastAsia"/>
          <w:szCs w:val="21"/>
        </w:rPr>
        <w:t>）在基金合同约定的范围内，拒绝或暂停受理申购、赎回及转换申请；</w:t>
      </w:r>
      <w:r>
        <w:rPr>
          <w:szCs w:val="21"/>
        </w:rPr>
        <w:t xml:space="preserve"> </w:t>
      </w:r>
    </w:p>
    <w:p w:rsidR="008711D3" w:rsidRDefault="004479D9">
      <w:pPr>
        <w:spacing w:line="440" w:lineRule="atLeast"/>
        <w:ind w:firstLineChars="200" w:firstLine="420"/>
        <w:rPr>
          <w:szCs w:val="21"/>
        </w:rPr>
      </w:pPr>
      <w:r>
        <w:rPr>
          <w:rFonts w:hint="eastAsia"/>
          <w:szCs w:val="21"/>
        </w:rPr>
        <w:t>（</w:t>
      </w:r>
      <w:r>
        <w:rPr>
          <w:szCs w:val="21"/>
        </w:rPr>
        <w:t>10</w:t>
      </w:r>
      <w:r>
        <w:rPr>
          <w:rFonts w:hint="eastAsia"/>
          <w:szCs w:val="21"/>
        </w:rPr>
        <w:t>）依照法律法规为基金的利益对被投资公司行使证券持有人权利，为基金的利益行使因基金财产投资所产生的其他权利；</w:t>
      </w:r>
      <w:r>
        <w:rPr>
          <w:szCs w:val="21"/>
        </w:rPr>
        <w:tab/>
      </w:r>
    </w:p>
    <w:p w:rsidR="008711D3" w:rsidRDefault="004479D9">
      <w:pPr>
        <w:spacing w:line="440" w:lineRule="atLeast"/>
        <w:ind w:firstLineChars="200" w:firstLine="420"/>
        <w:rPr>
          <w:szCs w:val="21"/>
        </w:rPr>
      </w:pPr>
      <w:r>
        <w:rPr>
          <w:rFonts w:hint="eastAsia"/>
          <w:szCs w:val="21"/>
        </w:rPr>
        <w:t>（</w:t>
      </w:r>
      <w:r>
        <w:rPr>
          <w:szCs w:val="21"/>
        </w:rPr>
        <w:t>11</w:t>
      </w:r>
      <w:r>
        <w:rPr>
          <w:rFonts w:hint="eastAsia"/>
          <w:szCs w:val="21"/>
        </w:rPr>
        <w:t>）在法律法规允许的前提下，为基金的利益依法为基金进行融资；</w:t>
      </w:r>
      <w:r>
        <w:rPr>
          <w:szCs w:val="21"/>
        </w:rPr>
        <w:t xml:space="preserve"> </w:t>
      </w:r>
    </w:p>
    <w:p w:rsidR="008711D3" w:rsidRDefault="004479D9">
      <w:pPr>
        <w:spacing w:line="440" w:lineRule="atLeast"/>
        <w:ind w:firstLineChars="200" w:firstLine="420"/>
        <w:rPr>
          <w:szCs w:val="21"/>
        </w:rPr>
      </w:pPr>
      <w:r>
        <w:rPr>
          <w:rFonts w:hint="eastAsia"/>
          <w:szCs w:val="21"/>
        </w:rPr>
        <w:t>（</w:t>
      </w:r>
      <w:r>
        <w:rPr>
          <w:szCs w:val="21"/>
        </w:rPr>
        <w:t>12</w:t>
      </w:r>
      <w:r>
        <w:rPr>
          <w:rFonts w:hint="eastAsia"/>
          <w:szCs w:val="21"/>
        </w:rPr>
        <w:t>）以基金管理人的名义，代表基金份额持有人的利益行使诉讼权利或者实施其他法律行为；</w:t>
      </w:r>
      <w:r>
        <w:rPr>
          <w:szCs w:val="21"/>
        </w:rPr>
        <w:tab/>
      </w:r>
    </w:p>
    <w:p w:rsidR="008711D3" w:rsidRDefault="004479D9">
      <w:pPr>
        <w:spacing w:line="440" w:lineRule="atLeast"/>
        <w:ind w:firstLineChars="200" w:firstLine="420"/>
        <w:rPr>
          <w:szCs w:val="21"/>
        </w:rPr>
      </w:pPr>
      <w:r>
        <w:rPr>
          <w:rFonts w:hint="eastAsia"/>
          <w:szCs w:val="21"/>
        </w:rPr>
        <w:t>（</w:t>
      </w:r>
      <w:r>
        <w:rPr>
          <w:szCs w:val="21"/>
        </w:rPr>
        <w:t>13</w:t>
      </w:r>
      <w:r>
        <w:rPr>
          <w:rFonts w:hint="eastAsia"/>
          <w:szCs w:val="21"/>
        </w:rPr>
        <w:t>）选择、更换为本基金提供销售、支付结算、基金份额注册登记、估值、投资顾问、法律、会计等服务的机构并确定相关费率，对该等服务机构的相关行为进行监督和处理；</w:t>
      </w:r>
    </w:p>
    <w:p w:rsidR="008711D3" w:rsidRDefault="004479D9">
      <w:pPr>
        <w:spacing w:line="440" w:lineRule="atLeast"/>
        <w:ind w:firstLineChars="200" w:firstLine="420"/>
        <w:rPr>
          <w:szCs w:val="21"/>
        </w:rPr>
      </w:pPr>
      <w:r>
        <w:rPr>
          <w:rFonts w:hint="eastAsia"/>
          <w:szCs w:val="21"/>
        </w:rPr>
        <w:t>（</w:t>
      </w:r>
      <w:r>
        <w:rPr>
          <w:szCs w:val="21"/>
        </w:rPr>
        <w:t>14</w:t>
      </w:r>
      <w:r>
        <w:rPr>
          <w:rFonts w:hint="eastAsia"/>
          <w:szCs w:val="21"/>
        </w:rPr>
        <w:t>）在不违反法律法规的前提下，制订和调整有关基金开户、认购、申购、赎回、转换</w:t>
      </w:r>
      <w:r>
        <w:rPr>
          <w:bCs/>
          <w:szCs w:val="21"/>
        </w:rPr>
        <w:t>和非交易过户</w:t>
      </w:r>
      <w:r>
        <w:rPr>
          <w:rFonts w:hint="eastAsia"/>
          <w:szCs w:val="21"/>
        </w:rPr>
        <w:t>及其他相关业务的业务规则；</w:t>
      </w:r>
    </w:p>
    <w:p w:rsidR="008711D3" w:rsidRDefault="004479D9">
      <w:pPr>
        <w:spacing w:line="440" w:lineRule="atLeast"/>
        <w:ind w:firstLineChars="200" w:firstLine="420"/>
        <w:rPr>
          <w:szCs w:val="21"/>
        </w:rPr>
      </w:pPr>
      <w:r>
        <w:rPr>
          <w:rFonts w:hint="eastAsia"/>
          <w:szCs w:val="21"/>
        </w:rPr>
        <w:t>（</w:t>
      </w:r>
      <w:r>
        <w:rPr>
          <w:szCs w:val="21"/>
        </w:rPr>
        <w:t>15</w:t>
      </w:r>
      <w:r>
        <w:rPr>
          <w:rFonts w:hint="eastAsia"/>
          <w:szCs w:val="21"/>
        </w:rPr>
        <w:t>）法律法规或中国证监会或基金合同规定的其他权利。</w:t>
      </w:r>
    </w:p>
    <w:p w:rsidR="008711D3" w:rsidRDefault="004479D9">
      <w:pPr>
        <w:spacing w:line="440" w:lineRule="atLeast"/>
        <w:ind w:firstLineChars="200" w:firstLine="420"/>
        <w:rPr>
          <w:szCs w:val="21"/>
        </w:rPr>
      </w:pPr>
      <w:r>
        <w:rPr>
          <w:szCs w:val="21"/>
        </w:rPr>
        <w:t>2</w:t>
      </w:r>
      <w:r>
        <w:rPr>
          <w:rFonts w:hint="eastAsia"/>
          <w:szCs w:val="21"/>
        </w:rPr>
        <w:t>、根据《基金法》、《运作办法》及其他有关规定，基金管理人的义务包括但不限于：</w:t>
      </w:r>
    </w:p>
    <w:p w:rsidR="008711D3" w:rsidRDefault="004479D9">
      <w:pPr>
        <w:spacing w:line="440" w:lineRule="atLeast"/>
        <w:ind w:firstLineChars="200" w:firstLine="420"/>
        <w:rPr>
          <w:szCs w:val="21"/>
        </w:rPr>
      </w:pPr>
      <w:r>
        <w:rPr>
          <w:rFonts w:hint="eastAsia"/>
          <w:szCs w:val="21"/>
        </w:rPr>
        <w:t>（</w:t>
      </w:r>
      <w:r>
        <w:rPr>
          <w:szCs w:val="21"/>
        </w:rPr>
        <w:t>1</w:t>
      </w:r>
      <w:r>
        <w:rPr>
          <w:rFonts w:hint="eastAsia"/>
          <w:szCs w:val="21"/>
        </w:rPr>
        <w:t>）依法募集资金，办理或者委托经中国证监会认定的其他机构代为办理基金份额的</w:t>
      </w:r>
      <w:r>
        <w:rPr>
          <w:rFonts w:hint="eastAsia"/>
          <w:szCs w:val="21"/>
        </w:rPr>
        <w:lastRenderedPageBreak/>
        <w:t>发售、申购、赎回和登记事宜；</w:t>
      </w:r>
    </w:p>
    <w:p w:rsidR="008711D3" w:rsidRDefault="004479D9">
      <w:pPr>
        <w:spacing w:line="440" w:lineRule="atLeast"/>
        <w:ind w:firstLineChars="200" w:firstLine="420"/>
        <w:rPr>
          <w:szCs w:val="21"/>
        </w:rPr>
      </w:pPr>
      <w:r>
        <w:rPr>
          <w:rFonts w:hint="eastAsia"/>
          <w:szCs w:val="21"/>
        </w:rPr>
        <w:t>（</w:t>
      </w:r>
      <w:r>
        <w:rPr>
          <w:szCs w:val="21"/>
        </w:rPr>
        <w:t>2</w:t>
      </w:r>
      <w:r>
        <w:rPr>
          <w:rFonts w:hint="eastAsia"/>
          <w:szCs w:val="21"/>
        </w:rPr>
        <w:t>）办理基金备案手续；</w:t>
      </w:r>
    </w:p>
    <w:p w:rsidR="008711D3" w:rsidRDefault="004479D9">
      <w:pPr>
        <w:spacing w:line="440" w:lineRule="atLeast"/>
        <w:ind w:firstLineChars="200" w:firstLine="420"/>
        <w:rPr>
          <w:szCs w:val="21"/>
        </w:rPr>
      </w:pPr>
      <w:r>
        <w:rPr>
          <w:rFonts w:hint="eastAsia"/>
          <w:szCs w:val="21"/>
        </w:rPr>
        <w:t>（</w:t>
      </w:r>
      <w:r>
        <w:rPr>
          <w:szCs w:val="21"/>
        </w:rPr>
        <w:t>3</w:t>
      </w:r>
      <w:r>
        <w:rPr>
          <w:rFonts w:hint="eastAsia"/>
          <w:szCs w:val="21"/>
        </w:rPr>
        <w:t>）自基金合同生效之日起，以诚实信用、谨慎勤勉的原则管理和运用基金财产；</w:t>
      </w:r>
    </w:p>
    <w:p w:rsidR="008711D3" w:rsidRDefault="004479D9">
      <w:pPr>
        <w:spacing w:line="440" w:lineRule="atLeast"/>
        <w:ind w:firstLineChars="200" w:firstLine="420"/>
        <w:rPr>
          <w:szCs w:val="21"/>
        </w:rPr>
      </w:pPr>
      <w:r>
        <w:rPr>
          <w:rFonts w:hint="eastAsia"/>
          <w:szCs w:val="21"/>
        </w:rPr>
        <w:t>（</w:t>
      </w:r>
      <w:r>
        <w:rPr>
          <w:szCs w:val="21"/>
        </w:rPr>
        <w:t>4</w:t>
      </w:r>
      <w:r>
        <w:rPr>
          <w:rFonts w:hint="eastAsia"/>
          <w:szCs w:val="21"/>
        </w:rPr>
        <w:t>）配备足够的具有专业资格的人员进行基金投资分析、决策，以专业化的经营方式管理和运作基金财产；</w:t>
      </w:r>
    </w:p>
    <w:p w:rsidR="008711D3" w:rsidRDefault="004479D9">
      <w:pPr>
        <w:spacing w:line="440" w:lineRule="atLeast"/>
        <w:ind w:firstLineChars="200" w:firstLine="420"/>
        <w:rPr>
          <w:szCs w:val="21"/>
        </w:rPr>
      </w:pPr>
      <w:r>
        <w:rPr>
          <w:rFonts w:hint="eastAsia"/>
          <w:szCs w:val="21"/>
        </w:rPr>
        <w:t>（</w:t>
      </w:r>
      <w:r>
        <w:rPr>
          <w:szCs w:val="21"/>
        </w:rPr>
        <w:t>5</w:t>
      </w:r>
      <w:r>
        <w:rPr>
          <w:rFonts w:hint="eastAsia"/>
          <w:szCs w:val="21"/>
        </w:rPr>
        <w:t>）建立健全内部风险控制、监察与稽核、财务管理及人事管理等制度，保证所管理的基金财产和基金管理人的财产相互独立，对所管理的不同基金分别管理，分别记账，进行证券投资；</w:t>
      </w:r>
    </w:p>
    <w:p w:rsidR="008711D3" w:rsidRDefault="004479D9">
      <w:pPr>
        <w:spacing w:line="360" w:lineRule="auto"/>
        <w:ind w:firstLineChars="200" w:firstLine="420"/>
        <w:rPr>
          <w:szCs w:val="21"/>
        </w:rPr>
      </w:pPr>
      <w:r>
        <w:rPr>
          <w:rFonts w:hint="eastAsia"/>
          <w:szCs w:val="21"/>
        </w:rPr>
        <w:t>（</w:t>
      </w:r>
      <w:r>
        <w:rPr>
          <w:szCs w:val="21"/>
        </w:rPr>
        <w:t>6</w:t>
      </w:r>
      <w:r>
        <w:rPr>
          <w:rFonts w:hint="eastAsia"/>
          <w:szCs w:val="21"/>
        </w:rPr>
        <w:t>）除依据《基金法》、基金合同及其他有关规定外，不得利用基金财产为自己及任何第三人谋取利益，不得委托第三人运作基金财产；</w:t>
      </w:r>
    </w:p>
    <w:p w:rsidR="008711D3" w:rsidRDefault="004479D9">
      <w:pPr>
        <w:spacing w:line="360" w:lineRule="auto"/>
        <w:ind w:firstLineChars="200" w:firstLine="420"/>
        <w:rPr>
          <w:szCs w:val="21"/>
        </w:rPr>
      </w:pPr>
      <w:r>
        <w:rPr>
          <w:rFonts w:hint="eastAsia"/>
          <w:szCs w:val="21"/>
        </w:rPr>
        <w:t>（</w:t>
      </w:r>
      <w:r>
        <w:rPr>
          <w:szCs w:val="21"/>
        </w:rPr>
        <w:t>7</w:t>
      </w:r>
      <w:r>
        <w:rPr>
          <w:rFonts w:hint="eastAsia"/>
          <w:szCs w:val="21"/>
        </w:rPr>
        <w:t>）依法接受基金托管人的监督；</w:t>
      </w:r>
    </w:p>
    <w:p w:rsidR="008711D3" w:rsidRDefault="004479D9">
      <w:pPr>
        <w:spacing w:line="360" w:lineRule="auto"/>
        <w:ind w:firstLineChars="200" w:firstLine="420"/>
        <w:rPr>
          <w:szCs w:val="21"/>
        </w:rPr>
      </w:pPr>
      <w:r>
        <w:rPr>
          <w:rFonts w:hint="eastAsia"/>
          <w:szCs w:val="21"/>
        </w:rPr>
        <w:t>（</w:t>
      </w:r>
      <w:r>
        <w:rPr>
          <w:szCs w:val="21"/>
        </w:rPr>
        <w:t>8</w:t>
      </w:r>
      <w:r>
        <w:rPr>
          <w:rFonts w:hint="eastAsia"/>
          <w:szCs w:val="21"/>
        </w:rPr>
        <w:t>）采取适当合理的措施使计算基金份额认购、申购、赎回和注销价格的方法符合基金合同等法律文件的规定，按有关规定计算并公告基金净值</w:t>
      </w:r>
      <w:r>
        <w:rPr>
          <w:bCs/>
          <w:szCs w:val="21"/>
        </w:rPr>
        <w:t>信息</w:t>
      </w:r>
      <w:r>
        <w:rPr>
          <w:rFonts w:hint="eastAsia"/>
          <w:szCs w:val="21"/>
        </w:rPr>
        <w:t>，确定基金份额申购、赎回的价格；</w:t>
      </w:r>
    </w:p>
    <w:p w:rsidR="008711D3" w:rsidRDefault="004479D9">
      <w:pPr>
        <w:spacing w:line="360" w:lineRule="auto"/>
        <w:ind w:firstLineChars="200" w:firstLine="420"/>
        <w:rPr>
          <w:szCs w:val="21"/>
        </w:rPr>
      </w:pPr>
      <w:r>
        <w:rPr>
          <w:rFonts w:hint="eastAsia"/>
          <w:szCs w:val="21"/>
        </w:rPr>
        <w:t>（</w:t>
      </w:r>
      <w:r>
        <w:rPr>
          <w:szCs w:val="21"/>
        </w:rPr>
        <w:t>9</w:t>
      </w:r>
      <w:r>
        <w:rPr>
          <w:rFonts w:hint="eastAsia"/>
          <w:szCs w:val="21"/>
        </w:rPr>
        <w:t>）进行基金会计核算并编制基金财务会计报告；</w:t>
      </w:r>
    </w:p>
    <w:p w:rsidR="008711D3" w:rsidRDefault="004479D9">
      <w:pPr>
        <w:spacing w:line="360" w:lineRule="auto"/>
        <w:ind w:firstLineChars="200" w:firstLine="420"/>
        <w:rPr>
          <w:szCs w:val="21"/>
        </w:rPr>
      </w:pPr>
      <w:r>
        <w:rPr>
          <w:rFonts w:hint="eastAsia"/>
          <w:szCs w:val="21"/>
        </w:rPr>
        <w:t>（</w:t>
      </w:r>
      <w:r>
        <w:rPr>
          <w:szCs w:val="21"/>
        </w:rPr>
        <w:t>10</w:t>
      </w:r>
      <w:r>
        <w:rPr>
          <w:rFonts w:hint="eastAsia"/>
          <w:szCs w:val="21"/>
        </w:rPr>
        <w:t>）按照法律规定要求编制季度报告、中期报告和年度报告；</w:t>
      </w:r>
    </w:p>
    <w:p w:rsidR="008711D3" w:rsidRDefault="004479D9">
      <w:pPr>
        <w:spacing w:line="360" w:lineRule="auto"/>
        <w:ind w:firstLineChars="200" w:firstLine="420"/>
        <w:rPr>
          <w:szCs w:val="21"/>
        </w:rPr>
      </w:pPr>
      <w:r>
        <w:rPr>
          <w:rFonts w:hint="eastAsia"/>
          <w:szCs w:val="21"/>
        </w:rPr>
        <w:t>（</w:t>
      </w:r>
      <w:r>
        <w:rPr>
          <w:szCs w:val="21"/>
        </w:rPr>
        <w:t>11</w:t>
      </w:r>
      <w:r>
        <w:rPr>
          <w:rFonts w:hint="eastAsia"/>
          <w:szCs w:val="21"/>
        </w:rPr>
        <w:t>）严格按照《基金法》、基金合同及其他有关规定，履行信息披露及报告义务；</w:t>
      </w:r>
    </w:p>
    <w:p w:rsidR="008711D3" w:rsidRDefault="004479D9">
      <w:pPr>
        <w:spacing w:line="360" w:lineRule="auto"/>
        <w:ind w:firstLineChars="200" w:firstLine="420"/>
        <w:rPr>
          <w:szCs w:val="21"/>
        </w:rPr>
      </w:pPr>
      <w:r>
        <w:rPr>
          <w:rFonts w:hint="eastAsia"/>
          <w:szCs w:val="21"/>
        </w:rPr>
        <w:t>（</w:t>
      </w:r>
      <w:r>
        <w:rPr>
          <w:szCs w:val="21"/>
        </w:rPr>
        <w:t>12</w:t>
      </w:r>
      <w:r>
        <w:rPr>
          <w:rFonts w:hint="eastAsia"/>
          <w:szCs w:val="21"/>
        </w:rPr>
        <w:t>）保守基金商业秘密，不泄露基金投资计划、投资意向等。除《基金法》、基金合同及其他有关规定另有规定或有权机关另有要求，或向审计、法律等外部专业顾问提供外，在基金信息公开披露前应予保密，不向他人泄露；</w:t>
      </w:r>
    </w:p>
    <w:p w:rsidR="008711D3" w:rsidRDefault="004479D9">
      <w:pPr>
        <w:spacing w:line="360" w:lineRule="auto"/>
        <w:ind w:firstLineChars="200" w:firstLine="420"/>
        <w:rPr>
          <w:szCs w:val="21"/>
        </w:rPr>
      </w:pPr>
      <w:r>
        <w:rPr>
          <w:rFonts w:hint="eastAsia"/>
          <w:szCs w:val="21"/>
        </w:rPr>
        <w:t>（</w:t>
      </w:r>
      <w:r>
        <w:rPr>
          <w:szCs w:val="21"/>
        </w:rPr>
        <w:t>13</w:t>
      </w:r>
      <w:r>
        <w:rPr>
          <w:rFonts w:hint="eastAsia"/>
          <w:szCs w:val="21"/>
        </w:rPr>
        <w:t>）按基金合同的约定确定基金收益分配方案，及时向基金份额持有人分配基金收益；</w:t>
      </w:r>
    </w:p>
    <w:p w:rsidR="008711D3" w:rsidRDefault="004479D9">
      <w:pPr>
        <w:spacing w:line="360" w:lineRule="auto"/>
        <w:ind w:firstLineChars="200" w:firstLine="420"/>
        <w:rPr>
          <w:szCs w:val="21"/>
        </w:rPr>
      </w:pPr>
      <w:r>
        <w:rPr>
          <w:rFonts w:hint="eastAsia"/>
          <w:szCs w:val="21"/>
        </w:rPr>
        <w:t>（</w:t>
      </w:r>
      <w:r>
        <w:rPr>
          <w:szCs w:val="21"/>
        </w:rPr>
        <w:t>14</w:t>
      </w:r>
      <w:r>
        <w:rPr>
          <w:rFonts w:hint="eastAsia"/>
          <w:szCs w:val="21"/>
        </w:rPr>
        <w:t>）按规定受理申购与赎回申请，及时、足额支付赎回款项；</w:t>
      </w:r>
    </w:p>
    <w:p w:rsidR="008711D3" w:rsidRDefault="004479D9">
      <w:pPr>
        <w:spacing w:line="360" w:lineRule="auto"/>
        <w:ind w:firstLineChars="200" w:firstLine="420"/>
        <w:rPr>
          <w:szCs w:val="21"/>
        </w:rPr>
      </w:pPr>
      <w:r>
        <w:rPr>
          <w:rFonts w:hint="eastAsia"/>
          <w:szCs w:val="21"/>
        </w:rPr>
        <w:t>（</w:t>
      </w:r>
      <w:r>
        <w:rPr>
          <w:szCs w:val="21"/>
        </w:rPr>
        <w:t>15</w:t>
      </w:r>
      <w:r>
        <w:rPr>
          <w:rFonts w:hint="eastAsia"/>
          <w:szCs w:val="21"/>
        </w:rPr>
        <w:t>）依据《基金法》、基金合同及其他有关规定召集基金份额持有人大会或配合基金托管人、基金份额持有人依法召集基金份额持有人大会；</w:t>
      </w:r>
    </w:p>
    <w:p w:rsidR="008711D3" w:rsidRDefault="004479D9">
      <w:pPr>
        <w:spacing w:line="360" w:lineRule="auto"/>
        <w:ind w:firstLineChars="200" w:firstLine="420"/>
        <w:rPr>
          <w:szCs w:val="21"/>
        </w:rPr>
      </w:pPr>
      <w:r>
        <w:rPr>
          <w:rFonts w:hint="eastAsia"/>
          <w:szCs w:val="21"/>
        </w:rPr>
        <w:t>（</w:t>
      </w:r>
      <w:r>
        <w:rPr>
          <w:szCs w:val="21"/>
        </w:rPr>
        <w:t>16</w:t>
      </w:r>
      <w:r>
        <w:rPr>
          <w:rFonts w:hint="eastAsia"/>
          <w:szCs w:val="21"/>
        </w:rPr>
        <w:t>）按规定保存基金财产管理业务活动的会计账册、报表、记录和其他相关资料不低于法律法规要求的最低年限；</w:t>
      </w:r>
    </w:p>
    <w:p w:rsidR="008711D3" w:rsidRDefault="004479D9">
      <w:pPr>
        <w:spacing w:line="360" w:lineRule="auto"/>
        <w:ind w:firstLineChars="200" w:firstLine="420"/>
        <w:rPr>
          <w:szCs w:val="21"/>
        </w:rPr>
      </w:pPr>
      <w:r>
        <w:rPr>
          <w:rFonts w:hint="eastAsia"/>
          <w:szCs w:val="21"/>
        </w:rPr>
        <w:t>（</w:t>
      </w:r>
      <w:r>
        <w:rPr>
          <w:szCs w:val="21"/>
        </w:rPr>
        <w:t>17</w:t>
      </w:r>
      <w:r>
        <w:rPr>
          <w:rFonts w:hint="eastAsia"/>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711D3" w:rsidRDefault="004479D9">
      <w:pPr>
        <w:spacing w:line="360" w:lineRule="auto"/>
        <w:ind w:firstLineChars="200" w:firstLine="420"/>
        <w:rPr>
          <w:szCs w:val="21"/>
        </w:rPr>
      </w:pPr>
      <w:r>
        <w:rPr>
          <w:rFonts w:hint="eastAsia"/>
          <w:szCs w:val="21"/>
        </w:rPr>
        <w:t>（</w:t>
      </w:r>
      <w:r>
        <w:rPr>
          <w:szCs w:val="21"/>
        </w:rPr>
        <w:t>18</w:t>
      </w:r>
      <w:r>
        <w:rPr>
          <w:rFonts w:hint="eastAsia"/>
          <w:szCs w:val="21"/>
        </w:rPr>
        <w:t>）组织并参加基金财产清算小组，参与基金财产的保管、清理、估价、变现和分配；</w:t>
      </w:r>
    </w:p>
    <w:p w:rsidR="008711D3" w:rsidRDefault="004479D9">
      <w:pPr>
        <w:spacing w:line="360" w:lineRule="auto"/>
        <w:ind w:firstLineChars="200" w:firstLine="420"/>
        <w:rPr>
          <w:szCs w:val="21"/>
        </w:rPr>
      </w:pPr>
      <w:r>
        <w:rPr>
          <w:rFonts w:hint="eastAsia"/>
          <w:szCs w:val="21"/>
        </w:rPr>
        <w:lastRenderedPageBreak/>
        <w:t>（</w:t>
      </w:r>
      <w:r>
        <w:rPr>
          <w:szCs w:val="21"/>
        </w:rPr>
        <w:t>19</w:t>
      </w:r>
      <w:r>
        <w:rPr>
          <w:rFonts w:hint="eastAsia"/>
          <w:szCs w:val="21"/>
        </w:rPr>
        <w:t>）面临解散、依法被撤销或者被依法宣告破产时，及时报告中国证监会并通知基金托管人；</w:t>
      </w:r>
    </w:p>
    <w:p w:rsidR="008711D3" w:rsidRDefault="004479D9">
      <w:pPr>
        <w:spacing w:line="360" w:lineRule="auto"/>
        <w:ind w:firstLineChars="200" w:firstLine="420"/>
        <w:rPr>
          <w:szCs w:val="21"/>
        </w:rPr>
      </w:pPr>
      <w:r>
        <w:rPr>
          <w:rFonts w:hint="eastAsia"/>
          <w:szCs w:val="21"/>
        </w:rPr>
        <w:t>（</w:t>
      </w:r>
      <w:r>
        <w:rPr>
          <w:szCs w:val="21"/>
        </w:rPr>
        <w:t>20</w:t>
      </w:r>
      <w:r>
        <w:rPr>
          <w:rFonts w:hint="eastAsia"/>
          <w:szCs w:val="21"/>
        </w:rPr>
        <w:t>）因违反基金合同导致基金财产的损失或损害基金份额持有人合法权益时，应当承担赔偿责任，其赔偿责任不因其退任而免除；</w:t>
      </w:r>
    </w:p>
    <w:p w:rsidR="008711D3" w:rsidRDefault="004479D9">
      <w:pPr>
        <w:spacing w:line="360" w:lineRule="auto"/>
        <w:ind w:firstLineChars="200" w:firstLine="420"/>
        <w:rPr>
          <w:szCs w:val="21"/>
        </w:rPr>
      </w:pPr>
      <w:r>
        <w:rPr>
          <w:rFonts w:hint="eastAsia"/>
          <w:szCs w:val="21"/>
        </w:rPr>
        <w:t>（</w:t>
      </w:r>
      <w:r>
        <w:rPr>
          <w:szCs w:val="21"/>
        </w:rPr>
        <w:t>21</w:t>
      </w:r>
      <w:r>
        <w:rPr>
          <w:rFonts w:hint="eastAsia"/>
          <w:szCs w:val="21"/>
        </w:rPr>
        <w:t>）监督基金托管人按法律法规和基金合同规定履行自己的义务，基金托管人违反基金合同造成基金财产损失时，基金管理人应为基金份额持有人利益向基金托管人追偿；</w:t>
      </w:r>
    </w:p>
    <w:p w:rsidR="008711D3" w:rsidRDefault="004479D9">
      <w:pPr>
        <w:spacing w:line="360" w:lineRule="auto"/>
        <w:ind w:firstLineChars="200" w:firstLine="420"/>
        <w:rPr>
          <w:szCs w:val="21"/>
        </w:rPr>
      </w:pPr>
      <w:r>
        <w:rPr>
          <w:rFonts w:hint="eastAsia"/>
          <w:szCs w:val="21"/>
        </w:rPr>
        <w:t>（</w:t>
      </w:r>
      <w:r>
        <w:rPr>
          <w:szCs w:val="21"/>
        </w:rPr>
        <w:t>22</w:t>
      </w:r>
      <w:r>
        <w:rPr>
          <w:rFonts w:hint="eastAsia"/>
          <w:szCs w:val="21"/>
        </w:rPr>
        <w:t>）当基金管理人将其义务委托第三方处理时，应当对第三方处理有关基金事务的行为承担责任；</w:t>
      </w:r>
    </w:p>
    <w:p w:rsidR="008711D3" w:rsidRDefault="004479D9">
      <w:pPr>
        <w:spacing w:line="360" w:lineRule="auto"/>
        <w:ind w:firstLineChars="200" w:firstLine="420"/>
        <w:rPr>
          <w:szCs w:val="21"/>
        </w:rPr>
      </w:pPr>
      <w:r>
        <w:rPr>
          <w:rFonts w:hint="eastAsia"/>
          <w:szCs w:val="21"/>
        </w:rPr>
        <w:t>（</w:t>
      </w:r>
      <w:r>
        <w:rPr>
          <w:szCs w:val="21"/>
        </w:rPr>
        <w:t>23</w:t>
      </w:r>
      <w:r>
        <w:rPr>
          <w:rFonts w:hint="eastAsia"/>
          <w:szCs w:val="21"/>
        </w:rPr>
        <w:t>）以基金管理人名义，代表基金份额持有人利益行使诉讼权利或实施其他法律行为；</w:t>
      </w:r>
    </w:p>
    <w:p w:rsidR="008711D3" w:rsidRDefault="004479D9">
      <w:pPr>
        <w:spacing w:line="360" w:lineRule="auto"/>
        <w:ind w:firstLineChars="200" w:firstLine="420"/>
        <w:rPr>
          <w:szCs w:val="21"/>
        </w:rPr>
      </w:pPr>
      <w:r>
        <w:rPr>
          <w:rFonts w:hint="eastAsia"/>
          <w:szCs w:val="21"/>
        </w:rPr>
        <w:t>（</w:t>
      </w:r>
      <w:r>
        <w:rPr>
          <w:szCs w:val="21"/>
        </w:rPr>
        <w:t>24</w:t>
      </w:r>
      <w:r>
        <w:rPr>
          <w:rFonts w:hint="eastAsia"/>
          <w:szCs w:val="21"/>
        </w:rPr>
        <w:t>）基金管理人在募集期满未能达到基金</w:t>
      </w:r>
      <w:bookmarkStart w:id="138" w:name="_Hlt88823209"/>
      <w:bookmarkEnd w:id="138"/>
      <w:r>
        <w:rPr>
          <w:rFonts w:hint="eastAsia"/>
          <w:szCs w:val="21"/>
        </w:rPr>
        <w:t>的备案条件，基金合同不能生效，基金管理人应当将已募集资金并加计银行同期活期存款利息在基金募集期结束后</w:t>
      </w:r>
      <w:r>
        <w:rPr>
          <w:szCs w:val="21"/>
        </w:rPr>
        <w:t>30</w:t>
      </w:r>
      <w:r>
        <w:rPr>
          <w:rFonts w:hint="eastAsia"/>
          <w:szCs w:val="21"/>
        </w:rPr>
        <w:t>日内退还基金认购人；</w:t>
      </w:r>
    </w:p>
    <w:p w:rsidR="008711D3" w:rsidRDefault="004479D9">
      <w:pPr>
        <w:spacing w:line="360" w:lineRule="auto"/>
        <w:ind w:firstLineChars="200" w:firstLine="420"/>
        <w:rPr>
          <w:szCs w:val="21"/>
        </w:rPr>
      </w:pPr>
      <w:r>
        <w:rPr>
          <w:rFonts w:hint="eastAsia"/>
          <w:szCs w:val="21"/>
        </w:rPr>
        <w:t>（</w:t>
      </w:r>
      <w:r>
        <w:rPr>
          <w:szCs w:val="21"/>
        </w:rPr>
        <w:t>25</w:t>
      </w:r>
      <w:r>
        <w:rPr>
          <w:rFonts w:hint="eastAsia"/>
          <w:szCs w:val="21"/>
        </w:rPr>
        <w:t>）执行生效的基金份额持有人大会的决议；</w:t>
      </w:r>
    </w:p>
    <w:p w:rsidR="008711D3" w:rsidRDefault="004479D9">
      <w:pPr>
        <w:spacing w:line="360" w:lineRule="auto"/>
        <w:ind w:firstLineChars="200" w:firstLine="420"/>
        <w:rPr>
          <w:szCs w:val="21"/>
        </w:rPr>
      </w:pPr>
      <w:r>
        <w:rPr>
          <w:rFonts w:hint="eastAsia"/>
          <w:szCs w:val="21"/>
        </w:rPr>
        <w:t>（</w:t>
      </w:r>
      <w:r>
        <w:rPr>
          <w:szCs w:val="21"/>
        </w:rPr>
        <w:t>26</w:t>
      </w:r>
      <w:r>
        <w:rPr>
          <w:rFonts w:hint="eastAsia"/>
          <w:szCs w:val="21"/>
        </w:rPr>
        <w:t>）建立并保存基金份额持有人名册；</w:t>
      </w:r>
    </w:p>
    <w:p w:rsidR="008711D3" w:rsidRDefault="004479D9">
      <w:pPr>
        <w:spacing w:line="360" w:lineRule="auto"/>
        <w:ind w:firstLineChars="200" w:firstLine="420"/>
        <w:rPr>
          <w:bCs/>
          <w:szCs w:val="21"/>
        </w:rPr>
      </w:pPr>
      <w:r>
        <w:rPr>
          <w:rFonts w:hint="eastAsia"/>
          <w:szCs w:val="21"/>
        </w:rPr>
        <w:t>（</w:t>
      </w:r>
      <w:r>
        <w:rPr>
          <w:szCs w:val="21"/>
        </w:rPr>
        <w:t>27</w:t>
      </w:r>
      <w:r>
        <w:rPr>
          <w:rFonts w:hint="eastAsia"/>
          <w:szCs w:val="21"/>
        </w:rPr>
        <w:t>）法律法规或中国证监会或基金合同规定的其他义务。</w:t>
      </w:r>
    </w:p>
    <w:p w:rsidR="008711D3" w:rsidRDefault="004479D9">
      <w:pPr>
        <w:spacing w:line="360" w:lineRule="auto"/>
        <w:ind w:firstLineChars="200" w:firstLine="420"/>
        <w:rPr>
          <w:rFonts w:ascii="宋体" w:hAnsi="宋体"/>
          <w:bCs/>
          <w:szCs w:val="21"/>
        </w:rPr>
      </w:pPr>
      <w:bookmarkStart w:id="139" w:name="_Hlt88897298"/>
      <w:bookmarkEnd w:id="139"/>
      <w:r>
        <w:rPr>
          <w:rFonts w:ascii="宋体" w:hAnsi="宋体" w:hint="eastAsia"/>
          <w:bCs/>
          <w:szCs w:val="21"/>
        </w:rPr>
        <w:t>C.基金托管人的权利和义务</w:t>
      </w:r>
    </w:p>
    <w:p w:rsidR="008711D3" w:rsidRDefault="004479D9">
      <w:pPr>
        <w:spacing w:line="360" w:lineRule="auto"/>
        <w:ind w:firstLineChars="200" w:firstLine="420"/>
        <w:rPr>
          <w:szCs w:val="21"/>
        </w:rPr>
      </w:pPr>
      <w:r>
        <w:rPr>
          <w:szCs w:val="21"/>
        </w:rPr>
        <w:t>1</w:t>
      </w:r>
      <w:r>
        <w:rPr>
          <w:rFonts w:hint="eastAsia"/>
          <w:szCs w:val="21"/>
        </w:rPr>
        <w:t>、根据《基金法》、《运作办法》及其他有关规定，基金托管人的权利包括但不限于：</w:t>
      </w:r>
    </w:p>
    <w:p w:rsidR="008711D3" w:rsidRDefault="004479D9">
      <w:pPr>
        <w:spacing w:line="360" w:lineRule="auto"/>
        <w:ind w:firstLineChars="200" w:firstLine="420"/>
        <w:rPr>
          <w:szCs w:val="21"/>
        </w:rPr>
      </w:pPr>
      <w:r>
        <w:rPr>
          <w:rFonts w:hint="eastAsia"/>
          <w:szCs w:val="21"/>
        </w:rPr>
        <w:t>（</w:t>
      </w:r>
      <w:r>
        <w:rPr>
          <w:szCs w:val="21"/>
        </w:rPr>
        <w:t>1</w:t>
      </w:r>
      <w:r>
        <w:rPr>
          <w:rFonts w:hint="eastAsia"/>
          <w:szCs w:val="21"/>
        </w:rPr>
        <w:t>）自基金合同生效之日起，依法律法规和基金合同的规定安全保管基金财产；</w:t>
      </w:r>
    </w:p>
    <w:p w:rsidR="008711D3" w:rsidRDefault="004479D9">
      <w:pPr>
        <w:spacing w:line="360" w:lineRule="auto"/>
        <w:ind w:firstLineChars="200" w:firstLine="420"/>
        <w:rPr>
          <w:szCs w:val="21"/>
        </w:rPr>
      </w:pPr>
      <w:r>
        <w:rPr>
          <w:rFonts w:hint="eastAsia"/>
          <w:szCs w:val="21"/>
        </w:rPr>
        <w:t>（</w:t>
      </w:r>
      <w:r>
        <w:rPr>
          <w:szCs w:val="21"/>
        </w:rPr>
        <w:t>2</w:t>
      </w:r>
      <w:r>
        <w:rPr>
          <w:rFonts w:hint="eastAsia"/>
          <w:szCs w:val="21"/>
        </w:rPr>
        <w:t>）依基金合同约定获得基金托管费以及法律法规规定或监管部门批准的其他费用；</w:t>
      </w:r>
    </w:p>
    <w:p w:rsidR="008711D3" w:rsidRDefault="004479D9">
      <w:pPr>
        <w:spacing w:line="360" w:lineRule="auto"/>
        <w:ind w:firstLineChars="200" w:firstLine="420"/>
        <w:rPr>
          <w:szCs w:val="21"/>
        </w:rPr>
      </w:pPr>
      <w:r>
        <w:rPr>
          <w:rFonts w:hint="eastAsia"/>
          <w:szCs w:val="21"/>
        </w:rPr>
        <w:t>（</w:t>
      </w:r>
      <w:r>
        <w:rPr>
          <w:szCs w:val="21"/>
        </w:rPr>
        <w:t>3</w:t>
      </w:r>
      <w:r>
        <w:rPr>
          <w:rFonts w:hint="eastAsia"/>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8711D3" w:rsidRDefault="004479D9">
      <w:pPr>
        <w:spacing w:line="360" w:lineRule="auto"/>
        <w:ind w:firstLineChars="200" w:firstLine="420"/>
        <w:rPr>
          <w:szCs w:val="21"/>
        </w:rPr>
      </w:pPr>
      <w:r>
        <w:rPr>
          <w:rFonts w:hint="eastAsia"/>
          <w:szCs w:val="21"/>
        </w:rPr>
        <w:t>（</w:t>
      </w:r>
      <w:r>
        <w:rPr>
          <w:szCs w:val="21"/>
        </w:rPr>
        <w:t>4</w:t>
      </w:r>
      <w:r>
        <w:rPr>
          <w:rFonts w:hint="eastAsia"/>
          <w:szCs w:val="21"/>
        </w:rPr>
        <w:t>）根据相关市场规则，为基金开设</w:t>
      </w:r>
      <w:r>
        <w:rPr>
          <w:rFonts w:hint="eastAsia"/>
          <w:bCs/>
          <w:szCs w:val="21"/>
        </w:rPr>
        <w:t>资金账户、</w:t>
      </w:r>
      <w:r>
        <w:rPr>
          <w:rFonts w:hint="eastAsia"/>
          <w:szCs w:val="21"/>
        </w:rPr>
        <w:t>证券账户等投资所需账户、为基金办理证券、期货交易资金清算</w:t>
      </w:r>
      <w:r>
        <w:rPr>
          <w:rFonts w:hint="eastAsia"/>
          <w:bCs/>
          <w:szCs w:val="21"/>
        </w:rPr>
        <w:t>；</w:t>
      </w:r>
    </w:p>
    <w:p w:rsidR="008711D3" w:rsidRDefault="004479D9">
      <w:pPr>
        <w:spacing w:line="360" w:lineRule="auto"/>
        <w:ind w:firstLineChars="200" w:firstLine="420"/>
        <w:rPr>
          <w:szCs w:val="21"/>
        </w:rPr>
      </w:pPr>
      <w:r>
        <w:rPr>
          <w:rFonts w:hint="eastAsia"/>
          <w:szCs w:val="21"/>
        </w:rPr>
        <w:t>（</w:t>
      </w:r>
      <w:r>
        <w:rPr>
          <w:szCs w:val="21"/>
        </w:rPr>
        <w:t>5</w:t>
      </w:r>
      <w:r>
        <w:rPr>
          <w:rFonts w:hint="eastAsia"/>
          <w:szCs w:val="21"/>
        </w:rPr>
        <w:t>）提议召开或召集基金份额持有人大会；</w:t>
      </w:r>
    </w:p>
    <w:p w:rsidR="008711D3" w:rsidRDefault="004479D9">
      <w:pPr>
        <w:spacing w:line="360" w:lineRule="auto"/>
        <w:ind w:firstLineChars="200" w:firstLine="420"/>
        <w:rPr>
          <w:szCs w:val="21"/>
        </w:rPr>
      </w:pPr>
      <w:r>
        <w:rPr>
          <w:rFonts w:hint="eastAsia"/>
          <w:szCs w:val="21"/>
        </w:rPr>
        <w:t>（</w:t>
      </w:r>
      <w:r>
        <w:rPr>
          <w:szCs w:val="21"/>
        </w:rPr>
        <w:t>6</w:t>
      </w:r>
      <w:r>
        <w:rPr>
          <w:rFonts w:hint="eastAsia"/>
          <w:szCs w:val="21"/>
        </w:rPr>
        <w:t>）在基金管理人更换时，提名新的基金管理人；</w:t>
      </w:r>
    </w:p>
    <w:p w:rsidR="008711D3" w:rsidRDefault="004479D9">
      <w:pPr>
        <w:spacing w:line="360" w:lineRule="auto"/>
        <w:ind w:firstLineChars="200" w:firstLine="420"/>
        <w:rPr>
          <w:szCs w:val="21"/>
        </w:rPr>
      </w:pPr>
      <w:r>
        <w:rPr>
          <w:rFonts w:hint="eastAsia"/>
          <w:szCs w:val="21"/>
        </w:rPr>
        <w:t>（</w:t>
      </w:r>
      <w:r>
        <w:rPr>
          <w:szCs w:val="21"/>
        </w:rPr>
        <w:t>7</w:t>
      </w:r>
      <w:r>
        <w:rPr>
          <w:rFonts w:hint="eastAsia"/>
          <w:szCs w:val="21"/>
        </w:rPr>
        <w:t>）法律法规或中国证监会或基金合同规定的其他权利。</w:t>
      </w:r>
    </w:p>
    <w:p w:rsidR="008711D3" w:rsidRDefault="004479D9">
      <w:pPr>
        <w:spacing w:line="360" w:lineRule="auto"/>
        <w:ind w:firstLineChars="200" w:firstLine="420"/>
        <w:rPr>
          <w:szCs w:val="21"/>
        </w:rPr>
      </w:pPr>
      <w:r>
        <w:rPr>
          <w:szCs w:val="21"/>
        </w:rPr>
        <w:t>2</w:t>
      </w:r>
      <w:r>
        <w:rPr>
          <w:rFonts w:hint="eastAsia"/>
          <w:szCs w:val="21"/>
        </w:rPr>
        <w:t>、根据《基金法》、《运作办法》及其他有关规定，基金托管人的义务包括但不限于：</w:t>
      </w:r>
    </w:p>
    <w:p w:rsidR="008711D3" w:rsidRDefault="004479D9">
      <w:pPr>
        <w:spacing w:line="360" w:lineRule="auto"/>
        <w:ind w:firstLineChars="200" w:firstLine="420"/>
        <w:rPr>
          <w:szCs w:val="21"/>
        </w:rPr>
      </w:pPr>
      <w:r>
        <w:rPr>
          <w:rFonts w:hint="eastAsia"/>
          <w:szCs w:val="21"/>
        </w:rPr>
        <w:t>（</w:t>
      </w:r>
      <w:r>
        <w:rPr>
          <w:szCs w:val="21"/>
        </w:rPr>
        <w:t>1</w:t>
      </w:r>
      <w:r>
        <w:rPr>
          <w:rFonts w:hint="eastAsia"/>
          <w:szCs w:val="21"/>
        </w:rPr>
        <w:t>）以诚实信用、勤勉尽责的原则持有并安全保管基金财产；</w:t>
      </w:r>
    </w:p>
    <w:p w:rsidR="008711D3" w:rsidRDefault="004479D9">
      <w:pPr>
        <w:spacing w:line="360" w:lineRule="auto"/>
        <w:ind w:firstLineChars="200" w:firstLine="420"/>
        <w:rPr>
          <w:szCs w:val="21"/>
        </w:rPr>
      </w:pPr>
      <w:r>
        <w:rPr>
          <w:rFonts w:hint="eastAsia"/>
          <w:szCs w:val="21"/>
        </w:rPr>
        <w:t>（</w:t>
      </w:r>
      <w:r>
        <w:rPr>
          <w:szCs w:val="21"/>
        </w:rPr>
        <w:t>2</w:t>
      </w:r>
      <w:r>
        <w:rPr>
          <w:rFonts w:hint="eastAsia"/>
          <w:szCs w:val="21"/>
        </w:rPr>
        <w:t>）设立专门的基金托管部门，具有符合要求的营业场所，配备足够的、合格的熟悉</w:t>
      </w:r>
      <w:r>
        <w:rPr>
          <w:rFonts w:hint="eastAsia"/>
          <w:szCs w:val="21"/>
        </w:rPr>
        <w:lastRenderedPageBreak/>
        <w:t>基金托管业务的专职人员，负责基金财产托管事宜；</w:t>
      </w:r>
    </w:p>
    <w:p w:rsidR="008711D3" w:rsidRDefault="004479D9">
      <w:pPr>
        <w:spacing w:line="360" w:lineRule="auto"/>
        <w:ind w:firstLineChars="200" w:firstLine="420"/>
        <w:rPr>
          <w:szCs w:val="21"/>
        </w:rPr>
      </w:pPr>
      <w:r>
        <w:rPr>
          <w:rFonts w:hint="eastAsia"/>
          <w:szCs w:val="21"/>
        </w:rPr>
        <w:t>（</w:t>
      </w:r>
      <w:r>
        <w:rPr>
          <w:szCs w:val="21"/>
        </w:rPr>
        <w:t>3</w:t>
      </w:r>
      <w:r>
        <w:rPr>
          <w:rFonts w:hint="eastAsia"/>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711D3" w:rsidRDefault="004479D9">
      <w:pPr>
        <w:spacing w:line="360" w:lineRule="auto"/>
        <w:ind w:firstLineChars="200" w:firstLine="420"/>
        <w:rPr>
          <w:szCs w:val="21"/>
        </w:rPr>
      </w:pPr>
      <w:r>
        <w:rPr>
          <w:rFonts w:hint="eastAsia"/>
          <w:szCs w:val="21"/>
        </w:rPr>
        <w:t>（</w:t>
      </w:r>
      <w:r>
        <w:rPr>
          <w:szCs w:val="21"/>
        </w:rPr>
        <w:t>4</w:t>
      </w:r>
      <w:r>
        <w:rPr>
          <w:rFonts w:hint="eastAsia"/>
          <w:szCs w:val="21"/>
        </w:rPr>
        <w:t>）除依据《基金法》、基金合同及其他有关规定外，不得利用基金财产为自己及任何第三人谋取利益，不得委托第三人托管基金财产；</w:t>
      </w:r>
    </w:p>
    <w:p w:rsidR="008711D3" w:rsidRDefault="004479D9">
      <w:pPr>
        <w:spacing w:line="360" w:lineRule="auto"/>
        <w:ind w:firstLineChars="200" w:firstLine="420"/>
        <w:rPr>
          <w:szCs w:val="21"/>
        </w:rPr>
      </w:pPr>
      <w:r>
        <w:rPr>
          <w:rFonts w:hint="eastAsia"/>
          <w:szCs w:val="21"/>
        </w:rPr>
        <w:t>（</w:t>
      </w:r>
      <w:r>
        <w:rPr>
          <w:szCs w:val="21"/>
        </w:rPr>
        <w:t>5</w:t>
      </w:r>
      <w:r>
        <w:rPr>
          <w:rFonts w:hint="eastAsia"/>
          <w:szCs w:val="21"/>
        </w:rPr>
        <w:t>）保管由基金管理人代表基金签订的与基金有关的重大合同及有关凭证；</w:t>
      </w:r>
    </w:p>
    <w:p w:rsidR="008711D3" w:rsidRDefault="004479D9">
      <w:pPr>
        <w:spacing w:line="360" w:lineRule="auto"/>
        <w:ind w:firstLineChars="200" w:firstLine="420"/>
        <w:rPr>
          <w:szCs w:val="21"/>
        </w:rPr>
      </w:pPr>
      <w:r>
        <w:rPr>
          <w:rFonts w:hint="eastAsia"/>
          <w:szCs w:val="21"/>
        </w:rPr>
        <w:t>（</w:t>
      </w:r>
      <w:r>
        <w:rPr>
          <w:szCs w:val="21"/>
        </w:rPr>
        <w:t>6</w:t>
      </w:r>
      <w:r>
        <w:rPr>
          <w:rFonts w:hint="eastAsia"/>
          <w:szCs w:val="21"/>
        </w:rPr>
        <w:t>）按规定开设基金财产的资金账户和证券账户等投资所需账户，按照基金合同的约定，根据基金管理人的投资指令，及时办理清算、交割事宜；</w:t>
      </w:r>
    </w:p>
    <w:p w:rsidR="008711D3" w:rsidRDefault="004479D9">
      <w:pPr>
        <w:spacing w:line="360" w:lineRule="auto"/>
        <w:ind w:firstLineChars="200" w:firstLine="420"/>
        <w:rPr>
          <w:szCs w:val="21"/>
        </w:rPr>
      </w:pPr>
      <w:r>
        <w:rPr>
          <w:rFonts w:hint="eastAsia"/>
          <w:szCs w:val="21"/>
        </w:rPr>
        <w:t>（</w:t>
      </w:r>
      <w:r>
        <w:rPr>
          <w:szCs w:val="21"/>
        </w:rPr>
        <w:t>7</w:t>
      </w:r>
      <w:r>
        <w:rPr>
          <w:rFonts w:hint="eastAsia"/>
          <w:szCs w:val="21"/>
        </w:rPr>
        <w:t>）保守基金商业秘密，除《基金法》、基金合同及其他有关规定另有规定外，在基金信息公开披露前予以保密，不得向他人泄露，但向监管机构、司法机关等有权机关的要求，或因审计、法律等外部专业顾问提供服务需要提供的情况除外；</w:t>
      </w:r>
    </w:p>
    <w:p w:rsidR="008711D3" w:rsidRDefault="004479D9">
      <w:pPr>
        <w:spacing w:line="360" w:lineRule="auto"/>
        <w:ind w:firstLineChars="200" w:firstLine="420"/>
        <w:rPr>
          <w:szCs w:val="21"/>
        </w:rPr>
      </w:pPr>
      <w:r>
        <w:rPr>
          <w:rFonts w:hint="eastAsia"/>
          <w:szCs w:val="21"/>
        </w:rPr>
        <w:t>（</w:t>
      </w:r>
      <w:r>
        <w:rPr>
          <w:szCs w:val="21"/>
        </w:rPr>
        <w:t>8</w:t>
      </w:r>
      <w:r>
        <w:rPr>
          <w:rFonts w:hint="eastAsia"/>
          <w:szCs w:val="21"/>
        </w:rPr>
        <w:t>）复核、审查基金管理人计算的基金资产净值、基金份额净值、基金份额申购、赎回价格；</w:t>
      </w:r>
    </w:p>
    <w:p w:rsidR="008711D3" w:rsidRDefault="004479D9">
      <w:pPr>
        <w:spacing w:line="360" w:lineRule="auto"/>
        <w:ind w:firstLineChars="200" w:firstLine="420"/>
        <w:rPr>
          <w:szCs w:val="21"/>
        </w:rPr>
      </w:pPr>
      <w:r>
        <w:rPr>
          <w:rFonts w:hint="eastAsia"/>
          <w:szCs w:val="21"/>
        </w:rPr>
        <w:t>（</w:t>
      </w:r>
      <w:r>
        <w:rPr>
          <w:szCs w:val="21"/>
        </w:rPr>
        <w:t>9</w:t>
      </w:r>
      <w:r>
        <w:rPr>
          <w:rFonts w:hint="eastAsia"/>
          <w:szCs w:val="21"/>
        </w:rPr>
        <w:t>）办理与基金托管业务活动有关的信息披露事项；</w:t>
      </w:r>
    </w:p>
    <w:p w:rsidR="008711D3" w:rsidRDefault="004479D9">
      <w:pPr>
        <w:spacing w:line="360" w:lineRule="auto"/>
        <w:ind w:firstLineChars="200" w:firstLine="420"/>
        <w:rPr>
          <w:szCs w:val="21"/>
        </w:rPr>
      </w:pPr>
      <w:r>
        <w:rPr>
          <w:rFonts w:hint="eastAsia"/>
          <w:szCs w:val="21"/>
        </w:rPr>
        <w:t>（</w:t>
      </w:r>
      <w:r>
        <w:rPr>
          <w:szCs w:val="21"/>
        </w:rPr>
        <w:t>10</w:t>
      </w:r>
      <w:r>
        <w:rPr>
          <w:rFonts w:hint="eastAsia"/>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8711D3" w:rsidRDefault="004479D9">
      <w:pPr>
        <w:spacing w:line="360" w:lineRule="auto"/>
        <w:ind w:firstLineChars="200" w:firstLine="420"/>
        <w:rPr>
          <w:szCs w:val="21"/>
        </w:rPr>
      </w:pPr>
      <w:r>
        <w:rPr>
          <w:rFonts w:hint="eastAsia"/>
          <w:szCs w:val="21"/>
        </w:rPr>
        <w:t>（</w:t>
      </w:r>
      <w:r>
        <w:rPr>
          <w:szCs w:val="21"/>
        </w:rPr>
        <w:t>11</w:t>
      </w:r>
      <w:r>
        <w:rPr>
          <w:rFonts w:hint="eastAsia"/>
          <w:szCs w:val="21"/>
        </w:rPr>
        <w:t>）保存基金托管业务活动的记录、账册、报表和其他相关资料不低于法律法规要求的最低年限；</w:t>
      </w:r>
    </w:p>
    <w:p w:rsidR="008711D3" w:rsidRDefault="004479D9">
      <w:pPr>
        <w:spacing w:line="360" w:lineRule="auto"/>
        <w:ind w:firstLineChars="200" w:firstLine="420"/>
        <w:rPr>
          <w:szCs w:val="21"/>
        </w:rPr>
      </w:pPr>
      <w:r>
        <w:rPr>
          <w:rFonts w:hint="eastAsia"/>
          <w:szCs w:val="21"/>
        </w:rPr>
        <w:t>（</w:t>
      </w:r>
      <w:r>
        <w:rPr>
          <w:szCs w:val="21"/>
        </w:rPr>
        <w:t>12</w:t>
      </w:r>
      <w:r>
        <w:rPr>
          <w:rFonts w:hint="eastAsia"/>
          <w:szCs w:val="21"/>
        </w:rPr>
        <w:t>）</w:t>
      </w:r>
      <w:r>
        <w:rPr>
          <w:rFonts w:hint="eastAsia"/>
          <w:bCs/>
          <w:szCs w:val="21"/>
        </w:rPr>
        <w:t>从基金管理人或其委托的登记机构处接收</w:t>
      </w:r>
      <w:r>
        <w:rPr>
          <w:rFonts w:hint="eastAsia"/>
          <w:szCs w:val="21"/>
        </w:rPr>
        <w:t>并保存基金份额持有人名册；</w:t>
      </w:r>
    </w:p>
    <w:p w:rsidR="008711D3" w:rsidRDefault="004479D9">
      <w:pPr>
        <w:spacing w:line="360" w:lineRule="auto"/>
        <w:ind w:firstLineChars="200" w:firstLine="420"/>
        <w:rPr>
          <w:szCs w:val="21"/>
        </w:rPr>
      </w:pPr>
      <w:r>
        <w:rPr>
          <w:rFonts w:hint="eastAsia"/>
          <w:szCs w:val="21"/>
        </w:rPr>
        <w:t>（</w:t>
      </w:r>
      <w:r>
        <w:rPr>
          <w:szCs w:val="21"/>
        </w:rPr>
        <w:t>13</w:t>
      </w:r>
      <w:r>
        <w:rPr>
          <w:rFonts w:hint="eastAsia"/>
          <w:szCs w:val="21"/>
        </w:rPr>
        <w:t>）按规定制作相关账册并与基金管理人核对；</w:t>
      </w:r>
    </w:p>
    <w:p w:rsidR="008711D3" w:rsidRDefault="004479D9">
      <w:pPr>
        <w:spacing w:line="360" w:lineRule="auto"/>
        <w:ind w:firstLineChars="200" w:firstLine="420"/>
        <w:rPr>
          <w:szCs w:val="21"/>
        </w:rPr>
      </w:pPr>
      <w:r>
        <w:rPr>
          <w:rFonts w:hint="eastAsia"/>
          <w:szCs w:val="21"/>
        </w:rPr>
        <w:t>（</w:t>
      </w:r>
      <w:r>
        <w:rPr>
          <w:szCs w:val="21"/>
        </w:rPr>
        <w:t>14</w:t>
      </w:r>
      <w:r>
        <w:rPr>
          <w:rFonts w:hint="eastAsia"/>
          <w:szCs w:val="21"/>
        </w:rPr>
        <w:t>）依据基金管理人的指令或有关规定向基金份额持有人支付基金收益和赎回款项；</w:t>
      </w:r>
    </w:p>
    <w:p w:rsidR="008711D3" w:rsidRDefault="004479D9">
      <w:pPr>
        <w:spacing w:line="360" w:lineRule="auto"/>
        <w:ind w:firstLineChars="200" w:firstLine="420"/>
        <w:rPr>
          <w:szCs w:val="21"/>
        </w:rPr>
      </w:pPr>
      <w:r>
        <w:rPr>
          <w:rFonts w:hint="eastAsia"/>
          <w:szCs w:val="21"/>
        </w:rPr>
        <w:t>（</w:t>
      </w:r>
      <w:r>
        <w:rPr>
          <w:szCs w:val="21"/>
        </w:rPr>
        <w:t>15</w:t>
      </w:r>
      <w:r>
        <w:rPr>
          <w:rFonts w:hint="eastAsia"/>
          <w:szCs w:val="21"/>
        </w:rPr>
        <w:t>）依据《基金法》、基金合同及其他有关规定，召集基金份额持有人大会或配合基金管理人、基金份额持有人依法召集基金份额持有人大会；</w:t>
      </w:r>
    </w:p>
    <w:p w:rsidR="008711D3" w:rsidRDefault="004479D9">
      <w:pPr>
        <w:spacing w:line="360" w:lineRule="auto"/>
        <w:ind w:firstLineChars="200" w:firstLine="420"/>
        <w:rPr>
          <w:szCs w:val="21"/>
        </w:rPr>
      </w:pPr>
      <w:r>
        <w:rPr>
          <w:rFonts w:hint="eastAsia"/>
          <w:szCs w:val="21"/>
        </w:rPr>
        <w:t>（</w:t>
      </w:r>
      <w:r>
        <w:rPr>
          <w:szCs w:val="21"/>
        </w:rPr>
        <w:t>16</w:t>
      </w:r>
      <w:r>
        <w:rPr>
          <w:rFonts w:hint="eastAsia"/>
          <w:szCs w:val="21"/>
        </w:rPr>
        <w:t>）按照法律法规和基金合同的规定监督基金管理人的投资运作；</w:t>
      </w:r>
    </w:p>
    <w:p w:rsidR="008711D3" w:rsidRDefault="004479D9">
      <w:pPr>
        <w:spacing w:line="360" w:lineRule="auto"/>
        <w:ind w:firstLineChars="200" w:firstLine="420"/>
        <w:rPr>
          <w:szCs w:val="21"/>
        </w:rPr>
      </w:pPr>
      <w:r>
        <w:rPr>
          <w:rFonts w:hint="eastAsia"/>
          <w:szCs w:val="21"/>
        </w:rPr>
        <w:t>（</w:t>
      </w:r>
      <w:r>
        <w:rPr>
          <w:szCs w:val="21"/>
        </w:rPr>
        <w:t>17</w:t>
      </w:r>
      <w:r>
        <w:rPr>
          <w:rFonts w:hint="eastAsia"/>
          <w:szCs w:val="21"/>
        </w:rPr>
        <w:t>）参加基金财产清算小组，参与基金财产的保管、清理、估价、变现和分配；</w:t>
      </w:r>
    </w:p>
    <w:p w:rsidR="008711D3" w:rsidRDefault="004479D9">
      <w:pPr>
        <w:spacing w:line="360" w:lineRule="auto"/>
        <w:ind w:firstLineChars="200" w:firstLine="420"/>
        <w:rPr>
          <w:szCs w:val="21"/>
        </w:rPr>
      </w:pPr>
      <w:r>
        <w:rPr>
          <w:rFonts w:hint="eastAsia"/>
          <w:szCs w:val="21"/>
        </w:rPr>
        <w:t>（</w:t>
      </w:r>
      <w:r>
        <w:rPr>
          <w:szCs w:val="21"/>
        </w:rPr>
        <w:t>18</w:t>
      </w:r>
      <w:r>
        <w:rPr>
          <w:rFonts w:hint="eastAsia"/>
          <w:szCs w:val="21"/>
        </w:rPr>
        <w:t>）面临解散、依法被撤销或者被依法宣告破产时，及时报告中国证监会和银行监管机构，并通知基金管理人；</w:t>
      </w:r>
    </w:p>
    <w:p w:rsidR="008711D3" w:rsidRDefault="004479D9">
      <w:pPr>
        <w:spacing w:line="360" w:lineRule="auto"/>
        <w:ind w:firstLineChars="200" w:firstLine="420"/>
        <w:rPr>
          <w:szCs w:val="21"/>
        </w:rPr>
      </w:pPr>
      <w:r>
        <w:rPr>
          <w:rFonts w:hint="eastAsia"/>
          <w:szCs w:val="21"/>
        </w:rPr>
        <w:lastRenderedPageBreak/>
        <w:t>（</w:t>
      </w:r>
      <w:r>
        <w:rPr>
          <w:szCs w:val="21"/>
        </w:rPr>
        <w:t>19</w:t>
      </w:r>
      <w:r>
        <w:rPr>
          <w:rFonts w:hint="eastAsia"/>
          <w:szCs w:val="21"/>
        </w:rPr>
        <w:t>）因违反基金合同导致基金财产损失时，应承担赔偿责任，其赔偿责任不因其退任而免除；</w:t>
      </w:r>
    </w:p>
    <w:p w:rsidR="008711D3" w:rsidRDefault="004479D9">
      <w:pPr>
        <w:spacing w:line="360" w:lineRule="auto"/>
        <w:ind w:firstLineChars="200" w:firstLine="420"/>
        <w:rPr>
          <w:szCs w:val="21"/>
        </w:rPr>
      </w:pPr>
      <w:r>
        <w:rPr>
          <w:rFonts w:hint="eastAsia"/>
          <w:szCs w:val="21"/>
        </w:rPr>
        <w:t>（</w:t>
      </w:r>
      <w:r>
        <w:rPr>
          <w:szCs w:val="21"/>
        </w:rPr>
        <w:t>20</w:t>
      </w:r>
      <w:r>
        <w:rPr>
          <w:rFonts w:hint="eastAsia"/>
          <w:szCs w:val="21"/>
        </w:rPr>
        <w:t>）按规定监督基金管理人按法律法规和基金合同规定履行自己的义务，基金管理人因违反基金合同造成基金财产损失时，应为基金份额持有人利益向基金管理人追偿</w:t>
      </w:r>
      <w:bookmarkStart w:id="140" w:name="_Hlt88825668"/>
      <w:bookmarkEnd w:id="140"/>
      <w:r>
        <w:rPr>
          <w:rFonts w:hint="eastAsia"/>
          <w:szCs w:val="21"/>
        </w:rPr>
        <w:t>；</w:t>
      </w:r>
    </w:p>
    <w:p w:rsidR="008711D3" w:rsidRDefault="004479D9">
      <w:pPr>
        <w:spacing w:line="360" w:lineRule="auto"/>
        <w:ind w:firstLineChars="200" w:firstLine="420"/>
        <w:rPr>
          <w:szCs w:val="21"/>
        </w:rPr>
      </w:pPr>
      <w:r>
        <w:rPr>
          <w:rFonts w:hint="eastAsia"/>
          <w:szCs w:val="21"/>
        </w:rPr>
        <w:t>（</w:t>
      </w:r>
      <w:r>
        <w:rPr>
          <w:szCs w:val="21"/>
        </w:rPr>
        <w:t>21</w:t>
      </w:r>
      <w:r>
        <w:rPr>
          <w:rFonts w:hint="eastAsia"/>
          <w:szCs w:val="21"/>
        </w:rPr>
        <w:t>）执行生效的基金份额持有人大会的决议；</w:t>
      </w:r>
    </w:p>
    <w:p w:rsidR="008711D3" w:rsidRDefault="004479D9">
      <w:pPr>
        <w:spacing w:line="360" w:lineRule="auto"/>
        <w:ind w:firstLineChars="200" w:firstLine="420"/>
        <w:rPr>
          <w:szCs w:val="21"/>
        </w:rPr>
      </w:pPr>
      <w:r>
        <w:rPr>
          <w:rFonts w:hint="eastAsia"/>
          <w:szCs w:val="21"/>
        </w:rPr>
        <w:t>（</w:t>
      </w:r>
      <w:r>
        <w:rPr>
          <w:szCs w:val="21"/>
        </w:rPr>
        <w:t>22</w:t>
      </w:r>
      <w:r>
        <w:rPr>
          <w:rFonts w:hint="eastAsia"/>
          <w:szCs w:val="21"/>
        </w:rPr>
        <w:t>）</w:t>
      </w:r>
      <w:bookmarkStart w:id="141" w:name="_Toc523711670"/>
      <w:r>
        <w:rPr>
          <w:rFonts w:hint="eastAsia"/>
          <w:szCs w:val="21"/>
        </w:rPr>
        <w:t>法律法规或中国证监会或基金合同规定的其他义务。</w:t>
      </w:r>
      <w:bookmarkEnd w:id="141"/>
    </w:p>
    <w:p w:rsidR="008711D3" w:rsidRDefault="004479D9">
      <w:pPr>
        <w:spacing w:line="360" w:lineRule="auto"/>
        <w:rPr>
          <w:rFonts w:ascii="宋体" w:hAnsi="宋体"/>
          <w:b/>
          <w:bCs/>
          <w:szCs w:val="21"/>
        </w:rPr>
      </w:pPr>
      <w:r>
        <w:rPr>
          <w:rFonts w:ascii="宋体" w:hAnsi="宋体" w:hint="eastAsia"/>
          <w:b/>
          <w:bCs/>
          <w:szCs w:val="21"/>
        </w:rPr>
        <w:t>（二）基金份额持有人大会</w:t>
      </w:r>
    </w:p>
    <w:p w:rsidR="008711D3" w:rsidRDefault="004479D9">
      <w:pPr>
        <w:spacing w:line="360" w:lineRule="auto"/>
        <w:ind w:firstLineChars="200" w:firstLine="420"/>
        <w:rPr>
          <w:szCs w:val="21"/>
        </w:rPr>
      </w:pPr>
      <w:r>
        <w:rPr>
          <w:rFonts w:hint="eastAsia"/>
          <w:szCs w:val="21"/>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rsidR="008711D3" w:rsidRDefault="004479D9">
      <w:pPr>
        <w:spacing w:line="360" w:lineRule="auto"/>
        <w:ind w:firstLineChars="200" w:firstLine="420"/>
        <w:rPr>
          <w:szCs w:val="21"/>
        </w:rPr>
      </w:pPr>
      <w:bookmarkStart w:id="142" w:name="_Toc79392584"/>
      <w:bookmarkStart w:id="143" w:name="_Toc57530243"/>
      <w:bookmarkStart w:id="144" w:name="_Toc15641220"/>
      <w:r>
        <w:rPr>
          <w:rFonts w:hint="eastAsia"/>
          <w:szCs w:val="21"/>
        </w:rPr>
        <w:t>A</w:t>
      </w:r>
      <w:r>
        <w:rPr>
          <w:rFonts w:hint="eastAsia"/>
          <w:szCs w:val="21"/>
        </w:rPr>
        <w:t>、召开事由</w:t>
      </w:r>
      <w:bookmarkEnd w:id="142"/>
      <w:bookmarkEnd w:id="143"/>
      <w:bookmarkEnd w:id="144"/>
    </w:p>
    <w:p w:rsidR="008711D3" w:rsidRDefault="004479D9">
      <w:pPr>
        <w:spacing w:line="360" w:lineRule="auto"/>
        <w:ind w:firstLineChars="200" w:firstLine="420"/>
        <w:rPr>
          <w:szCs w:val="21"/>
        </w:rPr>
      </w:pPr>
      <w:r>
        <w:rPr>
          <w:szCs w:val="21"/>
        </w:rPr>
        <w:t>1</w:t>
      </w:r>
      <w:r>
        <w:rPr>
          <w:rFonts w:hint="eastAsia"/>
          <w:szCs w:val="21"/>
        </w:rPr>
        <w:t>、除法律法规或中国证监会另有规定外，当需要决定下列事由之一的，应当召开基金份额持有人大会：</w:t>
      </w:r>
    </w:p>
    <w:p w:rsidR="008711D3" w:rsidRDefault="004479D9">
      <w:pPr>
        <w:spacing w:line="440" w:lineRule="atLeast"/>
        <w:ind w:firstLineChars="200" w:firstLine="420"/>
        <w:rPr>
          <w:szCs w:val="21"/>
        </w:rPr>
      </w:pPr>
      <w:r>
        <w:rPr>
          <w:rFonts w:hint="eastAsia"/>
          <w:szCs w:val="21"/>
        </w:rPr>
        <w:t>（</w:t>
      </w:r>
      <w:r>
        <w:rPr>
          <w:szCs w:val="21"/>
        </w:rPr>
        <w:t>1</w:t>
      </w:r>
      <w:r>
        <w:rPr>
          <w:rFonts w:hint="eastAsia"/>
          <w:szCs w:val="21"/>
        </w:rPr>
        <w:t>）终止基金合同；</w:t>
      </w:r>
    </w:p>
    <w:p w:rsidR="008711D3" w:rsidRDefault="004479D9">
      <w:pPr>
        <w:spacing w:line="440" w:lineRule="atLeast"/>
        <w:ind w:firstLineChars="200" w:firstLine="420"/>
        <w:rPr>
          <w:szCs w:val="21"/>
        </w:rPr>
      </w:pPr>
      <w:r>
        <w:rPr>
          <w:rFonts w:hint="eastAsia"/>
          <w:szCs w:val="21"/>
        </w:rPr>
        <w:t>（</w:t>
      </w:r>
      <w:r>
        <w:rPr>
          <w:szCs w:val="21"/>
        </w:rPr>
        <w:t>2</w:t>
      </w:r>
      <w:r>
        <w:rPr>
          <w:rFonts w:hint="eastAsia"/>
          <w:szCs w:val="21"/>
        </w:rPr>
        <w:t>）更换基金管理人；</w:t>
      </w:r>
    </w:p>
    <w:p w:rsidR="008711D3" w:rsidRDefault="004479D9">
      <w:pPr>
        <w:spacing w:line="440" w:lineRule="atLeast"/>
        <w:ind w:firstLineChars="200" w:firstLine="420"/>
        <w:rPr>
          <w:szCs w:val="21"/>
        </w:rPr>
      </w:pPr>
      <w:r>
        <w:rPr>
          <w:rFonts w:hint="eastAsia"/>
          <w:szCs w:val="21"/>
        </w:rPr>
        <w:t>（</w:t>
      </w:r>
      <w:r>
        <w:rPr>
          <w:szCs w:val="21"/>
        </w:rPr>
        <w:t>3</w:t>
      </w:r>
      <w:r>
        <w:rPr>
          <w:rFonts w:hint="eastAsia"/>
          <w:szCs w:val="21"/>
        </w:rPr>
        <w:t>）更换基金托管人；</w:t>
      </w:r>
    </w:p>
    <w:p w:rsidR="008711D3" w:rsidRDefault="004479D9">
      <w:pPr>
        <w:spacing w:line="440" w:lineRule="atLeast"/>
        <w:ind w:firstLineChars="200" w:firstLine="420"/>
        <w:rPr>
          <w:szCs w:val="21"/>
        </w:rPr>
      </w:pPr>
      <w:r>
        <w:rPr>
          <w:rFonts w:hint="eastAsia"/>
          <w:szCs w:val="21"/>
        </w:rPr>
        <w:t>（</w:t>
      </w:r>
      <w:r>
        <w:rPr>
          <w:szCs w:val="21"/>
        </w:rPr>
        <w:t>4</w:t>
      </w:r>
      <w:r>
        <w:rPr>
          <w:rFonts w:hint="eastAsia"/>
          <w:szCs w:val="21"/>
        </w:rPr>
        <w:t>）转换基金运作方式；</w:t>
      </w:r>
    </w:p>
    <w:p w:rsidR="008711D3" w:rsidRDefault="004479D9">
      <w:pPr>
        <w:spacing w:line="440" w:lineRule="atLeast"/>
        <w:ind w:firstLineChars="200" w:firstLine="420"/>
        <w:rPr>
          <w:szCs w:val="21"/>
        </w:rPr>
      </w:pPr>
      <w:r>
        <w:rPr>
          <w:rFonts w:hint="eastAsia"/>
          <w:szCs w:val="21"/>
        </w:rPr>
        <w:t>（</w:t>
      </w:r>
      <w:r>
        <w:rPr>
          <w:szCs w:val="21"/>
        </w:rPr>
        <w:t>5</w:t>
      </w:r>
      <w:r>
        <w:rPr>
          <w:rFonts w:hint="eastAsia"/>
          <w:szCs w:val="21"/>
        </w:rPr>
        <w:t>）调整基金管理人、基金托管人的报酬标准；</w:t>
      </w:r>
    </w:p>
    <w:p w:rsidR="008711D3" w:rsidRDefault="004479D9">
      <w:pPr>
        <w:spacing w:line="440" w:lineRule="atLeast"/>
        <w:ind w:firstLineChars="200" w:firstLine="420"/>
        <w:rPr>
          <w:szCs w:val="21"/>
        </w:rPr>
      </w:pPr>
      <w:r>
        <w:rPr>
          <w:rFonts w:hint="eastAsia"/>
          <w:szCs w:val="21"/>
        </w:rPr>
        <w:t>（</w:t>
      </w:r>
      <w:r>
        <w:rPr>
          <w:szCs w:val="21"/>
        </w:rPr>
        <w:t>6</w:t>
      </w:r>
      <w:r>
        <w:rPr>
          <w:rFonts w:hint="eastAsia"/>
          <w:szCs w:val="21"/>
        </w:rPr>
        <w:t>）变更基金类别；</w:t>
      </w:r>
    </w:p>
    <w:p w:rsidR="008711D3" w:rsidRDefault="004479D9">
      <w:pPr>
        <w:spacing w:line="440" w:lineRule="atLeast"/>
        <w:ind w:firstLineChars="200" w:firstLine="420"/>
        <w:rPr>
          <w:szCs w:val="21"/>
        </w:rPr>
      </w:pPr>
      <w:r>
        <w:rPr>
          <w:rFonts w:hint="eastAsia"/>
          <w:szCs w:val="21"/>
        </w:rPr>
        <w:t>（</w:t>
      </w:r>
      <w:r>
        <w:rPr>
          <w:szCs w:val="21"/>
        </w:rPr>
        <w:t>7</w:t>
      </w:r>
      <w:r>
        <w:rPr>
          <w:rFonts w:hint="eastAsia"/>
          <w:szCs w:val="21"/>
        </w:rPr>
        <w:t>）本基金与其他基金的合并；</w:t>
      </w:r>
    </w:p>
    <w:p w:rsidR="008711D3" w:rsidRDefault="004479D9">
      <w:pPr>
        <w:spacing w:line="440" w:lineRule="atLeast"/>
        <w:ind w:firstLineChars="200" w:firstLine="420"/>
        <w:rPr>
          <w:szCs w:val="21"/>
        </w:rPr>
      </w:pPr>
      <w:r>
        <w:rPr>
          <w:rFonts w:hint="eastAsia"/>
          <w:szCs w:val="21"/>
        </w:rPr>
        <w:t>（</w:t>
      </w:r>
      <w:r>
        <w:rPr>
          <w:szCs w:val="21"/>
        </w:rPr>
        <w:t>8</w:t>
      </w:r>
      <w:r>
        <w:rPr>
          <w:rFonts w:hint="eastAsia"/>
          <w:szCs w:val="21"/>
        </w:rPr>
        <w:t>）变更基金投资目标、范围或策略；</w:t>
      </w:r>
    </w:p>
    <w:p w:rsidR="008711D3" w:rsidRDefault="004479D9">
      <w:pPr>
        <w:spacing w:line="440" w:lineRule="atLeast"/>
        <w:ind w:firstLineChars="200" w:firstLine="420"/>
        <w:rPr>
          <w:szCs w:val="21"/>
        </w:rPr>
      </w:pPr>
      <w:r>
        <w:rPr>
          <w:rFonts w:hint="eastAsia"/>
          <w:szCs w:val="21"/>
        </w:rPr>
        <w:t>（</w:t>
      </w:r>
      <w:r>
        <w:rPr>
          <w:szCs w:val="21"/>
        </w:rPr>
        <w:t>9</w:t>
      </w:r>
      <w:r>
        <w:rPr>
          <w:rFonts w:hint="eastAsia"/>
          <w:szCs w:val="21"/>
        </w:rPr>
        <w:t>）变更基金份额持有人大会程序；</w:t>
      </w:r>
    </w:p>
    <w:p w:rsidR="008711D3" w:rsidRDefault="004479D9">
      <w:pPr>
        <w:spacing w:line="440" w:lineRule="atLeast"/>
        <w:ind w:firstLineChars="200" w:firstLine="420"/>
        <w:rPr>
          <w:szCs w:val="21"/>
        </w:rPr>
      </w:pPr>
      <w:r>
        <w:rPr>
          <w:bCs/>
          <w:szCs w:val="21"/>
        </w:rPr>
        <w:t>（</w:t>
      </w:r>
      <w:r>
        <w:rPr>
          <w:bCs/>
          <w:szCs w:val="21"/>
        </w:rPr>
        <w:t>10</w:t>
      </w:r>
      <w:r>
        <w:rPr>
          <w:bCs/>
          <w:szCs w:val="21"/>
        </w:rPr>
        <w:t>）</w:t>
      </w:r>
      <w:r>
        <w:rPr>
          <w:rFonts w:hint="eastAsia"/>
          <w:szCs w:val="21"/>
        </w:rPr>
        <w:t>对基金合同当事人权利和义务产生重大影响的其他事项；</w:t>
      </w:r>
    </w:p>
    <w:p w:rsidR="008711D3" w:rsidRDefault="004479D9">
      <w:pPr>
        <w:spacing w:line="440" w:lineRule="atLeast"/>
        <w:ind w:firstLineChars="200" w:firstLine="420"/>
        <w:rPr>
          <w:szCs w:val="21"/>
        </w:rPr>
      </w:pPr>
      <w:r>
        <w:rPr>
          <w:rFonts w:hint="eastAsia"/>
          <w:szCs w:val="21"/>
        </w:rPr>
        <w:t>（</w:t>
      </w:r>
      <w:r>
        <w:rPr>
          <w:bCs/>
          <w:szCs w:val="21"/>
        </w:rPr>
        <w:t>11</w:t>
      </w:r>
      <w:r>
        <w:rPr>
          <w:rFonts w:hint="eastAsia"/>
          <w:szCs w:val="21"/>
        </w:rPr>
        <w:t>）法律法规或基金合同或中国证监会规定的其他应当召开基金份额持有人大会的事项。</w:t>
      </w:r>
    </w:p>
    <w:p w:rsidR="008711D3" w:rsidRDefault="004479D9">
      <w:pPr>
        <w:spacing w:line="360" w:lineRule="auto"/>
        <w:ind w:firstLineChars="200" w:firstLine="420"/>
        <w:rPr>
          <w:szCs w:val="21"/>
        </w:rPr>
      </w:pPr>
      <w:r>
        <w:rPr>
          <w:szCs w:val="21"/>
        </w:rPr>
        <w:t>2</w:t>
      </w:r>
      <w:r>
        <w:rPr>
          <w:rFonts w:hint="eastAsia"/>
          <w:szCs w:val="21"/>
        </w:rPr>
        <w:t>、</w:t>
      </w:r>
      <w:r>
        <w:rPr>
          <w:rFonts w:hint="eastAsia"/>
          <w:szCs w:val="21"/>
        </w:rPr>
        <w:t xml:space="preserve"> </w:t>
      </w:r>
      <w:r>
        <w:rPr>
          <w:rFonts w:hint="eastAsia"/>
          <w:szCs w:val="21"/>
        </w:rPr>
        <w:t>尽管有前述约定，如属于以下情况之一的，可由基金管理人和基金托管人协商后修改，不需召开基金份额持有人大会：</w:t>
      </w:r>
    </w:p>
    <w:p w:rsidR="008711D3" w:rsidRDefault="004479D9">
      <w:pPr>
        <w:spacing w:line="360" w:lineRule="auto"/>
        <w:ind w:firstLineChars="200" w:firstLine="420"/>
        <w:rPr>
          <w:szCs w:val="21"/>
        </w:rPr>
      </w:pPr>
      <w:r>
        <w:rPr>
          <w:rFonts w:hint="eastAsia"/>
          <w:bCs/>
          <w:szCs w:val="21"/>
        </w:rPr>
        <w:t>（</w:t>
      </w:r>
      <w:r>
        <w:rPr>
          <w:bCs/>
          <w:szCs w:val="21"/>
        </w:rPr>
        <w:t>1</w:t>
      </w:r>
      <w:r>
        <w:rPr>
          <w:rFonts w:hint="eastAsia"/>
          <w:bCs/>
          <w:szCs w:val="21"/>
        </w:rPr>
        <w:t>）</w:t>
      </w:r>
      <w:r>
        <w:rPr>
          <w:rFonts w:hint="eastAsia"/>
          <w:szCs w:val="21"/>
        </w:rPr>
        <w:t>法律法规要求增加的基金费用的收取；</w:t>
      </w:r>
    </w:p>
    <w:p w:rsidR="008711D3" w:rsidRDefault="004479D9">
      <w:pPr>
        <w:spacing w:line="360" w:lineRule="auto"/>
        <w:ind w:firstLineChars="200" w:firstLine="420"/>
        <w:rPr>
          <w:szCs w:val="21"/>
        </w:rPr>
      </w:pPr>
      <w:r>
        <w:rPr>
          <w:rFonts w:hint="eastAsia"/>
          <w:szCs w:val="21"/>
        </w:rPr>
        <w:t>（</w:t>
      </w:r>
      <w:r>
        <w:rPr>
          <w:bCs/>
          <w:szCs w:val="21"/>
        </w:rPr>
        <w:t>2</w:t>
      </w:r>
      <w:r>
        <w:rPr>
          <w:rFonts w:hint="eastAsia"/>
          <w:szCs w:val="21"/>
        </w:rPr>
        <w:t>）在基金合同规定的范围内，且对基金份额持有人利益无实质性不利影响的前提下，调整本基金的申购费率、调低赎回费率、销售服务费率或变更收费方式、调整本基金的基金</w:t>
      </w:r>
      <w:r>
        <w:rPr>
          <w:rFonts w:hint="eastAsia"/>
          <w:szCs w:val="21"/>
        </w:rPr>
        <w:lastRenderedPageBreak/>
        <w:t>份额类别的设置；</w:t>
      </w:r>
    </w:p>
    <w:p w:rsidR="008711D3" w:rsidRDefault="004479D9">
      <w:pPr>
        <w:spacing w:line="360" w:lineRule="auto"/>
        <w:ind w:firstLineChars="200" w:firstLine="420"/>
        <w:rPr>
          <w:szCs w:val="21"/>
        </w:rPr>
      </w:pPr>
      <w:r>
        <w:rPr>
          <w:rFonts w:hint="eastAsia"/>
          <w:szCs w:val="21"/>
        </w:rPr>
        <w:t>（</w:t>
      </w:r>
      <w:r>
        <w:rPr>
          <w:bCs/>
          <w:szCs w:val="21"/>
        </w:rPr>
        <w:t>3</w:t>
      </w:r>
      <w:r>
        <w:rPr>
          <w:rFonts w:hint="eastAsia"/>
          <w:szCs w:val="21"/>
        </w:rPr>
        <w:t>）因相应的法律法规发生变动而应当对基金合同进行修改；</w:t>
      </w:r>
    </w:p>
    <w:p w:rsidR="008711D3" w:rsidRDefault="004479D9">
      <w:pPr>
        <w:spacing w:line="360" w:lineRule="auto"/>
        <w:ind w:firstLineChars="200" w:firstLine="420"/>
        <w:rPr>
          <w:szCs w:val="21"/>
        </w:rPr>
      </w:pPr>
      <w:r>
        <w:rPr>
          <w:rFonts w:hint="eastAsia"/>
          <w:szCs w:val="21"/>
        </w:rPr>
        <w:t>（</w:t>
      </w:r>
      <w:r>
        <w:rPr>
          <w:bCs/>
          <w:szCs w:val="21"/>
        </w:rPr>
        <w:t>4</w:t>
      </w:r>
      <w:r>
        <w:rPr>
          <w:rFonts w:hint="eastAsia"/>
          <w:szCs w:val="21"/>
        </w:rPr>
        <w:t>）对基金合同的修改对基金份额持有人利益无实质性不利影响或修改不涉及基金合同当事人权利义务关系发生变化；</w:t>
      </w:r>
    </w:p>
    <w:p w:rsidR="008711D3" w:rsidRDefault="004479D9">
      <w:pPr>
        <w:spacing w:line="360" w:lineRule="auto"/>
        <w:ind w:firstLineChars="200" w:firstLine="420"/>
        <w:rPr>
          <w:szCs w:val="21"/>
        </w:rPr>
      </w:pPr>
      <w:r>
        <w:rPr>
          <w:rFonts w:ascii="宋体" w:hint="eastAsia"/>
          <w:kern w:val="0"/>
          <w:szCs w:val="21"/>
        </w:rPr>
        <w:t>（</w:t>
      </w:r>
      <w:r>
        <w:rPr>
          <w:rFonts w:ascii="宋体"/>
          <w:kern w:val="0"/>
          <w:szCs w:val="21"/>
        </w:rPr>
        <w:t>5</w:t>
      </w:r>
      <w:r>
        <w:rPr>
          <w:rFonts w:hint="eastAsia"/>
          <w:szCs w:val="21"/>
        </w:rPr>
        <w:t>）基金管理人、登记机构、销售机构在法律法规和中国证监会规定范围内调整有关基金认购、申购、赎回、转换、非交易过户、转托管、收益分配等业务的规则；</w:t>
      </w:r>
    </w:p>
    <w:p w:rsidR="008711D3" w:rsidRDefault="004479D9">
      <w:pPr>
        <w:spacing w:line="360" w:lineRule="auto"/>
        <w:ind w:firstLineChars="200" w:firstLine="420"/>
        <w:rPr>
          <w:szCs w:val="21"/>
        </w:rPr>
      </w:pPr>
      <w:r>
        <w:rPr>
          <w:rFonts w:hint="eastAsia"/>
          <w:szCs w:val="21"/>
        </w:rPr>
        <w:t>（</w:t>
      </w:r>
      <w:r>
        <w:rPr>
          <w:bCs/>
          <w:szCs w:val="21"/>
        </w:rPr>
        <w:t>6</w:t>
      </w:r>
      <w:r>
        <w:rPr>
          <w:rFonts w:hint="eastAsia"/>
          <w:szCs w:val="21"/>
        </w:rPr>
        <w:t>）对基金份额持有人利益无实质性不利影响的情况下，基金推出新业务或服务；</w:t>
      </w:r>
    </w:p>
    <w:p w:rsidR="008711D3" w:rsidRDefault="004479D9">
      <w:pPr>
        <w:spacing w:line="360" w:lineRule="auto"/>
        <w:ind w:firstLineChars="200" w:firstLine="420"/>
        <w:rPr>
          <w:szCs w:val="21"/>
        </w:rPr>
      </w:pPr>
      <w:r>
        <w:rPr>
          <w:rFonts w:hint="eastAsia"/>
          <w:szCs w:val="21"/>
        </w:rPr>
        <w:t>（</w:t>
      </w:r>
      <w:r>
        <w:rPr>
          <w:bCs/>
          <w:szCs w:val="21"/>
        </w:rPr>
        <w:t>7</w:t>
      </w:r>
      <w:r>
        <w:rPr>
          <w:rFonts w:hint="eastAsia"/>
          <w:szCs w:val="21"/>
        </w:rPr>
        <w:t>）按照法律法规和基金合同规定不需召开基金份额持有人大会的其他情形。</w:t>
      </w:r>
    </w:p>
    <w:p w:rsidR="008711D3" w:rsidRDefault="004479D9">
      <w:pPr>
        <w:spacing w:line="360" w:lineRule="auto"/>
        <w:ind w:firstLineChars="200" w:firstLine="420"/>
        <w:rPr>
          <w:szCs w:val="21"/>
        </w:rPr>
      </w:pPr>
      <w:bookmarkStart w:id="145" w:name="_Toc15641221"/>
      <w:bookmarkStart w:id="146" w:name="_Toc79392585"/>
      <w:bookmarkStart w:id="147" w:name="_Toc57530244"/>
      <w:r>
        <w:rPr>
          <w:rFonts w:hint="eastAsia"/>
          <w:szCs w:val="21"/>
        </w:rPr>
        <w:t>B</w:t>
      </w:r>
      <w:r>
        <w:rPr>
          <w:rFonts w:hint="eastAsia"/>
          <w:szCs w:val="21"/>
        </w:rPr>
        <w:t>、会议召集人及召集方式</w:t>
      </w:r>
      <w:bookmarkEnd w:id="145"/>
      <w:bookmarkEnd w:id="146"/>
      <w:bookmarkEnd w:id="147"/>
    </w:p>
    <w:p w:rsidR="008711D3" w:rsidRDefault="004479D9">
      <w:pPr>
        <w:spacing w:line="360" w:lineRule="auto"/>
        <w:ind w:firstLineChars="200" w:firstLine="420"/>
        <w:rPr>
          <w:szCs w:val="21"/>
        </w:rPr>
      </w:pPr>
      <w:bookmarkStart w:id="148" w:name="_Toc15641222"/>
      <w:bookmarkStart w:id="149" w:name="_Toc57530245"/>
      <w:r>
        <w:rPr>
          <w:szCs w:val="21"/>
        </w:rPr>
        <w:t>1</w:t>
      </w:r>
      <w:r>
        <w:rPr>
          <w:rFonts w:hint="eastAsia"/>
          <w:szCs w:val="21"/>
        </w:rPr>
        <w:t>、本基金基金份额持有人大会不设日常机构。除法律法规规定或基金合同另有约定外，基金份额持有人大会由基金管理人召集。</w:t>
      </w:r>
    </w:p>
    <w:p w:rsidR="008711D3" w:rsidRDefault="004479D9">
      <w:pPr>
        <w:spacing w:line="360" w:lineRule="auto"/>
        <w:ind w:firstLineChars="200" w:firstLine="420"/>
        <w:rPr>
          <w:szCs w:val="21"/>
        </w:rPr>
      </w:pPr>
      <w:r>
        <w:rPr>
          <w:szCs w:val="21"/>
        </w:rPr>
        <w:t>2</w:t>
      </w:r>
      <w:r>
        <w:rPr>
          <w:rFonts w:hint="eastAsia"/>
          <w:szCs w:val="21"/>
        </w:rPr>
        <w:t>、基金管理人未按规定召集或不能召开时，由基金托管人召集。</w:t>
      </w:r>
    </w:p>
    <w:p w:rsidR="008711D3" w:rsidRDefault="004479D9">
      <w:pPr>
        <w:spacing w:line="360" w:lineRule="auto"/>
        <w:ind w:firstLineChars="200" w:firstLine="420"/>
        <w:rPr>
          <w:szCs w:val="21"/>
        </w:rPr>
      </w:pPr>
      <w:r>
        <w:rPr>
          <w:szCs w:val="21"/>
        </w:rPr>
        <w:t>3</w:t>
      </w:r>
      <w:r>
        <w:rPr>
          <w:rFonts w:hint="eastAsia"/>
          <w:szCs w:val="21"/>
        </w:rPr>
        <w:t>、基金托管人认为有必要召开基金份额持有人大会的，应当向基金管理人提出书面提议。基金管理人应当自收到书面提议之日起</w:t>
      </w:r>
      <w:r>
        <w:rPr>
          <w:szCs w:val="21"/>
        </w:rPr>
        <w:t>10</w:t>
      </w:r>
      <w:r>
        <w:rPr>
          <w:rFonts w:hint="eastAsia"/>
          <w:szCs w:val="21"/>
        </w:rPr>
        <w:t>日内决定是否召集，并书面告知基金托管人。基金管理人决定召集的，应当自出具书面决定之日起</w:t>
      </w:r>
      <w:r>
        <w:rPr>
          <w:szCs w:val="21"/>
        </w:rPr>
        <w:t>60</w:t>
      </w:r>
      <w:r>
        <w:rPr>
          <w:rFonts w:hint="eastAsia"/>
          <w:szCs w:val="21"/>
        </w:rPr>
        <w:t>日内召开；基金管理人决定不召集，基金托管人仍认为有必要召开的，应当由基金托管人自行召集，并自出具书面决定之日起</w:t>
      </w:r>
      <w:r>
        <w:rPr>
          <w:szCs w:val="21"/>
        </w:rPr>
        <w:t>60</w:t>
      </w:r>
      <w:r>
        <w:rPr>
          <w:rFonts w:hint="eastAsia"/>
          <w:szCs w:val="21"/>
        </w:rPr>
        <w:t>日内召开并告知基金管理人，基金管理人应当配合。</w:t>
      </w:r>
    </w:p>
    <w:p w:rsidR="008711D3" w:rsidRDefault="004479D9">
      <w:pPr>
        <w:spacing w:line="360" w:lineRule="auto"/>
        <w:ind w:firstLineChars="200" w:firstLine="420"/>
        <w:rPr>
          <w:szCs w:val="21"/>
        </w:rPr>
      </w:pPr>
      <w:r>
        <w:rPr>
          <w:szCs w:val="21"/>
        </w:rPr>
        <w:t>4</w:t>
      </w:r>
      <w:r>
        <w:rPr>
          <w:rFonts w:hint="eastAsia"/>
          <w:szCs w:val="21"/>
        </w:rPr>
        <w:t>、代表基金份额</w:t>
      </w:r>
      <w:r>
        <w:rPr>
          <w:szCs w:val="21"/>
        </w:rPr>
        <w:t>10%</w:t>
      </w:r>
      <w:r>
        <w:rPr>
          <w:rFonts w:hint="eastAsia"/>
          <w:szCs w:val="21"/>
        </w:rPr>
        <w:t>以上（含</w:t>
      </w:r>
      <w:r>
        <w:rPr>
          <w:szCs w:val="21"/>
        </w:rPr>
        <w:t>10%</w:t>
      </w:r>
      <w:r>
        <w:rPr>
          <w:rFonts w:hint="eastAsia"/>
          <w:szCs w:val="21"/>
        </w:rPr>
        <w:t>，以基金管理人收到提议当日的基金份额计算，下同）的基金份额持有人就同一事项书面要求召开基金份额持有人大会，应当向基金管理人提出书面提议。基金管理人应当自收到书面提议之日起</w:t>
      </w:r>
      <w:r>
        <w:rPr>
          <w:szCs w:val="21"/>
        </w:rPr>
        <w:t>10</w:t>
      </w:r>
      <w:r>
        <w:rPr>
          <w:rFonts w:hint="eastAsia"/>
          <w:szCs w:val="21"/>
        </w:rPr>
        <w:t>日内决定是否召集，并书面告知提出提议的基金份额持有人代表和基金托管人。基金管理人决定召集的，应当自出具书面决定之日起</w:t>
      </w:r>
      <w:r>
        <w:rPr>
          <w:szCs w:val="21"/>
        </w:rPr>
        <w:t>60</w:t>
      </w:r>
      <w:r>
        <w:rPr>
          <w:rFonts w:hint="eastAsia"/>
          <w:szCs w:val="21"/>
        </w:rPr>
        <w:t>日内召开；基金管理人决定不召集，代表基金份额</w:t>
      </w:r>
      <w:r>
        <w:rPr>
          <w:szCs w:val="21"/>
        </w:rPr>
        <w:t>10%</w:t>
      </w:r>
      <w:r>
        <w:rPr>
          <w:rFonts w:hint="eastAsia"/>
          <w:szCs w:val="21"/>
        </w:rPr>
        <w:t>以上的基金份额持有人仍认为有必要召开的，应当向基金托管人提出书面提议。基金托管人应当自收到书面提议之日起</w:t>
      </w:r>
      <w:r>
        <w:rPr>
          <w:szCs w:val="21"/>
        </w:rPr>
        <w:t>10</w:t>
      </w:r>
      <w:r>
        <w:rPr>
          <w:rFonts w:hint="eastAsia"/>
          <w:szCs w:val="21"/>
        </w:rPr>
        <w:t>日内决定是否召集，并书面告知提出提议的基金份额持有人代表和基金管理人；基金托管人决定召集的，应当自出具书面决定之日起</w:t>
      </w:r>
      <w:r>
        <w:rPr>
          <w:szCs w:val="21"/>
        </w:rPr>
        <w:t>60</w:t>
      </w:r>
      <w:r>
        <w:rPr>
          <w:rFonts w:hint="eastAsia"/>
          <w:szCs w:val="21"/>
        </w:rPr>
        <w:t>日内召开，并告知基金管理人，基金管理人应当配合。</w:t>
      </w:r>
    </w:p>
    <w:p w:rsidR="008711D3" w:rsidRDefault="004479D9">
      <w:pPr>
        <w:spacing w:line="360" w:lineRule="auto"/>
        <w:ind w:firstLineChars="200" w:firstLine="420"/>
        <w:rPr>
          <w:szCs w:val="21"/>
        </w:rPr>
      </w:pPr>
      <w:r>
        <w:rPr>
          <w:szCs w:val="21"/>
        </w:rPr>
        <w:t>5</w:t>
      </w:r>
      <w:r>
        <w:rPr>
          <w:rFonts w:hint="eastAsia"/>
          <w:szCs w:val="21"/>
        </w:rPr>
        <w:t>、代表基金份额</w:t>
      </w:r>
      <w:r>
        <w:rPr>
          <w:szCs w:val="21"/>
        </w:rPr>
        <w:t>10%</w:t>
      </w:r>
      <w:r>
        <w:rPr>
          <w:rFonts w:hint="eastAsia"/>
          <w:szCs w:val="21"/>
        </w:rPr>
        <w:t>以上的基金份额持有人就同一事项要求召开基金份额持有人大会，而基金管理人、基金托管人都不召集的，单独或合计代表基金份额</w:t>
      </w:r>
      <w:r>
        <w:rPr>
          <w:szCs w:val="21"/>
        </w:rPr>
        <w:t>10%</w:t>
      </w:r>
      <w:r>
        <w:rPr>
          <w:rFonts w:hint="eastAsia"/>
          <w:szCs w:val="21"/>
        </w:rPr>
        <w:t>以上的基金份额持有人有权自行召集，并至少提前</w:t>
      </w:r>
      <w:r>
        <w:rPr>
          <w:szCs w:val="21"/>
        </w:rPr>
        <w:t>30</w:t>
      </w:r>
      <w:r>
        <w:rPr>
          <w:rFonts w:hint="eastAsia"/>
          <w:szCs w:val="21"/>
        </w:rPr>
        <w:t>日报中国证监会备案。基金份额持有人依法自行召集基金份额持有人大会的，基金管理人、基金托管人应当配合，不得阻碍、干扰。</w:t>
      </w:r>
    </w:p>
    <w:p w:rsidR="008711D3" w:rsidRDefault="004479D9">
      <w:pPr>
        <w:spacing w:line="360" w:lineRule="auto"/>
        <w:ind w:firstLineChars="200" w:firstLine="420"/>
        <w:rPr>
          <w:szCs w:val="21"/>
        </w:rPr>
      </w:pPr>
      <w:r>
        <w:rPr>
          <w:szCs w:val="21"/>
        </w:rPr>
        <w:lastRenderedPageBreak/>
        <w:t>6</w:t>
      </w:r>
      <w:r>
        <w:rPr>
          <w:rFonts w:hint="eastAsia"/>
          <w:szCs w:val="21"/>
        </w:rPr>
        <w:t>、基金份额持有人大会的召集人负责选择确定开会时间、地点、方式和权益登记日。</w:t>
      </w:r>
    </w:p>
    <w:p w:rsidR="008711D3" w:rsidRDefault="004479D9">
      <w:pPr>
        <w:spacing w:line="360" w:lineRule="auto"/>
        <w:ind w:firstLineChars="200" w:firstLine="420"/>
        <w:rPr>
          <w:szCs w:val="21"/>
        </w:rPr>
      </w:pPr>
      <w:bookmarkStart w:id="150" w:name="_Toc79392586"/>
      <w:r>
        <w:rPr>
          <w:rFonts w:hint="eastAsia"/>
          <w:szCs w:val="21"/>
        </w:rPr>
        <w:t>C</w:t>
      </w:r>
      <w:r>
        <w:rPr>
          <w:rFonts w:hint="eastAsia"/>
          <w:szCs w:val="21"/>
        </w:rPr>
        <w:t>、召开基金份额持有人大会的通知时间、通知内容、通知方式</w:t>
      </w:r>
      <w:bookmarkEnd w:id="148"/>
      <w:bookmarkEnd w:id="149"/>
      <w:bookmarkEnd w:id="150"/>
    </w:p>
    <w:p w:rsidR="008711D3" w:rsidRDefault="004479D9">
      <w:pPr>
        <w:spacing w:line="360" w:lineRule="auto"/>
        <w:ind w:firstLineChars="200" w:firstLine="420"/>
        <w:rPr>
          <w:szCs w:val="21"/>
        </w:rPr>
      </w:pPr>
      <w:r>
        <w:rPr>
          <w:szCs w:val="21"/>
        </w:rPr>
        <w:t>1</w:t>
      </w:r>
      <w:r>
        <w:rPr>
          <w:rFonts w:hint="eastAsia"/>
          <w:szCs w:val="21"/>
        </w:rPr>
        <w:t>、召开基金份额持有人大会，召集人应于会议召开前至少</w:t>
      </w:r>
      <w:r>
        <w:rPr>
          <w:szCs w:val="21"/>
        </w:rPr>
        <w:t>30</w:t>
      </w:r>
      <w:r>
        <w:rPr>
          <w:rFonts w:hint="eastAsia"/>
          <w:szCs w:val="21"/>
        </w:rPr>
        <w:t>日，按照《信息披露办法》的规定在规定媒介公告会议通知。基金份额持有人大会通知应至少载明以下内容：</w:t>
      </w:r>
    </w:p>
    <w:p w:rsidR="008711D3" w:rsidRDefault="004479D9">
      <w:pPr>
        <w:spacing w:line="360" w:lineRule="auto"/>
        <w:ind w:firstLineChars="200" w:firstLine="420"/>
        <w:rPr>
          <w:szCs w:val="21"/>
        </w:rPr>
      </w:pPr>
      <w:r>
        <w:rPr>
          <w:rFonts w:hint="eastAsia"/>
          <w:szCs w:val="21"/>
        </w:rPr>
        <w:t>（</w:t>
      </w:r>
      <w:r>
        <w:rPr>
          <w:szCs w:val="21"/>
        </w:rPr>
        <w:t>1</w:t>
      </w:r>
      <w:r>
        <w:rPr>
          <w:rFonts w:hint="eastAsia"/>
          <w:szCs w:val="21"/>
        </w:rPr>
        <w:t>）会议召开的时间、地点和会议形式；</w:t>
      </w:r>
    </w:p>
    <w:p w:rsidR="008711D3" w:rsidRDefault="004479D9">
      <w:pPr>
        <w:spacing w:line="360" w:lineRule="auto"/>
        <w:ind w:firstLineChars="200" w:firstLine="420"/>
        <w:rPr>
          <w:szCs w:val="21"/>
        </w:rPr>
      </w:pPr>
      <w:r>
        <w:rPr>
          <w:rFonts w:hint="eastAsia"/>
          <w:szCs w:val="21"/>
        </w:rPr>
        <w:t>（</w:t>
      </w:r>
      <w:r>
        <w:rPr>
          <w:szCs w:val="21"/>
        </w:rPr>
        <w:t>2</w:t>
      </w:r>
      <w:r>
        <w:rPr>
          <w:rFonts w:hint="eastAsia"/>
          <w:szCs w:val="21"/>
        </w:rPr>
        <w:t>）会议拟审议的事项、议事程序和表决方式；</w:t>
      </w:r>
    </w:p>
    <w:p w:rsidR="008711D3" w:rsidRDefault="004479D9">
      <w:pPr>
        <w:spacing w:line="360" w:lineRule="auto"/>
        <w:ind w:firstLineChars="200" w:firstLine="420"/>
        <w:rPr>
          <w:szCs w:val="21"/>
        </w:rPr>
      </w:pPr>
      <w:r>
        <w:rPr>
          <w:rFonts w:hint="eastAsia"/>
          <w:szCs w:val="21"/>
        </w:rPr>
        <w:t>（</w:t>
      </w:r>
      <w:r>
        <w:rPr>
          <w:szCs w:val="21"/>
        </w:rPr>
        <w:t>3</w:t>
      </w:r>
      <w:r>
        <w:rPr>
          <w:rFonts w:hint="eastAsia"/>
          <w:szCs w:val="21"/>
        </w:rPr>
        <w:t>）有权出席基金份额持有人大会的基金份额持有人的权益登记日；</w:t>
      </w:r>
    </w:p>
    <w:p w:rsidR="008711D3" w:rsidRDefault="004479D9">
      <w:pPr>
        <w:spacing w:line="360" w:lineRule="auto"/>
        <w:ind w:firstLineChars="200" w:firstLine="420"/>
        <w:rPr>
          <w:szCs w:val="21"/>
        </w:rPr>
      </w:pPr>
      <w:r>
        <w:rPr>
          <w:rFonts w:hint="eastAsia"/>
          <w:szCs w:val="21"/>
        </w:rPr>
        <w:t>（</w:t>
      </w:r>
      <w:r>
        <w:rPr>
          <w:szCs w:val="21"/>
        </w:rPr>
        <w:t>4</w:t>
      </w:r>
      <w:r>
        <w:rPr>
          <w:rFonts w:hint="eastAsia"/>
          <w:szCs w:val="21"/>
        </w:rPr>
        <w:t>）授权委托证明的内容要求（包括但不限于代理人身份，代理权限和代理有效期限等）、送达时间和地点；</w:t>
      </w:r>
    </w:p>
    <w:p w:rsidR="008711D3" w:rsidRDefault="004479D9">
      <w:pPr>
        <w:spacing w:line="360" w:lineRule="auto"/>
        <w:ind w:firstLineChars="200" w:firstLine="420"/>
        <w:rPr>
          <w:szCs w:val="21"/>
        </w:rPr>
      </w:pPr>
      <w:r>
        <w:rPr>
          <w:rFonts w:hint="eastAsia"/>
          <w:szCs w:val="21"/>
        </w:rPr>
        <w:t>（</w:t>
      </w:r>
      <w:r>
        <w:rPr>
          <w:szCs w:val="21"/>
        </w:rPr>
        <w:t>5</w:t>
      </w:r>
      <w:r>
        <w:rPr>
          <w:rFonts w:hint="eastAsia"/>
          <w:szCs w:val="21"/>
        </w:rPr>
        <w:t>）会务常设联系人姓名及联系电话；</w:t>
      </w:r>
    </w:p>
    <w:p w:rsidR="008711D3" w:rsidRDefault="004479D9">
      <w:pPr>
        <w:spacing w:line="360" w:lineRule="auto"/>
        <w:ind w:firstLineChars="200" w:firstLine="420"/>
        <w:rPr>
          <w:szCs w:val="21"/>
        </w:rPr>
      </w:pPr>
      <w:r>
        <w:rPr>
          <w:rFonts w:hint="eastAsia"/>
          <w:szCs w:val="21"/>
        </w:rPr>
        <w:t>（</w:t>
      </w:r>
      <w:r>
        <w:rPr>
          <w:szCs w:val="21"/>
        </w:rPr>
        <w:t>6</w:t>
      </w:r>
      <w:r>
        <w:rPr>
          <w:rFonts w:hint="eastAsia"/>
          <w:szCs w:val="21"/>
        </w:rPr>
        <w:t>）出席会议者必须准备的文件和必须履行的手续；</w:t>
      </w:r>
    </w:p>
    <w:p w:rsidR="008711D3" w:rsidRDefault="004479D9">
      <w:pPr>
        <w:spacing w:line="360" w:lineRule="auto"/>
        <w:ind w:firstLineChars="200" w:firstLine="420"/>
        <w:rPr>
          <w:szCs w:val="21"/>
        </w:rPr>
      </w:pPr>
      <w:r>
        <w:rPr>
          <w:rFonts w:hint="eastAsia"/>
          <w:szCs w:val="21"/>
        </w:rPr>
        <w:t>（</w:t>
      </w:r>
      <w:r>
        <w:rPr>
          <w:szCs w:val="21"/>
        </w:rPr>
        <w:t>7</w:t>
      </w:r>
      <w:r>
        <w:rPr>
          <w:rFonts w:hint="eastAsia"/>
          <w:szCs w:val="21"/>
        </w:rPr>
        <w:t>）召集人需要通知的其他事项。</w:t>
      </w:r>
    </w:p>
    <w:p w:rsidR="008711D3" w:rsidRDefault="004479D9">
      <w:pPr>
        <w:spacing w:line="360" w:lineRule="auto"/>
        <w:ind w:firstLineChars="200" w:firstLine="420"/>
        <w:rPr>
          <w:szCs w:val="21"/>
        </w:rPr>
      </w:pPr>
      <w:r>
        <w:rPr>
          <w:szCs w:val="21"/>
        </w:rPr>
        <w:t>2</w:t>
      </w:r>
      <w:r>
        <w:rPr>
          <w:rFonts w:hint="eastAsia"/>
          <w:szCs w:val="21"/>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rsidR="008711D3" w:rsidRDefault="004479D9">
      <w:pPr>
        <w:spacing w:line="360" w:lineRule="auto"/>
        <w:ind w:firstLineChars="200" w:firstLine="420"/>
        <w:rPr>
          <w:szCs w:val="21"/>
        </w:rPr>
      </w:pPr>
      <w:r>
        <w:rPr>
          <w:szCs w:val="21"/>
        </w:rPr>
        <w:t>3</w:t>
      </w:r>
      <w:r>
        <w:rPr>
          <w:rFonts w:hint="eastAsia"/>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8711D3" w:rsidRDefault="004479D9">
      <w:pPr>
        <w:spacing w:line="360" w:lineRule="auto"/>
        <w:ind w:firstLineChars="200" w:firstLine="420"/>
        <w:rPr>
          <w:szCs w:val="21"/>
        </w:rPr>
      </w:pPr>
      <w:bookmarkStart w:id="151" w:name="_Toc79392587"/>
      <w:bookmarkStart w:id="152" w:name="_Toc57530246"/>
      <w:bookmarkStart w:id="153" w:name="_Toc15641223"/>
      <w:r>
        <w:rPr>
          <w:rFonts w:hint="eastAsia"/>
          <w:szCs w:val="21"/>
        </w:rPr>
        <w:t>D</w:t>
      </w:r>
      <w:r>
        <w:rPr>
          <w:rFonts w:hint="eastAsia"/>
          <w:szCs w:val="21"/>
        </w:rPr>
        <w:t>、基金份额持有人出席会议的方式</w:t>
      </w:r>
      <w:bookmarkEnd w:id="151"/>
      <w:bookmarkEnd w:id="152"/>
      <w:bookmarkEnd w:id="153"/>
    </w:p>
    <w:p w:rsidR="008711D3" w:rsidRDefault="004479D9">
      <w:pPr>
        <w:spacing w:line="360" w:lineRule="auto"/>
        <w:ind w:firstLineChars="200" w:firstLine="420"/>
        <w:rPr>
          <w:szCs w:val="21"/>
        </w:rPr>
      </w:pPr>
      <w:r>
        <w:rPr>
          <w:rFonts w:hint="eastAsia"/>
          <w:szCs w:val="21"/>
        </w:rPr>
        <w:t>基金份额持有人大会可通过现场开会方式、通讯开会方式或法律法规、监管机构、基金合同允许的其他方式召开，会议的召开方式由会议召集人确定。</w:t>
      </w:r>
    </w:p>
    <w:p w:rsidR="008711D3" w:rsidRDefault="004479D9">
      <w:pPr>
        <w:spacing w:line="360" w:lineRule="auto"/>
        <w:ind w:firstLineChars="200" w:firstLine="420"/>
        <w:rPr>
          <w:szCs w:val="21"/>
        </w:rPr>
      </w:pPr>
      <w:r>
        <w:rPr>
          <w:szCs w:val="21"/>
        </w:rPr>
        <w:t>1</w:t>
      </w:r>
      <w:r>
        <w:rPr>
          <w:rFonts w:hint="eastAsia"/>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8711D3" w:rsidRDefault="004479D9">
      <w:pPr>
        <w:spacing w:line="360" w:lineRule="auto"/>
        <w:ind w:firstLineChars="200" w:firstLine="420"/>
        <w:rPr>
          <w:szCs w:val="21"/>
        </w:rPr>
      </w:pPr>
      <w:r>
        <w:rPr>
          <w:rFonts w:hint="eastAsia"/>
          <w:szCs w:val="21"/>
        </w:rPr>
        <w:t>（</w:t>
      </w:r>
      <w:r>
        <w:rPr>
          <w:szCs w:val="21"/>
        </w:rPr>
        <w:t>1</w:t>
      </w:r>
      <w:r>
        <w:rPr>
          <w:rFonts w:hint="eastAsia"/>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711D3" w:rsidRDefault="004479D9">
      <w:pPr>
        <w:spacing w:line="360" w:lineRule="auto"/>
        <w:ind w:firstLineChars="200" w:firstLine="420"/>
        <w:rPr>
          <w:szCs w:val="21"/>
        </w:rPr>
      </w:pPr>
      <w:r>
        <w:rPr>
          <w:rFonts w:hint="eastAsia"/>
          <w:szCs w:val="21"/>
        </w:rPr>
        <w:lastRenderedPageBreak/>
        <w:t>（</w:t>
      </w:r>
      <w:r>
        <w:rPr>
          <w:szCs w:val="21"/>
        </w:rPr>
        <w:t>2</w:t>
      </w:r>
      <w:r>
        <w:rPr>
          <w:rFonts w:hint="eastAsia"/>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szCs w:val="21"/>
        </w:rPr>
        <w:t>3</w:t>
      </w:r>
      <w:r>
        <w:rPr>
          <w:rFonts w:hint="eastAsia"/>
          <w:szCs w:val="21"/>
        </w:rPr>
        <w:t>个月以后、</w:t>
      </w:r>
      <w:r>
        <w:rPr>
          <w:szCs w:val="21"/>
        </w:rPr>
        <w:t>6</w:t>
      </w:r>
      <w:r>
        <w:rPr>
          <w:rFonts w:hint="eastAsia"/>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8711D3" w:rsidRDefault="004479D9">
      <w:pPr>
        <w:spacing w:line="360" w:lineRule="auto"/>
        <w:ind w:firstLineChars="200" w:firstLine="420"/>
        <w:rPr>
          <w:szCs w:val="21"/>
        </w:rPr>
      </w:pPr>
      <w:r>
        <w:rPr>
          <w:szCs w:val="21"/>
        </w:rPr>
        <w:t>2</w:t>
      </w:r>
      <w:r>
        <w:rPr>
          <w:rFonts w:hint="eastAsia"/>
          <w:szCs w:val="21"/>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rsidR="008711D3" w:rsidRDefault="004479D9">
      <w:pPr>
        <w:spacing w:line="360" w:lineRule="auto"/>
        <w:ind w:firstLineChars="200" w:firstLine="420"/>
        <w:rPr>
          <w:szCs w:val="21"/>
        </w:rPr>
      </w:pPr>
      <w:r>
        <w:rPr>
          <w:rFonts w:hint="eastAsia"/>
          <w:szCs w:val="21"/>
        </w:rPr>
        <w:t>在同时符合以下条件时，通讯开会的方式视为有效：</w:t>
      </w:r>
    </w:p>
    <w:p w:rsidR="008711D3" w:rsidRDefault="004479D9">
      <w:pPr>
        <w:spacing w:line="360" w:lineRule="auto"/>
        <w:ind w:firstLineChars="200" w:firstLine="420"/>
        <w:rPr>
          <w:szCs w:val="21"/>
        </w:rPr>
      </w:pPr>
      <w:r>
        <w:rPr>
          <w:rFonts w:hint="eastAsia"/>
          <w:szCs w:val="21"/>
        </w:rPr>
        <w:t>（</w:t>
      </w:r>
      <w:r>
        <w:rPr>
          <w:szCs w:val="21"/>
        </w:rPr>
        <w:t>1</w:t>
      </w:r>
      <w:r>
        <w:rPr>
          <w:rFonts w:hint="eastAsia"/>
          <w:szCs w:val="21"/>
        </w:rPr>
        <w:t>）会议召集人按基金合同约定公布会议通知后，在</w:t>
      </w:r>
      <w:r>
        <w:rPr>
          <w:szCs w:val="21"/>
        </w:rPr>
        <w:t>2</w:t>
      </w:r>
      <w:r>
        <w:rPr>
          <w:rFonts w:hint="eastAsia"/>
          <w:szCs w:val="21"/>
        </w:rPr>
        <w:t>个工作日内连续公布相关提示性公告；</w:t>
      </w:r>
    </w:p>
    <w:p w:rsidR="008711D3" w:rsidRDefault="004479D9">
      <w:pPr>
        <w:spacing w:line="360" w:lineRule="auto"/>
        <w:ind w:firstLineChars="200" w:firstLine="420"/>
        <w:rPr>
          <w:szCs w:val="21"/>
        </w:rPr>
      </w:pPr>
      <w:r>
        <w:rPr>
          <w:rFonts w:hint="eastAsia"/>
          <w:szCs w:val="21"/>
        </w:rPr>
        <w:t>（</w:t>
      </w:r>
      <w:r>
        <w:rPr>
          <w:szCs w:val="21"/>
        </w:rPr>
        <w:t>2</w:t>
      </w:r>
      <w:r>
        <w:rPr>
          <w:rFonts w:hint="eastAsia"/>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rsidR="008711D3" w:rsidRDefault="004479D9">
      <w:pPr>
        <w:spacing w:line="360" w:lineRule="auto"/>
        <w:ind w:firstLineChars="225" w:firstLine="473"/>
        <w:rPr>
          <w:szCs w:val="21"/>
        </w:rPr>
      </w:pPr>
      <w:r>
        <w:rPr>
          <w:rFonts w:hint="eastAsia"/>
          <w:szCs w:val="21"/>
        </w:rPr>
        <w:t>（</w:t>
      </w:r>
      <w:r>
        <w:rPr>
          <w:szCs w:val="21"/>
        </w:rPr>
        <w:t>3</w:t>
      </w:r>
      <w:r>
        <w:rPr>
          <w:rFonts w:hint="eastAsia"/>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Pr>
          <w:szCs w:val="21"/>
        </w:rPr>
        <w:t>3</w:t>
      </w:r>
      <w:r>
        <w:rPr>
          <w:rFonts w:hint="eastAsia"/>
          <w:szCs w:val="21"/>
        </w:rPr>
        <w:t>个月以后、</w:t>
      </w:r>
      <w:r>
        <w:rPr>
          <w:szCs w:val="21"/>
        </w:rPr>
        <w:t>6</w:t>
      </w:r>
      <w:r>
        <w:rPr>
          <w:rFonts w:hint="eastAsia"/>
          <w:szCs w:val="21"/>
        </w:rPr>
        <w:t>个月以内，就原定审议事项重新召集基金份额持有人大会。重新召集的基金份额持有人大会应当有代表三分之一以上（含三分之一）基金份额的持有人直接出具书面意见或授权他人代表出具书面意见；</w:t>
      </w:r>
    </w:p>
    <w:p w:rsidR="008711D3" w:rsidRDefault="004479D9">
      <w:pPr>
        <w:spacing w:line="360" w:lineRule="auto"/>
        <w:ind w:firstLineChars="200" w:firstLine="420"/>
        <w:rPr>
          <w:szCs w:val="21"/>
        </w:rPr>
      </w:pPr>
      <w:r>
        <w:rPr>
          <w:rFonts w:hint="eastAsia"/>
          <w:szCs w:val="21"/>
        </w:rPr>
        <w:t>（</w:t>
      </w:r>
      <w:r>
        <w:rPr>
          <w:szCs w:val="21"/>
        </w:rPr>
        <w:t>4</w:t>
      </w:r>
      <w:r>
        <w:rPr>
          <w:rFonts w:hint="eastAsia"/>
          <w:szCs w:val="21"/>
        </w:rPr>
        <w:t>）上述第（</w:t>
      </w:r>
      <w:r>
        <w:rPr>
          <w:szCs w:val="21"/>
        </w:rPr>
        <w:t>3</w:t>
      </w:r>
      <w:r>
        <w:rPr>
          <w:rFonts w:hint="eastAsia"/>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rsidR="008711D3" w:rsidRDefault="004479D9">
      <w:pPr>
        <w:spacing w:line="360" w:lineRule="auto"/>
        <w:ind w:firstLineChars="200" w:firstLine="420"/>
        <w:rPr>
          <w:szCs w:val="21"/>
        </w:rPr>
      </w:pPr>
      <w:r>
        <w:rPr>
          <w:szCs w:val="21"/>
        </w:rPr>
        <w:t>3</w:t>
      </w:r>
      <w:r>
        <w:rPr>
          <w:rFonts w:hint="eastAsia"/>
          <w:szCs w:val="21"/>
        </w:rPr>
        <w:t>、在不与法律法规冲突的前提下，基金份额持有人大会可通过网络、电话或其他方式召开，基金份额持有人可以采用书面、网络、电话、短信或其他方式进行表决，具体方式由</w:t>
      </w:r>
      <w:r>
        <w:rPr>
          <w:rFonts w:hint="eastAsia"/>
          <w:szCs w:val="21"/>
        </w:rPr>
        <w:lastRenderedPageBreak/>
        <w:t>会议召集人确定并在会议通知中列明。</w:t>
      </w:r>
    </w:p>
    <w:p w:rsidR="008711D3" w:rsidRDefault="004479D9">
      <w:pPr>
        <w:spacing w:line="360" w:lineRule="auto"/>
        <w:ind w:firstLineChars="200" w:firstLine="420"/>
        <w:rPr>
          <w:szCs w:val="21"/>
        </w:rPr>
      </w:pPr>
      <w:r>
        <w:rPr>
          <w:szCs w:val="21"/>
        </w:rPr>
        <w:t>4</w:t>
      </w:r>
      <w:r>
        <w:rPr>
          <w:rFonts w:hint="eastAsia"/>
          <w:szCs w:val="21"/>
        </w:rPr>
        <w:t>、基金份额持有人授权他人代为出席会议并表决的，授权方式可以采用书面、网络、电话、短信或其他方式，具体方式在会议通知中列明。</w:t>
      </w:r>
    </w:p>
    <w:p w:rsidR="008711D3" w:rsidRDefault="004479D9">
      <w:pPr>
        <w:spacing w:line="360" w:lineRule="auto"/>
        <w:ind w:firstLineChars="200" w:firstLine="420"/>
        <w:rPr>
          <w:szCs w:val="21"/>
        </w:rPr>
      </w:pPr>
      <w:bookmarkStart w:id="154" w:name="_Toc79392588"/>
      <w:bookmarkStart w:id="155" w:name="_Toc57530247"/>
      <w:bookmarkStart w:id="156" w:name="_Toc15641224"/>
      <w:r>
        <w:rPr>
          <w:rFonts w:hint="eastAsia"/>
          <w:szCs w:val="21"/>
        </w:rPr>
        <w:t>E</w:t>
      </w:r>
      <w:r>
        <w:rPr>
          <w:rFonts w:hint="eastAsia"/>
          <w:szCs w:val="21"/>
        </w:rPr>
        <w:t>、议事内容与程序</w:t>
      </w:r>
      <w:bookmarkEnd w:id="154"/>
      <w:bookmarkEnd w:id="155"/>
      <w:bookmarkEnd w:id="156"/>
    </w:p>
    <w:p w:rsidR="008711D3" w:rsidRDefault="004479D9">
      <w:pPr>
        <w:spacing w:line="360" w:lineRule="auto"/>
        <w:ind w:firstLineChars="200" w:firstLine="420"/>
        <w:rPr>
          <w:szCs w:val="21"/>
        </w:rPr>
      </w:pPr>
      <w:r>
        <w:rPr>
          <w:szCs w:val="21"/>
        </w:rPr>
        <w:t>1</w:t>
      </w:r>
      <w:r>
        <w:rPr>
          <w:rFonts w:hint="eastAsia"/>
          <w:szCs w:val="21"/>
        </w:rPr>
        <w:t>、议事内容及提案权</w:t>
      </w:r>
    </w:p>
    <w:p w:rsidR="008711D3" w:rsidRDefault="004479D9">
      <w:pPr>
        <w:spacing w:line="360" w:lineRule="auto"/>
        <w:ind w:firstLineChars="200" w:firstLine="420"/>
        <w:rPr>
          <w:szCs w:val="21"/>
        </w:rPr>
      </w:pPr>
      <w:r>
        <w:rPr>
          <w:rFonts w:hint="eastAsia"/>
          <w:szCs w:val="21"/>
        </w:rPr>
        <w:t>议事内容为本部分“</w:t>
      </w:r>
      <w:r>
        <w:rPr>
          <w:rFonts w:hint="eastAsia"/>
          <w:szCs w:val="21"/>
        </w:rPr>
        <w:t>A</w:t>
      </w:r>
      <w:r>
        <w:rPr>
          <w:rFonts w:hint="eastAsia"/>
          <w:szCs w:val="21"/>
        </w:rPr>
        <w:t>、召开事由”中所述应由基金份额持有人大会审议决定的事项。</w:t>
      </w:r>
    </w:p>
    <w:p w:rsidR="008711D3" w:rsidRDefault="004479D9">
      <w:pPr>
        <w:spacing w:line="360" w:lineRule="auto"/>
        <w:ind w:firstLineChars="200" w:firstLine="420"/>
        <w:rPr>
          <w:szCs w:val="21"/>
        </w:rPr>
      </w:pPr>
      <w:r>
        <w:rPr>
          <w:rFonts w:hint="eastAsia"/>
          <w:szCs w:val="21"/>
        </w:rPr>
        <w:t>基金份额持有人大会的召集人发出召集会议的通知后，对原有议事内容的修改应当在基金份额持有人大会召开前及时公告。</w:t>
      </w:r>
    </w:p>
    <w:p w:rsidR="008711D3" w:rsidRDefault="004479D9">
      <w:pPr>
        <w:spacing w:line="360" w:lineRule="auto"/>
        <w:ind w:firstLineChars="200" w:firstLine="420"/>
        <w:rPr>
          <w:szCs w:val="21"/>
        </w:rPr>
      </w:pPr>
      <w:r>
        <w:rPr>
          <w:rFonts w:hint="eastAsia"/>
          <w:szCs w:val="21"/>
        </w:rPr>
        <w:t>基金份额持有人大会不得对未事先公告的议事内容进行表决。</w:t>
      </w:r>
    </w:p>
    <w:p w:rsidR="008711D3" w:rsidRDefault="004479D9">
      <w:pPr>
        <w:spacing w:line="360" w:lineRule="auto"/>
        <w:ind w:firstLineChars="200" w:firstLine="420"/>
        <w:rPr>
          <w:szCs w:val="21"/>
        </w:rPr>
      </w:pPr>
      <w:r>
        <w:rPr>
          <w:szCs w:val="21"/>
        </w:rPr>
        <w:t>2</w:t>
      </w:r>
      <w:r>
        <w:rPr>
          <w:rFonts w:hint="eastAsia"/>
          <w:szCs w:val="21"/>
        </w:rPr>
        <w:t>、议事程序</w:t>
      </w:r>
    </w:p>
    <w:p w:rsidR="008711D3" w:rsidRDefault="004479D9">
      <w:pPr>
        <w:spacing w:line="360" w:lineRule="auto"/>
        <w:ind w:firstLineChars="200" w:firstLine="420"/>
        <w:rPr>
          <w:szCs w:val="21"/>
        </w:rPr>
      </w:pPr>
      <w:r>
        <w:rPr>
          <w:rFonts w:hint="eastAsia"/>
          <w:szCs w:val="21"/>
        </w:rPr>
        <w:t>（</w:t>
      </w:r>
      <w:r>
        <w:rPr>
          <w:szCs w:val="21"/>
        </w:rPr>
        <w:t>1</w:t>
      </w:r>
      <w:r>
        <w:rPr>
          <w:rFonts w:hint="eastAsia"/>
          <w:szCs w:val="21"/>
        </w:rPr>
        <w:t>）现场开会</w:t>
      </w:r>
    </w:p>
    <w:p w:rsidR="008711D3" w:rsidRDefault="004479D9">
      <w:pPr>
        <w:spacing w:line="360" w:lineRule="auto"/>
        <w:ind w:firstLineChars="200" w:firstLine="420"/>
        <w:rPr>
          <w:szCs w:val="21"/>
        </w:rPr>
      </w:pPr>
      <w:r>
        <w:rPr>
          <w:rFonts w:hint="eastAsia"/>
          <w:szCs w:val="21"/>
        </w:rPr>
        <w:t>在现场开会的方式下，首先由大会主持人按照下列第</w:t>
      </w:r>
      <w:r>
        <w:rPr>
          <w:rFonts w:hint="eastAsia"/>
          <w:szCs w:val="21"/>
        </w:rPr>
        <w:t>G</w:t>
      </w:r>
      <w:r>
        <w:rPr>
          <w:rFonts w:hint="eastAsia"/>
          <w:szCs w:val="21"/>
        </w:rPr>
        <w:t>条规定程序确定和公布计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szCs w:val="21"/>
        </w:rPr>
        <w:t>50%</w:t>
      </w:r>
      <w:r>
        <w:rPr>
          <w:rFonts w:hint="eastAsia"/>
          <w:szCs w:val="21"/>
        </w:rPr>
        <w:t>以上（含</w:t>
      </w:r>
      <w:r>
        <w:rPr>
          <w:szCs w:val="21"/>
        </w:rPr>
        <w:t>50%</w:t>
      </w:r>
      <w:r>
        <w:rPr>
          <w:rFonts w:hint="eastAsia"/>
          <w:szCs w:val="21"/>
        </w:rPr>
        <w:t>）选举产生一名基金份额持有人作为该次基金份额持有人大会的主持人。基金管理人和基金托管人拒不出席或主持基金份额持有人大会，不影响基金份额持有人大会作出的决议的效力。</w:t>
      </w:r>
    </w:p>
    <w:p w:rsidR="008711D3" w:rsidRDefault="004479D9">
      <w:pPr>
        <w:spacing w:line="360" w:lineRule="auto"/>
        <w:ind w:firstLineChars="200" w:firstLine="420"/>
        <w:rPr>
          <w:szCs w:val="21"/>
        </w:rPr>
      </w:pPr>
      <w:r>
        <w:rPr>
          <w:rFonts w:hint="eastAsia"/>
          <w:szCs w:val="21"/>
        </w:rPr>
        <w:t>会议召集人应当制作出席会议人员的签名册。签名册载明参加会议人员姓名、身份证明文件号码、持有或代表有表决权的基金份额、委托人姓名（或单位名称）和联系方式等事项。</w:t>
      </w:r>
    </w:p>
    <w:p w:rsidR="008711D3" w:rsidRDefault="004479D9">
      <w:pPr>
        <w:spacing w:line="360" w:lineRule="auto"/>
        <w:ind w:firstLineChars="200" w:firstLine="420"/>
        <w:rPr>
          <w:szCs w:val="21"/>
        </w:rPr>
      </w:pPr>
      <w:r>
        <w:rPr>
          <w:rFonts w:hint="eastAsia"/>
          <w:szCs w:val="21"/>
        </w:rPr>
        <w:t>（</w:t>
      </w:r>
      <w:r>
        <w:rPr>
          <w:szCs w:val="21"/>
        </w:rPr>
        <w:t>2</w:t>
      </w:r>
      <w:r>
        <w:rPr>
          <w:rFonts w:hint="eastAsia"/>
          <w:szCs w:val="21"/>
        </w:rPr>
        <w:t>）通讯开会</w:t>
      </w:r>
    </w:p>
    <w:p w:rsidR="008711D3" w:rsidRDefault="004479D9">
      <w:pPr>
        <w:spacing w:line="360" w:lineRule="auto"/>
        <w:ind w:firstLineChars="200" w:firstLine="420"/>
        <w:rPr>
          <w:szCs w:val="21"/>
        </w:rPr>
      </w:pPr>
      <w:r>
        <w:rPr>
          <w:rFonts w:hint="eastAsia"/>
          <w:szCs w:val="21"/>
        </w:rPr>
        <w:t>在通讯开会的情况下，首先由召集人在收取会议审议事项书面表决意见截止时间前至少提前</w:t>
      </w:r>
      <w:r>
        <w:rPr>
          <w:szCs w:val="21"/>
        </w:rPr>
        <w:t>30</w:t>
      </w:r>
      <w:r>
        <w:rPr>
          <w:rFonts w:hint="eastAsia"/>
          <w:szCs w:val="21"/>
        </w:rPr>
        <w:t>日公布提案，在所通知的收取表决意见截止日期后</w:t>
      </w:r>
      <w:r>
        <w:rPr>
          <w:szCs w:val="21"/>
        </w:rPr>
        <w:t>2</w:t>
      </w:r>
      <w:r>
        <w:rPr>
          <w:rFonts w:hint="eastAsia"/>
          <w:szCs w:val="21"/>
        </w:rPr>
        <w:t>个工作日内在公证机关监督下由召集人统计全部有效表决，在公证机关监督下形成决议。</w:t>
      </w:r>
    </w:p>
    <w:p w:rsidR="008711D3" w:rsidRDefault="004479D9">
      <w:pPr>
        <w:spacing w:line="360" w:lineRule="auto"/>
        <w:ind w:firstLineChars="200" w:firstLine="420"/>
        <w:rPr>
          <w:szCs w:val="21"/>
        </w:rPr>
      </w:pPr>
      <w:bookmarkStart w:id="157" w:name="_Toc15641225"/>
      <w:bookmarkStart w:id="158" w:name="_Toc57530248"/>
      <w:bookmarkStart w:id="159" w:name="_Toc79392589"/>
      <w:r>
        <w:rPr>
          <w:rFonts w:hint="eastAsia"/>
          <w:szCs w:val="21"/>
        </w:rPr>
        <w:t>F</w:t>
      </w:r>
      <w:r>
        <w:rPr>
          <w:rFonts w:hint="eastAsia"/>
          <w:szCs w:val="21"/>
        </w:rPr>
        <w:t>、表决</w:t>
      </w:r>
      <w:bookmarkEnd w:id="157"/>
      <w:bookmarkEnd w:id="158"/>
      <w:bookmarkEnd w:id="159"/>
    </w:p>
    <w:p w:rsidR="008711D3" w:rsidRDefault="004479D9">
      <w:pPr>
        <w:spacing w:line="360" w:lineRule="auto"/>
        <w:ind w:firstLineChars="200" w:firstLine="420"/>
        <w:rPr>
          <w:szCs w:val="21"/>
        </w:rPr>
      </w:pPr>
      <w:r>
        <w:rPr>
          <w:rFonts w:hint="eastAsia"/>
          <w:szCs w:val="21"/>
        </w:rPr>
        <w:t>基金份额持有人所持每份基金份额有一票表决权。</w:t>
      </w:r>
    </w:p>
    <w:p w:rsidR="008711D3" w:rsidRDefault="004479D9">
      <w:pPr>
        <w:spacing w:line="360" w:lineRule="auto"/>
        <w:ind w:firstLineChars="200" w:firstLine="420"/>
        <w:rPr>
          <w:szCs w:val="21"/>
        </w:rPr>
      </w:pPr>
      <w:r>
        <w:rPr>
          <w:rFonts w:hint="eastAsia"/>
          <w:szCs w:val="21"/>
        </w:rPr>
        <w:t>基金份额持有人大会决议分为一般决议和特别决议：</w:t>
      </w:r>
    </w:p>
    <w:p w:rsidR="008711D3" w:rsidRDefault="004479D9">
      <w:pPr>
        <w:spacing w:line="360" w:lineRule="auto"/>
        <w:ind w:firstLineChars="200" w:firstLine="420"/>
        <w:rPr>
          <w:szCs w:val="21"/>
        </w:rPr>
      </w:pPr>
      <w:r>
        <w:rPr>
          <w:szCs w:val="21"/>
        </w:rPr>
        <w:t>1</w:t>
      </w:r>
      <w:r>
        <w:rPr>
          <w:rFonts w:hint="eastAsia"/>
          <w:szCs w:val="21"/>
        </w:rPr>
        <w:t>、一般决议，一般决议须经参加大会的基金份额持有人或其代理人所持表决权的二分之一以上（含二分之一）通过方为有效；除下列第</w:t>
      </w:r>
      <w:r>
        <w:rPr>
          <w:szCs w:val="21"/>
        </w:rPr>
        <w:t>2</w:t>
      </w:r>
      <w:r>
        <w:rPr>
          <w:rFonts w:hint="eastAsia"/>
          <w:szCs w:val="21"/>
        </w:rPr>
        <w:t>项所规定的须以特别决议通过事项以外的其他事项均以一般决议的方式通过。</w:t>
      </w:r>
    </w:p>
    <w:p w:rsidR="008711D3" w:rsidRDefault="004479D9">
      <w:pPr>
        <w:spacing w:line="360" w:lineRule="auto"/>
        <w:ind w:firstLineChars="200" w:firstLine="420"/>
        <w:rPr>
          <w:szCs w:val="21"/>
        </w:rPr>
      </w:pPr>
      <w:r>
        <w:rPr>
          <w:szCs w:val="21"/>
        </w:rPr>
        <w:lastRenderedPageBreak/>
        <w:t>2</w:t>
      </w:r>
      <w:r>
        <w:rPr>
          <w:rFonts w:hint="eastAsia"/>
          <w:szCs w:val="21"/>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8711D3" w:rsidRDefault="004479D9">
      <w:pPr>
        <w:spacing w:line="360" w:lineRule="auto"/>
        <w:ind w:firstLineChars="200" w:firstLine="420"/>
        <w:rPr>
          <w:szCs w:val="21"/>
        </w:rPr>
      </w:pPr>
      <w:r>
        <w:rPr>
          <w:rFonts w:hint="eastAsia"/>
          <w:szCs w:val="21"/>
        </w:rPr>
        <w:t>基金份额持有人大会采取记名方式进行投票表决。</w:t>
      </w:r>
    </w:p>
    <w:p w:rsidR="008711D3" w:rsidRDefault="004479D9">
      <w:pPr>
        <w:spacing w:line="360" w:lineRule="auto"/>
        <w:ind w:firstLineChars="200" w:firstLine="420"/>
        <w:rPr>
          <w:szCs w:val="21"/>
        </w:rPr>
      </w:pPr>
      <w:r>
        <w:rPr>
          <w:rFonts w:hint="eastAsia"/>
          <w:szCs w:val="21"/>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rsidR="008711D3" w:rsidRDefault="004479D9">
      <w:pPr>
        <w:spacing w:line="360" w:lineRule="auto"/>
        <w:ind w:firstLineChars="200" w:firstLine="420"/>
        <w:rPr>
          <w:szCs w:val="21"/>
        </w:rPr>
      </w:pPr>
      <w:r>
        <w:rPr>
          <w:rFonts w:hint="eastAsia"/>
          <w:szCs w:val="21"/>
        </w:rPr>
        <w:t>基金份额持有人大会的各项提案或同一项提案内并列的各项议题应当分开审议、逐项表决。</w:t>
      </w:r>
    </w:p>
    <w:p w:rsidR="008711D3" w:rsidRDefault="004479D9">
      <w:pPr>
        <w:spacing w:line="360" w:lineRule="auto"/>
        <w:ind w:firstLineChars="200" w:firstLine="420"/>
        <w:rPr>
          <w:szCs w:val="21"/>
        </w:rPr>
      </w:pPr>
      <w:bookmarkStart w:id="160" w:name="_Toc15641226"/>
      <w:bookmarkStart w:id="161" w:name="_Toc79392590"/>
      <w:bookmarkStart w:id="162" w:name="_Toc57530249"/>
      <w:r>
        <w:rPr>
          <w:rFonts w:hint="eastAsia"/>
          <w:szCs w:val="21"/>
        </w:rPr>
        <w:t>G</w:t>
      </w:r>
      <w:r>
        <w:rPr>
          <w:rFonts w:hint="eastAsia"/>
          <w:szCs w:val="21"/>
        </w:rPr>
        <w:t>、计票</w:t>
      </w:r>
      <w:bookmarkEnd w:id="160"/>
      <w:bookmarkEnd w:id="161"/>
      <w:bookmarkEnd w:id="162"/>
    </w:p>
    <w:p w:rsidR="008711D3" w:rsidRDefault="004479D9">
      <w:pPr>
        <w:spacing w:line="360" w:lineRule="auto"/>
        <w:ind w:firstLineChars="200" w:firstLine="420"/>
        <w:rPr>
          <w:szCs w:val="21"/>
        </w:rPr>
      </w:pPr>
      <w:r>
        <w:rPr>
          <w:szCs w:val="21"/>
        </w:rPr>
        <w:t>1</w:t>
      </w:r>
      <w:r>
        <w:rPr>
          <w:rFonts w:hint="eastAsia"/>
          <w:szCs w:val="21"/>
        </w:rPr>
        <w:t>、现场开会</w:t>
      </w:r>
    </w:p>
    <w:p w:rsidR="008711D3" w:rsidRDefault="004479D9">
      <w:pPr>
        <w:spacing w:line="360" w:lineRule="auto"/>
        <w:ind w:firstLineChars="200" w:firstLine="420"/>
        <w:rPr>
          <w:szCs w:val="21"/>
        </w:rPr>
      </w:pPr>
      <w:r>
        <w:rPr>
          <w:rFonts w:hint="eastAsia"/>
          <w:szCs w:val="21"/>
        </w:rPr>
        <w:t>（</w:t>
      </w:r>
      <w:r>
        <w:rPr>
          <w:szCs w:val="21"/>
        </w:rPr>
        <w:t>1</w:t>
      </w:r>
      <w:r>
        <w:rPr>
          <w:rFonts w:hint="eastAsia"/>
          <w:szCs w:val="21"/>
        </w:rPr>
        <w:t>）如大会由基金管理人或基金托管人召集，基金份额持有人大会的主持人应当在会议开始后宣布在出席会议的基金份额持有人和代理人中选举两名基金份额持有人代表与大会召集人授权的一名人士共同担任计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rsidR="008711D3" w:rsidRDefault="004479D9">
      <w:pPr>
        <w:spacing w:line="360" w:lineRule="auto"/>
        <w:ind w:firstLineChars="200" w:firstLine="420"/>
        <w:rPr>
          <w:szCs w:val="21"/>
        </w:rPr>
      </w:pPr>
      <w:r>
        <w:rPr>
          <w:rFonts w:hint="eastAsia"/>
          <w:szCs w:val="21"/>
        </w:rPr>
        <w:t>（</w:t>
      </w:r>
      <w:r>
        <w:rPr>
          <w:szCs w:val="21"/>
        </w:rPr>
        <w:t>2</w:t>
      </w:r>
      <w:r>
        <w:rPr>
          <w:rFonts w:hint="eastAsia"/>
          <w:szCs w:val="21"/>
        </w:rPr>
        <w:t>）计票人应当在基金份额持有人表决后立即进行清点并由大会主持人当场公布计票结果。</w:t>
      </w:r>
    </w:p>
    <w:p w:rsidR="008711D3" w:rsidRDefault="004479D9">
      <w:pPr>
        <w:spacing w:line="360" w:lineRule="auto"/>
        <w:ind w:firstLineChars="200" w:firstLine="420"/>
        <w:rPr>
          <w:szCs w:val="21"/>
        </w:rPr>
      </w:pPr>
      <w:r>
        <w:rPr>
          <w:rFonts w:hint="eastAsia"/>
          <w:szCs w:val="21"/>
        </w:rPr>
        <w:t>（</w:t>
      </w:r>
      <w:r>
        <w:rPr>
          <w:szCs w:val="21"/>
        </w:rPr>
        <w:t>3</w:t>
      </w:r>
      <w:r>
        <w:rPr>
          <w:rFonts w:hint="eastAsia"/>
          <w:szCs w:val="21"/>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rsidR="008711D3" w:rsidRDefault="004479D9">
      <w:pPr>
        <w:spacing w:line="360" w:lineRule="auto"/>
        <w:ind w:firstLineChars="200" w:firstLine="420"/>
        <w:rPr>
          <w:szCs w:val="21"/>
        </w:rPr>
      </w:pPr>
      <w:r>
        <w:rPr>
          <w:rFonts w:hint="eastAsia"/>
          <w:szCs w:val="21"/>
        </w:rPr>
        <w:t>（</w:t>
      </w:r>
      <w:r>
        <w:rPr>
          <w:szCs w:val="21"/>
        </w:rPr>
        <w:t>4</w:t>
      </w:r>
      <w:r>
        <w:rPr>
          <w:rFonts w:hint="eastAsia"/>
          <w:szCs w:val="21"/>
        </w:rPr>
        <w:t>）计票过程应由公证机关予以公证，基金管理人或基金托管人拒不出席大会的，不影响计票的效力。</w:t>
      </w:r>
    </w:p>
    <w:p w:rsidR="008711D3" w:rsidRDefault="004479D9">
      <w:pPr>
        <w:spacing w:line="360" w:lineRule="auto"/>
        <w:ind w:firstLineChars="200" w:firstLine="420"/>
        <w:rPr>
          <w:szCs w:val="21"/>
        </w:rPr>
      </w:pPr>
      <w:r>
        <w:rPr>
          <w:szCs w:val="21"/>
        </w:rPr>
        <w:t>2</w:t>
      </w:r>
      <w:r>
        <w:rPr>
          <w:rFonts w:hint="eastAsia"/>
          <w:szCs w:val="21"/>
        </w:rPr>
        <w:t>、通讯开会</w:t>
      </w:r>
    </w:p>
    <w:p w:rsidR="008711D3" w:rsidRDefault="004479D9">
      <w:pPr>
        <w:spacing w:line="360" w:lineRule="auto"/>
        <w:ind w:firstLineChars="200" w:firstLine="420"/>
        <w:rPr>
          <w:szCs w:val="21"/>
        </w:rPr>
      </w:pPr>
      <w:r>
        <w:rPr>
          <w:rFonts w:hint="eastAsia"/>
          <w:szCs w:val="21"/>
        </w:rPr>
        <w:t>在通讯开会的情况下，计票方式为：由大会召集人授权的两名人士在基金托管人授权代表（若由基金托管人召集，则为基金管理人授权代表）的监督下进行计票，并由公证机关对计票过程予以公证</w:t>
      </w:r>
      <w:bookmarkStart w:id="163" w:name="_Toc15641227"/>
      <w:bookmarkStart w:id="164" w:name="_Toc79392591"/>
      <w:bookmarkStart w:id="165" w:name="_Toc57530250"/>
      <w:r>
        <w:rPr>
          <w:rFonts w:hint="eastAsia"/>
          <w:szCs w:val="21"/>
        </w:rPr>
        <w:t>。基金管理人或基金托管人拒不派代表对书面表决意见的计票进行监督</w:t>
      </w:r>
      <w:r>
        <w:rPr>
          <w:rFonts w:hint="eastAsia"/>
          <w:szCs w:val="21"/>
        </w:rPr>
        <w:lastRenderedPageBreak/>
        <w:t>的，不影响计票和表决结果。</w:t>
      </w:r>
    </w:p>
    <w:p w:rsidR="008711D3" w:rsidRDefault="004479D9">
      <w:pPr>
        <w:spacing w:line="360" w:lineRule="auto"/>
        <w:ind w:firstLineChars="200" w:firstLine="420"/>
        <w:rPr>
          <w:szCs w:val="21"/>
        </w:rPr>
      </w:pPr>
      <w:r>
        <w:rPr>
          <w:rFonts w:hint="eastAsia"/>
          <w:szCs w:val="21"/>
        </w:rPr>
        <w:t>H</w:t>
      </w:r>
      <w:r>
        <w:rPr>
          <w:rFonts w:hint="eastAsia"/>
          <w:szCs w:val="21"/>
        </w:rPr>
        <w:t>、生效与公告</w:t>
      </w:r>
      <w:bookmarkEnd w:id="163"/>
      <w:bookmarkEnd w:id="164"/>
      <w:bookmarkEnd w:id="165"/>
    </w:p>
    <w:p w:rsidR="008711D3" w:rsidRDefault="004479D9">
      <w:pPr>
        <w:spacing w:line="360" w:lineRule="auto"/>
        <w:ind w:firstLineChars="200" w:firstLine="420"/>
        <w:rPr>
          <w:szCs w:val="21"/>
        </w:rPr>
      </w:pPr>
      <w:r>
        <w:rPr>
          <w:rFonts w:hint="eastAsia"/>
          <w:szCs w:val="21"/>
        </w:rPr>
        <w:t>基金份额持有人大会的决议，召集人应当自通过之日起</w:t>
      </w:r>
      <w:r>
        <w:rPr>
          <w:szCs w:val="21"/>
        </w:rPr>
        <w:t>5</w:t>
      </w:r>
      <w:r>
        <w:rPr>
          <w:rFonts w:hint="eastAsia"/>
          <w:szCs w:val="21"/>
        </w:rPr>
        <w:t>日内报中国证监会备案。</w:t>
      </w:r>
    </w:p>
    <w:p w:rsidR="008711D3" w:rsidRDefault="004479D9">
      <w:pPr>
        <w:spacing w:line="360" w:lineRule="auto"/>
        <w:ind w:firstLineChars="200" w:firstLine="420"/>
        <w:rPr>
          <w:szCs w:val="21"/>
        </w:rPr>
      </w:pPr>
      <w:r>
        <w:rPr>
          <w:rFonts w:hint="eastAsia"/>
          <w:szCs w:val="21"/>
        </w:rPr>
        <w:t>基金份额持有人大会的决议自表决通过之日起生效。该表决通过之日为基金份额持有人大会计票完成且计票结果符合法律法规和基金合同规定的决议通过条件之日。</w:t>
      </w:r>
    </w:p>
    <w:p w:rsidR="008711D3" w:rsidRDefault="004479D9">
      <w:pPr>
        <w:spacing w:line="360" w:lineRule="auto"/>
        <w:ind w:firstLineChars="200" w:firstLine="420"/>
        <w:rPr>
          <w:szCs w:val="21"/>
        </w:rPr>
      </w:pPr>
      <w:r>
        <w:rPr>
          <w:rFonts w:hint="eastAsia"/>
          <w:szCs w:val="21"/>
        </w:rPr>
        <w:t>基金份额持有人大会决议生效后应按照《信息披露办法》的规定在规定媒介上公告。</w:t>
      </w:r>
      <w:bookmarkStart w:id="166" w:name="_Hlt88820702"/>
      <w:bookmarkEnd w:id="166"/>
    </w:p>
    <w:p w:rsidR="008711D3" w:rsidRDefault="004479D9">
      <w:pPr>
        <w:spacing w:line="360" w:lineRule="auto"/>
        <w:ind w:firstLineChars="200" w:firstLine="420"/>
        <w:rPr>
          <w:szCs w:val="21"/>
        </w:rPr>
      </w:pPr>
      <w:r>
        <w:rPr>
          <w:rFonts w:hint="eastAsia"/>
          <w:szCs w:val="21"/>
        </w:rPr>
        <w:t>基金管理人、基金托管人和基金份额持有人应当执行生效的基金份额持有人大会的决议。生效的基金份额持有人大会决议对全体基金份额持有人、基金管理人、基金托管人均有约束力。</w:t>
      </w:r>
    </w:p>
    <w:p w:rsidR="008711D3" w:rsidRDefault="004479D9">
      <w:pPr>
        <w:spacing w:line="360" w:lineRule="auto"/>
        <w:ind w:firstLineChars="200" w:firstLine="420"/>
        <w:rPr>
          <w:bCs/>
          <w:szCs w:val="21"/>
        </w:rPr>
      </w:pPr>
      <w:r>
        <w:rPr>
          <w:rFonts w:hint="eastAsia"/>
          <w:szCs w:val="21"/>
        </w:rPr>
        <w:t>I</w:t>
      </w:r>
      <w:r>
        <w:rPr>
          <w:rFonts w:hint="eastAsia"/>
          <w:szCs w:val="21"/>
        </w:rPr>
        <w:t>、</w:t>
      </w:r>
      <w:r>
        <w:rPr>
          <w:rFonts w:hint="eastAsia"/>
          <w:bCs/>
          <w:szCs w:val="21"/>
        </w:rPr>
        <w:t>实施侧袋机制期间基金份额持有人大会的特殊约定</w:t>
      </w:r>
    </w:p>
    <w:p w:rsidR="008711D3" w:rsidRDefault="004479D9">
      <w:pPr>
        <w:spacing w:line="360" w:lineRule="auto"/>
        <w:ind w:firstLineChars="200" w:firstLine="420"/>
        <w:rPr>
          <w:bCs/>
          <w:szCs w:val="21"/>
        </w:rPr>
      </w:pPr>
      <w:r>
        <w:rPr>
          <w:rFonts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8711D3" w:rsidRDefault="004479D9">
      <w:pPr>
        <w:spacing w:line="360" w:lineRule="auto"/>
        <w:ind w:firstLineChars="200" w:firstLine="420"/>
        <w:rPr>
          <w:bCs/>
          <w:szCs w:val="21"/>
        </w:rPr>
      </w:pPr>
      <w:r>
        <w:rPr>
          <w:rFonts w:hint="eastAsia"/>
          <w:bCs/>
          <w:szCs w:val="21"/>
        </w:rPr>
        <w:t>1</w:t>
      </w:r>
      <w:r>
        <w:rPr>
          <w:rFonts w:hint="eastAsia"/>
          <w:bCs/>
          <w:szCs w:val="21"/>
        </w:rPr>
        <w:t>、基金份额持有人行使提议权、召集权、提名权所需单独或合计代表相关基金份额</w:t>
      </w:r>
      <w:r>
        <w:rPr>
          <w:rFonts w:hint="eastAsia"/>
          <w:bCs/>
          <w:szCs w:val="21"/>
        </w:rPr>
        <w:t>10%</w:t>
      </w:r>
      <w:r>
        <w:rPr>
          <w:rFonts w:hint="eastAsia"/>
          <w:bCs/>
          <w:szCs w:val="21"/>
        </w:rPr>
        <w:t>以上（含</w:t>
      </w:r>
      <w:r>
        <w:rPr>
          <w:rFonts w:hint="eastAsia"/>
          <w:bCs/>
          <w:szCs w:val="21"/>
        </w:rPr>
        <w:t>10%</w:t>
      </w:r>
      <w:r>
        <w:rPr>
          <w:rFonts w:hint="eastAsia"/>
          <w:bCs/>
          <w:szCs w:val="21"/>
        </w:rPr>
        <w:t>）；</w:t>
      </w:r>
    </w:p>
    <w:p w:rsidR="008711D3" w:rsidRDefault="004479D9">
      <w:pPr>
        <w:spacing w:line="360" w:lineRule="auto"/>
        <w:ind w:firstLineChars="200" w:firstLine="420"/>
        <w:rPr>
          <w:bCs/>
          <w:szCs w:val="21"/>
        </w:rPr>
      </w:pPr>
      <w:r>
        <w:rPr>
          <w:rFonts w:hint="eastAsia"/>
          <w:bCs/>
          <w:szCs w:val="21"/>
        </w:rPr>
        <w:t>2</w:t>
      </w:r>
      <w:r>
        <w:rPr>
          <w:rFonts w:hint="eastAsia"/>
          <w:bCs/>
          <w:szCs w:val="21"/>
        </w:rPr>
        <w:t>、现场开会的到会者在权益登记日代表的基金份额不少于本基金在权益登记日相关基金份额的二分之一（含二分之一）；</w:t>
      </w:r>
    </w:p>
    <w:p w:rsidR="008711D3" w:rsidRDefault="004479D9">
      <w:pPr>
        <w:spacing w:line="360" w:lineRule="auto"/>
        <w:ind w:firstLineChars="200" w:firstLine="420"/>
        <w:rPr>
          <w:bCs/>
          <w:szCs w:val="21"/>
        </w:rPr>
      </w:pPr>
      <w:r>
        <w:rPr>
          <w:rFonts w:hint="eastAsia"/>
          <w:bCs/>
          <w:szCs w:val="21"/>
        </w:rPr>
        <w:t>3</w:t>
      </w:r>
      <w:r>
        <w:rPr>
          <w:rFonts w:hint="eastAsia"/>
          <w:bCs/>
          <w:szCs w:val="21"/>
        </w:rPr>
        <w:t>、通讯开会的直接出具书面意见或授权他人代表出具书面意见的基金份额持有人所持有的基金份额不小于在权益登记日相关基金份额的二分之一（含二分之一）；</w:t>
      </w:r>
    </w:p>
    <w:p w:rsidR="008711D3" w:rsidRDefault="004479D9">
      <w:pPr>
        <w:spacing w:line="360" w:lineRule="auto"/>
        <w:ind w:firstLineChars="200" w:firstLine="420"/>
        <w:rPr>
          <w:bCs/>
          <w:szCs w:val="21"/>
        </w:rPr>
      </w:pPr>
      <w:r>
        <w:rPr>
          <w:rFonts w:hint="eastAsia"/>
          <w:bCs/>
          <w:szCs w:val="21"/>
        </w:rPr>
        <w:t>4</w:t>
      </w:r>
      <w:r>
        <w:rPr>
          <w:rFonts w:hint="eastAsia"/>
          <w:bCs/>
          <w:szCs w:val="21"/>
        </w:rPr>
        <w:t>、在参与基金份额持有人大会投票的基金份额持有人所持有的基金份额小于在权益登记日相关基金份额的二分之一、召集人在原公告的基金份额持有人大会召开时间的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个月以内就原定审议事项重新召集的基金份额持有人大会应当有代表三分之一以上（含三分之一）相关基金份额的持有人参与或授权他人参与基金份额持有人大会投票；</w:t>
      </w:r>
    </w:p>
    <w:p w:rsidR="008711D3" w:rsidRDefault="004479D9">
      <w:pPr>
        <w:spacing w:line="360" w:lineRule="auto"/>
        <w:ind w:firstLineChars="200" w:firstLine="420"/>
        <w:rPr>
          <w:bCs/>
          <w:szCs w:val="21"/>
        </w:rPr>
      </w:pPr>
      <w:r>
        <w:rPr>
          <w:rFonts w:hint="eastAsia"/>
          <w:bCs/>
          <w:szCs w:val="21"/>
        </w:rPr>
        <w:t>5</w:t>
      </w:r>
      <w:r>
        <w:rPr>
          <w:rFonts w:hint="eastAsia"/>
          <w:bCs/>
          <w:szCs w:val="21"/>
        </w:rPr>
        <w:t>、现场开会由出席大会的基金份额持有人和代理人所持表决权的</w:t>
      </w:r>
      <w:r>
        <w:rPr>
          <w:rFonts w:hint="eastAsia"/>
          <w:bCs/>
          <w:szCs w:val="21"/>
        </w:rPr>
        <w:t>50%</w:t>
      </w:r>
      <w:r>
        <w:rPr>
          <w:rFonts w:hint="eastAsia"/>
          <w:bCs/>
          <w:szCs w:val="21"/>
        </w:rPr>
        <w:t>以上（含</w:t>
      </w:r>
      <w:r>
        <w:rPr>
          <w:rFonts w:hint="eastAsia"/>
          <w:bCs/>
          <w:szCs w:val="21"/>
        </w:rPr>
        <w:t>50%</w:t>
      </w:r>
      <w:r>
        <w:rPr>
          <w:rFonts w:hint="eastAsia"/>
          <w:bCs/>
          <w:szCs w:val="21"/>
        </w:rPr>
        <w:t>）选举产生一名基金份额持有人作为该次基金份额持有人大会的主持人；</w:t>
      </w:r>
    </w:p>
    <w:p w:rsidR="008711D3" w:rsidRDefault="004479D9">
      <w:pPr>
        <w:spacing w:line="360" w:lineRule="auto"/>
        <w:ind w:firstLineChars="200" w:firstLine="420"/>
        <w:rPr>
          <w:bCs/>
          <w:szCs w:val="21"/>
        </w:rPr>
      </w:pPr>
      <w:r>
        <w:rPr>
          <w:rFonts w:hint="eastAsia"/>
          <w:bCs/>
          <w:szCs w:val="21"/>
        </w:rPr>
        <w:t>6</w:t>
      </w:r>
      <w:r>
        <w:rPr>
          <w:rFonts w:hint="eastAsia"/>
          <w:bCs/>
          <w:szCs w:val="21"/>
        </w:rPr>
        <w:t>、一般决议须经参加大会的基金份额持有人或其代理人所持表决权的二分之一以上（含二分之一）通过；</w:t>
      </w:r>
    </w:p>
    <w:p w:rsidR="008711D3" w:rsidRDefault="004479D9">
      <w:pPr>
        <w:spacing w:line="360" w:lineRule="auto"/>
        <w:ind w:firstLineChars="200" w:firstLine="420"/>
        <w:rPr>
          <w:bCs/>
          <w:szCs w:val="21"/>
        </w:rPr>
      </w:pPr>
      <w:r>
        <w:rPr>
          <w:rFonts w:hint="eastAsia"/>
          <w:bCs/>
          <w:szCs w:val="21"/>
        </w:rPr>
        <w:t>7</w:t>
      </w:r>
      <w:r>
        <w:rPr>
          <w:rFonts w:hint="eastAsia"/>
          <w:bCs/>
          <w:szCs w:val="21"/>
        </w:rPr>
        <w:t>、特别决议应当经参加大会的基金份额持有人或其代理人所持表决权的三分之二以上（含三分之二）通过。</w:t>
      </w:r>
    </w:p>
    <w:p w:rsidR="008711D3" w:rsidRDefault="004479D9">
      <w:pPr>
        <w:spacing w:line="360" w:lineRule="auto"/>
        <w:ind w:firstLineChars="200" w:firstLine="420"/>
        <w:rPr>
          <w:bCs/>
          <w:szCs w:val="21"/>
        </w:rPr>
      </w:pPr>
      <w:r>
        <w:rPr>
          <w:rFonts w:hint="eastAsia"/>
          <w:bCs/>
          <w:szCs w:val="21"/>
        </w:rPr>
        <w:lastRenderedPageBreak/>
        <w:t>同一主侧袋账户内的每份基金份额具有平等的表决权。</w:t>
      </w:r>
    </w:p>
    <w:p w:rsidR="008711D3" w:rsidRDefault="004479D9">
      <w:pPr>
        <w:spacing w:line="360" w:lineRule="auto"/>
        <w:ind w:firstLineChars="200" w:firstLine="420"/>
        <w:rPr>
          <w:bCs/>
          <w:szCs w:val="21"/>
        </w:rPr>
      </w:pPr>
      <w:r>
        <w:rPr>
          <w:bCs/>
          <w:szCs w:val="21"/>
        </w:rPr>
        <w:t>J</w:t>
      </w:r>
      <w:r>
        <w:rPr>
          <w:rFonts w:hint="eastAsia"/>
          <w:bCs/>
          <w:szCs w:val="21"/>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8711D3" w:rsidRDefault="004479D9">
      <w:pPr>
        <w:spacing w:line="360" w:lineRule="auto"/>
        <w:rPr>
          <w:rFonts w:ascii="宋体" w:hAnsi="宋体"/>
          <w:b/>
          <w:bCs/>
          <w:szCs w:val="21"/>
        </w:rPr>
      </w:pPr>
      <w:r>
        <w:rPr>
          <w:rFonts w:ascii="宋体" w:hAnsi="宋体" w:hint="eastAsia"/>
          <w:b/>
          <w:bCs/>
          <w:szCs w:val="21"/>
        </w:rPr>
        <w:t>（三）基金合同的变更、终止与基金财产的清算</w:t>
      </w:r>
    </w:p>
    <w:p w:rsidR="008711D3" w:rsidRDefault="004479D9">
      <w:pPr>
        <w:spacing w:line="360" w:lineRule="auto"/>
        <w:ind w:firstLineChars="200" w:firstLine="420"/>
        <w:rPr>
          <w:szCs w:val="21"/>
        </w:rPr>
      </w:pPr>
      <w:r>
        <w:rPr>
          <w:rFonts w:hint="eastAsia"/>
          <w:szCs w:val="21"/>
        </w:rPr>
        <w:t>A</w:t>
      </w:r>
      <w:r>
        <w:rPr>
          <w:rFonts w:hint="eastAsia"/>
          <w:szCs w:val="21"/>
        </w:rPr>
        <w:t>、基金合同的变更</w:t>
      </w:r>
    </w:p>
    <w:p w:rsidR="008711D3" w:rsidRDefault="004479D9">
      <w:pPr>
        <w:autoSpaceDE w:val="0"/>
        <w:autoSpaceDN w:val="0"/>
        <w:adjustRightInd w:val="0"/>
        <w:spacing w:line="360" w:lineRule="auto"/>
        <w:ind w:firstLineChars="200" w:firstLine="420"/>
        <w:jc w:val="left"/>
        <w:rPr>
          <w:szCs w:val="21"/>
        </w:rPr>
      </w:pPr>
      <w:r>
        <w:rPr>
          <w:szCs w:val="21"/>
        </w:rPr>
        <w:t>1</w:t>
      </w:r>
      <w:r>
        <w:rPr>
          <w:rFonts w:hint="eastAsia"/>
          <w:szCs w:val="21"/>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或变更注册。</w:t>
      </w:r>
    </w:p>
    <w:p w:rsidR="008711D3" w:rsidRDefault="004479D9">
      <w:pPr>
        <w:spacing w:line="360" w:lineRule="auto"/>
        <w:ind w:firstLineChars="200" w:firstLine="420"/>
        <w:rPr>
          <w:szCs w:val="21"/>
        </w:rPr>
      </w:pPr>
      <w:r>
        <w:rPr>
          <w:szCs w:val="21"/>
        </w:rPr>
        <w:t>2</w:t>
      </w:r>
      <w:r>
        <w:rPr>
          <w:rFonts w:hint="eastAsia"/>
          <w:szCs w:val="21"/>
        </w:rPr>
        <w:t>、关于基金合同变更的基金份额持有人大会决议自通过之日起生效。信息披露义务人应在决议生效后依照《信息披露办法》的有关规定在规定媒介公告。</w:t>
      </w:r>
    </w:p>
    <w:p w:rsidR="008711D3" w:rsidRDefault="004479D9">
      <w:pPr>
        <w:spacing w:line="360" w:lineRule="auto"/>
        <w:ind w:firstLineChars="200" w:firstLine="420"/>
        <w:rPr>
          <w:szCs w:val="21"/>
        </w:rPr>
      </w:pPr>
      <w:r>
        <w:rPr>
          <w:rFonts w:hint="eastAsia"/>
          <w:szCs w:val="21"/>
        </w:rPr>
        <w:t>B</w:t>
      </w:r>
      <w:r>
        <w:rPr>
          <w:rFonts w:hint="eastAsia"/>
          <w:szCs w:val="21"/>
        </w:rPr>
        <w:t>、基金合同的终止事由</w:t>
      </w:r>
    </w:p>
    <w:p w:rsidR="008711D3" w:rsidRDefault="004479D9">
      <w:pPr>
        <w:spacing w:line="360" w:lineRule="auto"/>
        <w:ind w:firstLineChars="200" w:firstLine="420"/>
        <w:rPr>
          <w:szCs w:val="21"/>
        </w:rPr>
      </w:pPr>
      <w:r>
        <w:rPr>
          <w:rFonts w:hint="eastAsia"/>
          <w:szCs w:val="21"/>
        </w:rPr>
        <w:t>有下列情形之一的，经履行相关程序后，基金合同应当终止：</w:t>
      </w:r>
    </w:p>
    <w:p w:rsidR="008711D3" w:rsidRDefault="004479D9">
      <w:pPr>
        <w:spacing w:line="360" w:lineRule="auto"/>
        <w:ind w:firstLineChars="200" w:firstLine="420"/>
        <w:rPr>
          <w:szCs w:val="21"/>
        </w:rPr>
      </w:pPr>
      <w:r>
        <w:rPr>
          <w:szCs w:val="21"/>
        </w:rPr>
        <w:t>1</w:t>
      </w:r>
      <w:r>
        <w:rPr>
          <w:rFonts w:hint="eastAsia"/>
          <w:szCs w:val="21"/>
        </w:rPr>
        <w:t>、基金份额持有人大会决定终止的；</w:t>
      </w:r>
    </w:p>
    <w:p w:rsidR="008711D3" w:rsidRDefault="004479D9">
      <w:pPr>
        <w:spacing w:line="360" w:lineRule="auto"/>
        <w:ind w:firstLineChars="200" w:firstLine="420"/>
        <w:rPr>
          <w:szCs w:val="21"/>
        </w:rPr>
      </w:pPr>
      <w:r>
        <w:rPr>
          <w:szCs w:val="21"/>
        </w:rPr>
        <w:t>2</w:t>
      </w:r>
      <w:r>
        <w:rPr>
          <w:rFonts w:hint="eastAsia"/>
          <w:szCs w:val="21"/>
        </w:rPr>
        <w:t>、基金管理人、基金托管人职责终止，在</w:t>
      </w:r>
      <w:r>
        <w:rPr>
          <w:szCs w:val="21"/>
        </w:rPr>
        <w:t>6</w:t>
      </w:r>
      <w:r>
        <w:rPr>
          <w:rFonts w:hint="eastAsia"/>
          <w:szCs w:val="21"/>
        </w:rPr>
        <w:t>个月内没有新基金管理人、新基金托管人承接的；</w:t>
      </w:r>
    </w:p>
    <w:p w:rsidR="008711D3" w:rsidRDefault="004479D9">
      <w:pPr>
        <w:spacing w:line="360" w:lineRule="auto"/>
        <w:ind w:firstLineChars="200" w:firstLine="420"/>
        <w:rPr>
          <w:szCs w:val="21"/>
        </w:rPr>
      </w:pPr>
      <w:r>
        <w:rPr>
          <w:szCs w:val="21"/>
        </w:rPr>
        <w:t>3</w:t>
      </w:r>
      <w:r>
        <w:rPr>
          <w:rFonts w:hint="eastAsia"/>
          <w:szCs w:val="21"/>
        </w:rPr>
        <w:t>、基金合同约定的其他情形；</w:t>
      </w:r>
    </w:p>
    <w:p w:rsidR="008711D3" w:rsidRDefault="004479D9">
      <w:pPr>
        <w:spacing w:line="360" w:lineRule="auto"/>
        <w:ind w:firstLineChars="200" w:firstLine="420"/>
        <w:rPr>
          <w:szCs w:val="21"/>
        </w:rPr>
      </w:pPr>
      <w:r>
        <w:rPr>
          <w:szCs w:val="21"/>
        </w:rPr>
        <w:t>4</w:t>
      </w:r>
      <w:r>
        <w:rPr>
          <w:rFonts w:hint="eastAsia"/>
          <w:szCs w:val="21"/>
        </w:rPr>
        <w:t>、相关法律法规和中国证监会规定的其他情况。</w:t>
      </w:r>
    </w:p>
    <w:p w:rsidR="008711D3" w:rsidRDefault="004479D9">
      <w:pPr>
        <w:spacing w:line="360" w:lineRule="auto"/>
        <w:ind w:firstLineChars="200" w:firstLine="420"/>
        <w:rPr>
          <w:szCs w:val="21"/>
        </w:rPr>
      </w:pPr>
      <w:r>
        <w:rPr>
          <w:rFonts w:hint="eastAsia"/>
          <w:szCs w:val="21"/>
        </w:rPr>
        <w:t>C</w:t>
      </w:r>
      <w:r>
        <w:rPr>
          <w:rFonts w:hint="eastAsia"/>
          <w:szCs w:val="21"/>
        </w:rPr>
        <w:t>、基金财产的清算</w:t>
      </w:r>
    </w:p>
    <w:p w:rsidR="008711D3" w:rsidRDefault="004479D9">
      <w:pPr>
        <w:spacing w:line="360" w:lineRule="auto"/>
        <w:ind w:firstLineChars="200" w:firstLine="420"/>
        <w:rPr>
          <w:szCs w:val="21"/>
        </w:rPr>
      </w:pPr>
      <w:r>
        <w:rPr>
          <w:szCs w:val="21"/>
        </w:rPr>
        <w:t>1</w:t>
      </w:r>
      <w:r>
        <w:rPr>
          <w:rFonts w:hint="eastAsia"/>
          <w:szCs w:val="21"/>
        </w:rPr>
        <w:t>、基金财产清算小组：自出现基金合同的终止事由之日起</w:t>
      </w:r>
      <w:r>
        <w:rPr>
          <w:szCs w:val="21"/>
        </w:rPr>
        <w:t>30</w:t>
      </w:r>
      <w:r>
        <w:rPr>
          <w:rFonts w:hint="eastAsia"/>
          <w:szCs w:val="21"/>
        </w:rPr>
        <w:t>个工作日内成立清算小组，基金管理人组织基金财产清算小组并在中国证监会的监督下进行基金清算。</w:t>
      </w:r>
    </w:p>
    <w:p w:rsidR="008711D3" w:rsidRDefault="004479D9">
      <w:pPr>
        <w:spacing w:line="360" w:lineRule="auto"/>
        <w:ind w:firstLineChars="200" w:firstLine="420"/>
        <w:rPr>
          <w:szCs w:val="21"/>
        </w:rPr>
      </w:pPr>
      <w:r>
        <w:rPr>
          <w:kern w:val="0"/>
          <w:szCs w:val="21"/>
        </w:rPr>
        <w:t>2</w:t>
      </w:r>
      <w:r>
        <w:rPr>
          <w:rFonts w:hint="eastAsia"/>
          <w:kern w:val="0"/>
          <w:szCs w:val="21"/>
        </w:rPr>
        <w:t>、在基金财产清算小组接管基金财产之前，基金管理人和基金托管人应按照基金合同和托管协议的规定继续履行保护基金财产安全的职责。</w:t>
      </w:r>
    </w:p>
    <w:p w:rsidR="008711D3" w:rsidRDefault="004479D9">
      <w:pPr>
        <w:spacing w:line="360" w:lineRule="auto"/>
        <w:ind w:firstLineChars="200" w:firstLine="420"/>
        <w:rPr>
          <w:szCs w:val="21"/>
        </w:rPr>
      </w:pPr>
      <w:r>
        <w:rPr>
          <w:szCs w:val="21"/>
        </w:rPr>
        <w:t>3</w:t>
      </w:r>
      <w:r>
        <w:rPr>
          <w:rFonts w:hint="eastAsia"/>
          <w:szCs w:val="21"/>
        </w:rPr>
        <w:t>、基金财产清算小组组成：基金财产清算小组成员由基金管理人、基金托管人、符合</w:t>
      </w:r>
      <w:r>
        <w:rPr>
          <w:rFonts w:hint="eastAsia"/>
          <w:bCs/>
          <w:szCs w:val="21"/>
        </w:rPr>
        <w:t>《中华人民共和国证券法》</w:t>
      </w:r>
      <w:r>
        <w:rPr>
          <w:rFonts w:hint="eastAsia"/>
          <w:szCs w:val="21"/>
        </w:rPr>
        <w:t>规定的注册会计师、律师组成。基金财产清算小组可以聘用必要的工作人员。</w:t>
      </w:r>
    </w:p>
    <w:p w:rsidR="008711D3" w:rsidRDefault="004479D9">
      <w:pPr>
        <w:spacing w:line="360" w:lineRule="auto"/>
        <w:ind w:firstLineChars="200" w:firstLine="420"/>
        <w:rPr>
          <w:szCs w:val="21"/>
        </w:rPr>
      </w:pPr>
      <w:r>
        <w:rPr>
          <w:szCs w:val="21"/>
        </w:rPr>
        <w:t>4</w:t>
      </w:r>
      <w:r>
        <w:rPr>
          <w:rFonts w:hint="eastAsia"/>
          <w:szCs w:val="21"/>
        </w:rPr>
        <w:t>、基金财产清算小组职责：基金财产清算小组负责基金财产的保管、清理、估价、变现和分配。基金财产清算小组可以依法进行必要的民事活动。</w:t>
      </w:r>
    </w:p>
    <w:p w:rsidR="008711D3" w:rsidRDefault="004479D9">
      <w:pPr>
        <w:spacing w:line="360" w:lineRule="auto"/>
        <w:ind w:firstLineChars="200" w:firstLine="420"/>
        <w:rPr>
          <w:szCs w:val="21"/>
        </w:rPr>
      </w:pPr>
      <w:r>
        <w:rPr>
          <w:szCs w:val="21"/>
        </w:rPr>
        <w:lastRenderedPageBreak/>
        <w:t>5</w:t>
      </w:r>
      <w:r>
        <w:rPr>
          <w:rFonts w:hint="eastAsia"/>
          <w:szCs w:val="21"/>
        </w:rPr>
        <w:t>、基金财产清算程序：</w:t>
      </w:r>
    </w:p>
    <w:p w:rsidR="008711D3" w:rsidRDefault="004479D9">
      <w:pPr>
        <w:spacing w:line="360" w:lineRule="auto"/>
        <w:ind w:firstLineChars="200" w:firstLine="420"/>
        <w:rPr>
          <w:szCs w:val="21"/>
        </w:rPr>
      </w:pPr>
      <w:r>
        <w:rPr>
          <w:rFonts w:hint="eastAsia"/>
          <w:szCs w:val="21"/>
        </w:rPr>
        <w:t>（</w:t>
      </w:r>
      <w:r>
        <w:rPr>
          <w:szCs w:val="21"/>
        </w:rPr>
        <w:t>1</w:t>
      </w:r>
      <w:r>
        <w:rPr>
          <w:rFonts w:hint="eastAsia"/>
          <w:szCs w:val="21"/>
        </w:rPr>
        <w:t>）基金财产清算小组成立后，由基金财产清算小组统一接管基金；</w:t>
      </w:r>
    </w:p>
    <w:p w:rsidR="008711D3" w:rsidRDefault="004479D9">
      <w:pPr>
        <w:spacing w:line="360" w:lineRule="auto"/>
        <w:ind w:firstLineChars="200" w:firstLine="420"/>
        <w:rPr>
          <w:szCs w:val="21"/>
        </w:rPr>
      </w:pPr>
      <w:r>
        <w:rPr>
          <w:rFonts w:hint="eastAsia"/>
          <w:szCs w:val="21"/>
        </w:rPr>
        <w:t>（</w:t>
      </w:r>
      <w:r>
        <w:rPr>
          <w:szCs w:val="21"/>
        </w:rPr>
        <w:t>2</w:t>
      </w:r>
      <w:r>
        <w:rPr>
          <w:rFonts w:hint="eastAsia"/>
          <w:szCs w:val="21"/>
        </w:rPr>
        <w:t>）对基金财产和债权债务进行清理和确认；</w:t>
      </w:r>
    </w:p>
    <w:p w:rsidR="008711D3" w:rsidRDefault="004479D9">
      <w:pPr>
        <w:spacing w:line="360" w:lineRule="auto"/>
        <w:ind w:firstLineChars="200" w:firstLine="420"/>
        <w:rPr>
          <w:szCs w:val="21"/>
        </w:rPr>
      </w:pPr>
      <w:r>
        <w:rPr>
          <w:rFonts w:hint="eastAsia"/>
          <w:szCs w:val="21"/>
        </w:rPr>
        <w:t>（</w:t>
      </w:r>
      <w:r>
        <w:rPr>
          <w:szCs w:val="21"/>
        </w:rPr>
        <w:t>3</w:t>
      </w:r>
      <w:r>
        <w:rPr>
          <w:rFonts w:hint="eastAsia"/>
          <w:szCs w:val="21"/>
        </w:rPr>
        <w:t>）对基金财产进行估值和变现；</w:t>
      </w:r>
    </w:p>
    <w:p w:rsidR="008711D3" w:rsidRDefault="004479D9">
      <w:pPr>
        <w:spacing w:line="360" w:lineRule="auto"/>
        <w:ind w:firstLineChars="200" w:firstLine="420"/>
        <w:rPr>
          <w:szCs w:val="21"/>
        </w:rPr>
      </w:pPr>
      <w:r>
        <w:rPr>
          <w:rFonts w:hint="eastAsia"/>
          <w:szCs w:val="21"/>
        </w:rPr>
        <w:t>（</w:t>
      </w:r>
      <w:r>
        <w:rPr>
          <w:szCs w:val="21"/>
        </w:rPr>
        <w:t>4</w:t>
      </w:r>
      <w:r>
        <w:rPr>
          <w:rFonts w:hint="eastAsia"/>
          <w:szCs w:val="21"/>
        </w:rPr>
        <w:t>）制作清算报告；</w:t>
      </w:r>
    </w:p>
    <w:p w:rsidR="008711D3" w:rsidRDefault="004479D9">
      <w:pPr>
        <w:spacing w:line="360" w:lineRule="auto"/>
        <w:ind w:firstLineChars="200" w:firstLine="420"/>
        <w:rPr>
          <w:szCs w:val="21"/>
        </w:rPr>
      </w:pPr>
      <w:r>
        <w:rPr>
          <w:rFonts w:hint="eastAsia"/>
          <w:szCs w:val="21"/>
        </w:rPr>
        <w:t>（</w:t>
      </w:r>
      <w:r>
        <w:rPr>
          <w:szCs w:val="21"/>
        </w:rPr>
        <w:t>5</w:t>
      </w:r>
      <w:r>
        <w:rPr>
          <w:rFonts w:hint="eastAsia"/>
          <w:szCs w:val="21"/>
        </w:rPr>
        <w:t>）聘请会计师事务所对清算报告进行外部审计，聘请律师事务所对清算报告出具法律意见书；</w:t>
      </w:r>
    </w:p>
    <w:p w:rsidR="008711D3" w:rsidRDefault="004479D9">
      <w:pPr>
        <w:spacing w:line="360" w:lineRule="auto"/>
        <w:ind w:firstLineChars="200" w:firstLine="420"/>
        <w:rPr>
          <w:szCs w:val="21"/>
        </w:rPr>
      </w:pPr>
      <w:r>
        <w:rPr>
          <w:rFonts w:hint="eastAsia"/>
          <w:szCs w:val="21"/>
        </w:rPr>
        <w:t>（</w:t>
      </w:r>
      <w:r>
        <w:rPr>
          <w:szCs w:val="21"/>
        </w:rPr>
        <w:t>6</w:t>
      </w:r>
      <w:r>
        <w:rPr>
          <w:rFonts w:hint="eastAsia"/>
          <w:szCs w:val="21"/>
        </w:rPr>
        <w:t>）将清算报告报中国证监会备案并公告；</w:t>
      </w:r>
    </w:p>
    <w:p w:rsidR="008711D3" w:rsidRDefault="004479D9">
      <w:pPr>
        <w:spacing w:line="360" w:lineRule="auto"/>
        <w:ind w:firstLineChars="200" w:firstLine="420"/>
        <w:rPr>
          <w:szCs w:val="21"/>
        </w:rPr>
      </w:pPr>
      <w:r>
        <w:rPr>
          <w:rFonts w:hint="eastAsia"/>
          <w:szCs w:val="21"/>
        </w:rPr>
        <w:t>（</w:t>
      </w:r>
      <w:r>
        <w:rPr>
          <w:szCs w:val="21"/>
        </w:rPr>
        <w:t>7</w:t>
      </w:r>
      <w:r>
        <w:rPr>
          <w:rFonts w:hint="eastAsia"/>
          <w:szCs w:val="21"/>
        </w:rPr>
        <w:t>）对基金剩余财产进行分配。</w:t>
      </w:r>
    </w:p>
    <w:p w:rsidR="008711D3" w:rsidRDefault="004479D9">
      <w:pPr>
        <w:spacing w:line="360" w:lineRule="auto"/>
        <w:ind w:firstLineChars="200" w:firstLine="420"/>
        <w:rPr>
          <w:szCs w:val="21"/>
        </w:rPr>
      </w:pPr>
      <w:r>
        <w:rPr>
          <w:szCs w:val="21"/>
        </w:rPr>
        <w:t>6</w:t>
      </w:r>
      <w:r>
        <w:rPr>
          <w:rFonts w:hint="eastAsia"/>
          <w:szCs w:val="21"/>
        </w:rPr>
        <w:t>、基金财产清算的期限为</w:t>
      </w:r>
      <w:r>
        <w:rPr>
          <w:szCs w:val="21"/>
        </w:rPr>
        <w:t>6</w:t>
      </w:r>
      <w:r>
        <w:rPr>
          <w:rFonts w:hint="eastAsia"/>
          <w:szCs w:val="21"/>
        </w:rPr>
        <w:t>个月，但因本基金所持证券的流动性受到限制而不能及时变现、结算保证金相关规定等客观因素，清算期限相应顺延。</w:t>
      </w:r>
    </w:p>
    <w:p w:rsidR="008711D3" w:rsidRDefault="004479D9">
      <w:pPr>
        <w:spacing w:line="360" w:lineRule="auto"/>
        <w:ind w:firstLineChars="200" w:firstLine="420"/>
        <w:rPr>
          <w:szCs w:val="21"/>
        </w:rPr>
      </w:pPr>
      <w:r>
        <w:rPr>
          <w:rFonts w:hint="eastAsia"/>
          <w:szCs w:val="21"/>
        </w:rPr>
        <w:t>D</w:t>
      </w:r>
      <w:r>
        <w:rPr>
          <w:rFonts w:hint="eastAsia"/>
          <w:szCs w:val="21"/>
        </w:rPr>
        <w:t>、清算费用</w:t>
      </w:r>
    </w:p>
    <w:p w:rsidR="008711D3" w:rsidRDefault="004479D9">
      <w:pPr>
        <w:spacing w:line="360" w:lineRule="auto"/>
        <w:ind w:firstLineChars="200" w:firstLine="420"/>
        <w:rPr>
          <w:szCs w:val="21"/>
        </w:rPr>
      </w:pPr>
      <w:r>
        <w:rPr>
          <w:rFonts w:hint="eastAsia"/>
          <w:szCs w:val="21"/>
        </w:rPr>
        <w:t>清算费用是指基金财产清算小组在进行基金清算过程中发生的所有合理费用，清算费用由基金财产清算小组优先从基金财产中支付。</w:t>
      </w:r>
    </w:p>
    <w:p w:rsidR="008711D3" w:rsidRDefault="004479D9">
      <w:pPr>
        <w:spacing w:line="360" w:lineRule="auto"/>
        <w:ind w:firstLineChars="200" w:firstLine="420"/>
        <w:rPr>
          <w:szCs w:val="21"/>
        </w:rPr>
      </w:pPr>
      <w:r>
        <w:rPr>
          <w:rFonts w:hint="eastAsia"/>
          <w:szCs w:val="21"/>
        </w:rPr>
        <w:t>E</w:t>
      </w:r>
      <w:r>
        <w:rPr>
          <w:rFonts w:hint="eastAsia"/>
          <w:szCs w:val="21"/>
        </w:rPr>
        <w:t>、基金财产清算剩余资产的分配</w:t>
      </w:r>
    </w:p>
    <w:p w:rsidR="008711D3" w:rsidRDefault="004479D9">
      <w:pPr>
        <w:spacing w:line="360" w:lineRule="auto"/>
        <w:ind w:firstLineChars="200" w:firstLine="420"/>
        <w:rPr>
          <w:szCs w:val="21"/>
        </w:rPr>
      </w:pPr>
      <w:r>
        <w:rPr>
          <w:rFonts w:hint="eastAsia"/>
          <w:szCs w:val="21"/>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对基金财产清算后本类别基金份额的剩余资产具有同等的分配权。</w:t>
      </w:r>
    </w:p>
    <w:p w:rsidR="008711D3" w:rsidRDefault="004479D9">
      <w:pPr>
        <w:spacing w:line="360" w:lineRule="auto"/>
        <w:ind w:firstLineChars="200" w:firstLine="420"/>
        <w:rPr>
          <w:szCs w:val="21"/>
        </w:rPr>
      </w:pPr>
      <w:r>
        <w:rPr>
          <w:rFonts w:hint="eastAsia"/>
          <w:szCs w:val="21"/>
        </w:rPr>
        <w:t>F</w:t>
      </w:r>
      <w:r>
        <w:rPr>
          <w:rFonts w:hint="eastAsia"/>
          <w:szCs w:val="21"/>
        </w:rPr>
        <w:t>、基金财产清算的公告</w:t>
      </w:r>
    </w:p>
    <w:p w:rsidR="008711D3" w:rsidRDefault="004479D9">
      <w:pPr>
        <w:spacing w:line="360" w:lineRule="auto"/>
        <w:ind w:firstLineChars="200" w:firstLine="420"/>
        <w:rPr>
          <w:szCs w:val="21"/>
        </w:rPr>
      </w:pPr>
      <w:r>
        <w:rPr>
          <w:rFonts w:hint="eastAsia"/>
          <w:szCs w:val="21"/>
        </w:rPr>
        <w:t>清算过程中的有关重大事项应及时公告；基金财产清算报告经符合</w:t>
      </w:r>
      <w:r>
        <w:rPr>
          <w:rFonts w:hint="eastAsia"/>
          <w:bCs/>
          <w:szCs w:val="21"/>
        </w:rPr>
        <w:t>《中华人民共和国证券法》</w:t>
      </w:r>
      <w:r>
        <w:rPr>
          <w:rFonts w:hint="eastAsia"/>
          <w:szCs w:val="21"/>
        </w:rPr>
        <w:t>规定的会计师事务所审计并由律师事务所出具法律意见书后报中国证监会备案并公告。基金财产清算报告报中国证监会备案后按照《信息披露办法》的规定由基金财产清算小组进行公告。</w:t>
      </w:r>
    </w:p>
    <w:p w:rsidR="008711D3" w:rsidRDefault="004479D9">
      <w:pPr>
        <w:spacing w:line="360" w:lineRule="auto"/>
        <w:ind w:firstLineChars="200" w:firstLine="420"/>
        <w:rPr>
          <w:szCs w:val="21"/>
        </w:rPr>
      </w:pPr>
      <w:r>
        <w:rPr>
          <w:rFonts w:hint="eastAsia"/>
          <w:szCs w:val="21"/>
        </w:rPr>
        <w:t>G</w:t>
      </w:r>
      <w:r>
        <w:rPr>
          <w:rFonts w:hint="eastAsia"/>
          <w:szCs w:val="21"/>
        </w:rPr>
        <w:t>、基金财产清算账册及文件的保存</w:t>
      </w:r>
    </w:p>
    <w:p w:rsidR="008711D3" w:rsidRDefault="004479D9">
      <w:pPr>
        <w:spacing w:line="360" w:lineRule="auto"/>
        <w:ind w:firstLineChars="200" w:firstLine="420"/>
        <w:rPr>
          <w:bCs/>
          <w:szCs w:val="21"/>
        </w:rPr>
      </w:pPr>
      <w:r>
        <w:rPr>
          <w:rFonts w:hint="eastAsia"/>
          <w:szCs w:val="21"/>
        </w:rPr>
        <w:t>基金财产清算账册及有关文件由基金托管人保存，保存期限不低于法律法规规定的最低年限。</w:t>
      </w:r>
    </w:p>
    <w:p w:rsidR="008711D3" w:rsidRDefault="004479D9">
      <w:pPr>
        <w:spacing w:line="360" w:lineRule="auto"/>
        <w:rPr>
          <w:rFonts w:ascii="宋体" w:hAnsi="宋体"/>
          <w:b/>
          <w:bCs/>
          <w:szCs w:val="21"/>
        </w:rPr>
      </w:pPr>
      <w:r>
        <w:rPr>
          <w:rFonts w:ascii="宋体" w:hAnsi="宋体" w:hint="eastAsia"/>
          <w:b/>
          <w:bCs/>
          <w:szCs w:val="21"/>
        </w:rPr>
        <w:t>（四）争议的处理和适用的法律</w:t>
      </w:r>
    </w:p>
    <w:p w:rsidR="008711D3" w:rsidRDefault="004479D9">
      <w:pPr>
        <w:spacing w:line="360" w:lineRule="auto"/>
        <w:ind w:firstLineChars="200" w:firstLine="420"/>
        <w:rPr>
          <w:szCs w:val="21"/>
        </w:rPr>
      </w:pPr>
      <w:r>
        <w:rPr>
          <w:rFonts w:hint="eastAsia"/>
          <w:szCs w:val="21"/>
        </w:rPr>
        <w:t>各方当事人同意，因基金合同而产生的或与基金合同有关的一切争议，各方当事人应尽</w:t>
      </w:r>
      <w:r>
        <w:rPr>
          <w:rFonts w:hint="eastAsia"/>
          <w:szCs w:val="21"/>
        </w:rPr>
        <w:lastRenderedPageBreak/>
        <w:t>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rsidR="008711D3" w:rsidRDefault="004479D9">
      <w:pPr>
        <w:spacing w:line="360" w:lineRule="auto"/>
        <w:ind w:firstLineChars="200" w:firstLine="420"/>
        <w:rPr>
          <w:szCs w:val="21"/>
        </w:rPr>
      </w:pPr>
      <w:r>
        <w:rPr>
          <w:rFonts w:hint="eastAsia"/>
          <w:szCs w:val="21"/>
        </w:rPr>
        <w:t>争议处理期间，各方当事人应恪守各自的职责，继续忠实、勤勉、尽责地履行基金合同规定的义务，维护基金份额持有人的合法权益。</w:t>
      </w:r>
    </w:p>
    <w:p w:rsidR="008711D3" w:rsidRDefault="004479D9">
      <w:pPr>
        <w:spacing w:line="360" w:lineRule="auto"/>
        <w:ind w:firstLineChars="200" w:firstLine="420"/>
        <w:rPr>
          <w:bCs/>
          <w:szCs w:val="21"/>
        </w:rPr>
      </w:pPr>
      <w:r>
        <w:rPr>
          <w:rFonts w:hint="eastAsia"/>
          <w:szCs w:val="21"/>
        </w:rPr>
        <w:t>基金合同受中国法律（为本基金合同之目的，不包括香港特别行政区、澳门特别行政区和台湾地区法律）管辖。</w:t>
      </w:r>
    </w:p>
    <w:p w:rsidR="008711D3" w:rsidRDefault="004479D9">
      <w:pPr>
        <w:spacing w:line="360" w:lineRule="auto"/>
        <w:rPr>
          <w:rFonts w:ascii="宋体" w:hAnsi="宋体"/>
          <w:b/>
          <w:bCs/>
          <w:szCs w:val="21"/>
        </w:rPr>
      </w:pPr>
      <w:r>
        <w:rPr>
          <w:rFonts w:ascii="宋体" w:hAnsi="宋体" w:hint="eastAsia"/>
          <w:b/>
          <w:bCs/>
          <w:szCs w:val="21"/>
        </w:rPr>
        <w:t>（五）基金合同的效力</w:t>
      </w:r>
    </w:p>
    <w:p w:rsidR="008711D3" w:rsidRDefault="004479D9">
      <w:pPr>
        <w:spacing w:line="360" w:lineRule="auto"/>
        <w:ind w:firstLineChars="200" w:firstLine="420"/>
        <w:rPr>
          <w:szCs w:val="21"/>
        </w:rPr>
      </w:pPr>
      <w:r>
        <w:rPr>
          <w:rFonts w:hint="eastAsia"/>
          <w:szCs w:val="21"/>
        </w:rPr>
        <w:t>基金合同是约定基金合同当事人之间权利义务关系的法律文件。</w:t>
      </w:r>
    </w:p>
    <w:p w:rsidR="008711D3" w:rsidRDefault="004479D9">
      <w:pPr>
        <w:spacing w:line="360" w:lineRule="auto"/>
        <w:ind w:firstLineChars="200" w:firstLine="420"/>
        <w:rPr>
          <w:szCs w:val="21"/>
        </w:rPr>
      </w:pPr>
      <w:r>
        <w:rPr>
          <w:szCs w:val="21"/>
        </w:rPr>
        <w:t>1</w:t>
      </w:r>
      <w:r>
        <w:rPr>
          <w:rFonts w:hint="eastAsia"/>
          <w:szCs w:val="21"/>
        </w:rPr>
        <w:t>、基金合同经基金管理人、基金托管人双方盖章以及双方法定代表人或授权代表签字</w:t>
      </w:r>
      <w:r>
        <w:rPr>
          <w:szCs w:val="21"/>
        </w:rPr>
        <w:t>/</w:t>
      </w:r>
      <w:r>
        <w:rPr>
          <w:rFonts w:hint="eastAsia"/>
          <w:szCs w:val="21"/>
        </w:rPr>
        <w:t>签章并在募集结束后经基金管理人向中国证监会办理基金备案手续，经中国证监会书面确认后生效。</w:t>
      </w:r>
    </w:p>
    <w:p w:rsidR="008711D3" w:rsidRDefault="004479D9">
      <w:pPr>
        <w:spacing w:line="360" w:lineRule="auto"/>
        <w:ind w:firstLineChars="200" w:firstLine="420"/>
        <w:rPr>
          <w:szCs w:val="21"/>
        </w:rPr>
      </w:pPr>
      <w:r>
        <w:rPr>
          <w:szCs w:val="21"/>
        </w:rPr>
        <w:t>2</w:t>
      </w:r>
      <w:r>
        <w:rPr>
          <w:rFonts w:hint="eastAsia"/>
          <w:szCs w:val="21"/>
        </w:rPr>
        <w:t>、基金合同的有效期自其生效之日起至基金财产清算结果报中国证监会备案并公告之日止。</w:t>
      </w:r>
    </w:p>
    <w:p w:rsidR="008711D3" w:rsidRDefault="004479D9">
      <w:pPr>
        <w:spacing w:line="360" w:lineRule="auto"/>
        <w:ind w:firstLineChars="200" w:firstLine="420"/>
        <w:rPr>
          <w:szCs w:val="21"/>
        </w:rPr>
      </w:pPr>
      <w:r>
        <w:rPr>
          <w:szCs w:val="21"/>
        </w:rPr>
        <w:t>3</w:t>
      </w:r>
      <w:r>
        <w:rPr>
          <w:rFonts w:hint="eastAsia"/>
          <w:szCs w:val="21"/>
        </w:rPr>
        <w:t>、基金合同自生效之日起对包括基金管理人、基金托管人和基金份额持有人在内的基金合同各方当事人具有同等的法律约束力。</w:t>
      </w:r>
    </w:p>
    <w:p w:rsidR="008711D3" w:rsidRDefault="004479D9">
      <w:pPr>
        <w:spacing w:line="360" w:lineRule="auto"/>
        <w:ind w:firstLineChars="200" w:firstLine="420"/>
        <w:rPr>
          <w:szCs w:val="21"/>
        </w:rPr>
      </w:pPr>
      <w:r>
        <w:rPr>
          <w:szCs w:val="21"/>
        </w:rPr>
        <w:t>4</w:t>
      </w:r>
      <w:r>
        <w:rPr>
          <w:rFonts w:hint="eastAsia"/>
          <w:szCs w:val="21"/>
        </w:rPr>
        <w:t>、基金合同正本</w:t>
      </w:r>
      <w:r>
        <w:rPr>
          <w:bCs/>
          <w:szCs w:val="21"/>
        </w:rPr>
        <w:t>一式六份</w:t>
      </w:r>
      <w:r>
        <w:rPr>
          <w:rFonts w:hint="eastAsia"/>
          <w:szCs w:val="21"/>
        </w:rPr>
        <w:t>，除上报有关监管机构</w:t>
      </w:r>
      <w:r>
        <w:rPr>
          <w:bCs/>
          <w:szCs w:val="21"/>
        </w:rPr>
        <w:t>一式二份</w:t>
      </w:r>
      <w:r>
        <w:rPr>
          <w:rFonts w:hint="eastAsia"/>
          <w:szCs w:val="21"/>
        </w:rPr>
        <w:t>外，基金管理人、基金托管人各持有</w:t>
      </w:r>
      <w:r>
        <w:rPr>
          <w:bCs/>
          <w:szCs w:val="21"/>
        </w:rPr>
        <w:t>二</w:t>
      </w:r>
      <w:r>
        <w:rPr>
          <w:rFonts w:hint="eastAsia"/>
          <w:szCs w:val="21"/>
        </w:rPr>
        <w:t>份，每份具有同等的法律效力。</w:t>
      </w:r>
    </w:p>
    <w:p w:rsidR="008711D3" w:rsidRDefault="004479D9">
      <w:pPr>
        <w:spacing w:line="360" w:lineRule="auto"/>
        <w:ind w:firstLineChars="200" w:firstLine="420"/>
        <w:rPr>
          <w:bCs/>
          <w:szCs w:val="21"/>
        </w:rPr>
      </w:pPr>
      <w:r>
        <w:rPr>
          <w:szCs w:val="21"/>
        </w:rPr>
        <w:t>5</w:t>
      </w:r>
      <w:r>
        <w:rPr>
          <w:rFonts w:hint="eastAsia"/>
          <w:szCs w:val="21"/>
        </w:rPr>
        <w:t>、基金合同可印制成册，供投资者在基金管理人、基金托管人、销售机构的办公场所和营业场所查阅。</w:t>
      </w:r>
    </w:p>
    <w:p w:rsidR="008711D3" w:rsidRDefault="008711D3">
      <w:pPr>
        <w:spacing w:line="360" w:lineRule="auto"/>
        <w:ind w:firstLineChars="200" w:firstLine="420"/>
        <w:rPr>
          <w:bCs/>
          <w:szCs w:val="21"/>
        </w:rPr>
      </w:pPr>
    </w:p>
    <w:p w:rsidR="008711D3" w:rsidRDefault="004479D9">
      <w:pPr>
        <w:widowControl/>
        <w:jc w:val="left"/>
        <w:rPr>
          <w:rFonts w:ascii="宋体"/>
          <w:b/>
          <w:color w:val="000000"/>
          <w:kern w:val="0"/>
          <w:sz w:val="20"/>
          <w:lang w:val="zh-CN"/>
        </w:rPr>
      </w:pPr>
      <w:r>
        <w:br w:type="page"/>
      </w:r>
    </w:p>
    <w:p w:rsidR="008711D3" w:rsidRDefault="004479D9">
      <w:pPr>
        <w:pStyle w:val="1"/>
        <w:spacing w:before="0" w:after="330"/>
        <w:jc w:val="center"/>
        <w:rPr>
          <w:rFonts w:hAnsi="宋体"/>
          <w:bCs/>
          <w:color w:val="auto"/>
          <w:kern w:val="44"/>
          <w:sz w:val="21"/>
          <w:szCs w:val="21"/>
        </w:rPr>
      </w:pPr>
      <w:bookmarkStart w:id="167" w:name="_Toc71748078"/>
      <w:r>
        <w:rPr>
          <w:rFonts w:hAnsi="宋体" w:hint="eastAsia"/>
          <w:bCs/>
          <w:color w:val="auto"/>
          <w:kern w:val="44"/>
          <w:sz w:val="21"/>
          <w:szCs w:val="21"/>
        </w:rPr>
        <w:lastRenderedPageBreak/>
        <w:t>二十、基金托管协议的内容摘要</w:t>
      </w:r>
      <w:bookmarkEnd w:id="132"/>
      <w:bookmarkEnd w:id="133"/>
      <w:bookmarkEnd w:id="134"/>
      <w:bookmarkEnd w:id="167"/>
    </w:p>
    <w:p w:rsidR="008711D3" w:rsidRDefault="004479D9">
      <w:pPr>
        <w:spacing w:line="360" w:lineRule="auto"/>
        <w:rPr>
          <w:rFonts w:ascii="宋体" w:hAnsi="宋体"/>
          <w:b/>
          <w:bCs/>
          <w:szCs w:val="21"/>
        </w:rPr>
      </w:pPr>
      <w:r>
        <w:rPr>
          <w:rFonts w:ascii="宋体" w:hAnsi="宋体" w:hint="eastAsia"/>
          <w:b/>
          <w:bCs/>
          <w:szCs w:val="21"/>
        </w:rPr>
        <w:t>（一）托管协议当事人</w:t>
      </w:r>
    </w:p>
    <w:p w:rsidR="008711D3" w:rsidRDefault="004479D9">
      <w:pPr>
        <w:spacing w:line="360" w:lineRule="auto"/>
        <w:ind w:firstLineChars="200" w:firstLine="420"/>
        <w:rPr>
          <w:szCs w:val="21"/>
        </w:rPr>
      </w:pPr>
      <w:r>
        <w:rPr>
          <w:szCs w:val="21"/>
        </w:rPr>
        <w:t>A</w:t>
      </w:r>
      <w:r>
        <w:rPr>
          <w:rFonts w:hint="eastAsia"/>
          <w:szCs w:val="21"/>
        </w:rPr>
        <w:t>、基金管理人（或简称“管理人”）</w:t>
      </w:r>
    </w:p>
    <w:p w:rsidR="008711D3" w:rsidRDefault="004479D9">
      <w:pPr>
        <w:spacing w:line="360" w:lineRule="auto"/>
        <w:ind w:firstLineChars="200" w:firstLine="420"/>
        <w:rPr>
          <w:szCs w:val="21"/>
        </w:rPr>
      </w:pPr>
      <w:r>
        <w:rPr>
          <w:rFonts w:hint="eastAsia"/>
          <w:szCs w:val="21"/>
        </w:rPr>
        <w:t>名称：嘉实基金管理有限公司</w:t>
      </w:r>
    </w:p>
    <w:p w:rsidR="008711D3" w:rsidRDefault="004479D9">
      <w:pPr>
        <w:spacing w:line="360" w:lineRule="auto"/>
        <w:ind w:firstLineChars="200" w:firstLine="420"/>
        <w:rPr>
          <w:szCs w:val="21"/>
        </w:rPr>
      </w:pPr>
      <w:r>
        <w:rPr>
          <w:rFonts w:hint="eastAsia"/>
          <w:szCs w:val="21"/>
        </w:rPr>
        <w:t>住所：中国（上海）自由贸易试验区世纪大道</w:t>
      </w:r>
      <w:r>
        <w:rPr>
          <w:rFonts w:hint="eastAsia"/>
          <w:szCs w:val="21"/>
        </w:rPr>
        <w:t>8</w:t>
      </w:r>
      <w:r>
        <w:rPr>
          <w:rFonts w:hint="eastAsia"/>
          <w:szCs w:val="21"/>
        </w:rPr>
        <w:t>号上海国金中心二期</w:t>
      </w:r>
      <w:r>
        <w:rPr>
          <w:rFonts w:hint="eastAsia"/>
          <w:szCs w:val="21"/>
        </w:rPr>
        <w:t>27</w:t>
      </w:r>
      <w:r>
        <w:rPr>
          <w:rFonts w:hint="eastAsia"/>
          <w:szCs w:val="21"/>
        </w:rPr>
        <w:t>楼</w:t>
      </w:r>
      <w:r>
        <w:rPr>
          <w:rFonts w:hint="eastAsia"/>
          <w:szCs w:val="21"/>
        </w:rPr>
        <w:t>09-14</w:t>
      </w:r>
      <w:r>
        <w:rPr>
          <w:rFonts w:hint="eastAsia"/>
          <w:szCs w:val="21"/>
        </w:rPr>
        <w:t>单元</w:t>
      </w:r>
    </w:p>
    <w:p w:rsidR="008711D3" w:rsidRDefault="004479D9">
      <w:pPr>
        <w:spacing w:line="360" w:lineRule="auto"/>
        <w:ind w:firstLineChars="200" w:firstLine="420"/>
        <w:rPr>
          <w:szCs w:val="21"/>
        </w:rPr>
      </w:pPr>
      <w:r>
        <w:rPr>
          <w:rFonts w:hint="eastAsia"/>
          <w:szCs w:val="21"/>
        </w:rPr>
        <w:t>办公地址：北京市朝阳区建国门外大街</w:t>
      </w:r>
      <w:r>
        <w:rPr>
          <w:rFonts w:hint="eastAsia"/>
          <w:szCs w:val="21"/>
        </w:rPr>
        <w:t>21</w:t>
      </w:r>
      <w:r>
        <w:rPr>
          <w:rFonts w:hint="eastAsia"/>
          <w:szCs w:val="21"/>
        </w:rPr>
        <w:t>号北京国际俱乐部</w:t>
      </w:r>
      <w:r>
        <w:rPr>
          <w:rFonts w:hint="eastAsia"/>
          <w:szCs w:val="21"/>
        </w:rPr>
        <w:t>C</w:t>
      </w:r>
      <w:r>
        <w:rPr>
          <w:rFonts w:hint="eastAsia"/>
          <w:szCs w:val="21"/>
        </w:rPr>
        <w:t>座写字楼</w:t>
      </w:r>
      <w:r>
        <w:rPr>
          <w:rFonts w:hint="eastAsia"/>
          <w:szCs w:val="21"/>
        </w:rPr>
        <w:t>12A</w:t>
      </w:r>
      <w:r>
        <w:rPr>
          <w:rFonts w:hint="eastAsia"/>
          <w:szCs w:val="21"/>
        </w:rPr>
        <w:t>层</w:t>
      </w:r>
    </w:p>
    <w:p w:rsidR="008711D3" w:rsidRDefault="004479D9">
      <w:pPr>
        <w:spacing w:line="360" w:lineRule="auto"/>
        <w:ind w:firstLineChars="200" w:firstLine="420"/>
        <w:rPr>
          <w:szCs w:val="21"/>
        </w:rPr>
      </w:pPr>
      <w:r>
        <w:rPr>
          <w:rFonts w:hint="eastAsia"/>
          <w:szCs w:val="21"/>
        </w:rPr>
        <w:t>法定代表人</w:t>
      </w:r>
      <w:r>
        <w:rPr>
          <w:rFonts w:hint="eastAsia"/>
          <w:szCs w:val="21"/>
        </w:rPr>
        <w:t>:</w:t>
      </w:r>
      <w:r>
        <w:rPr>
          <w:rFonts w:hint="eastAsia"/>
          <w:szCs w:val="21"/>
        </w:rPr>
        <w:t>经雷</w:t>
      </w:r>
    </w:p>
    <w:p w:rsidR="008711D3" w:rsidRDefault="004479D9">
      <w:pPr>
        <w:spacing w:line="360" w:lineRule="auto"/>
        <w:ind w:firstLineChars="200" w:firstLine="420"/>
        <w:rPr>
          <w:szCs w:val="21"/>
        </w:rPr>
      </w:pPr>
      <w:r>
        <w:rPr>
          <w:rFonts w:hint="eastAsia"/>
          <w:szCs w:val="21"/>
        </w:rPr>
        <w:t>成立时间：</w:t>
      </w:r>
      <w:r>
        <w:rPr>
          <w:rFonts w:hint="eastAsia"/>
          <w:szCs w:val="21"/>
        </w:rPr>
        <w:t>1999</w:t>
      </w:r>
      <w:r>
        <w:rPr>
          <w:rFonts w:hint="eastAsia"/>
          <w:szCs w:val="21"/>
        </w:rPr>
        <w:t>年</w:t>
      </w:r>
      <w:r>
        <w:rPr>
          <w:rFonts w:hint="eastAsia"/>
          <w:szCs w:val="21"/>
        </w:rPr>
        <w:t>3</w:t>
      </w:r>
      <w:r>
        <w:rPr>
          <w:rFonts w:hint="eastAsia"/>
          <w:szCs w:val="21"/>
        </w:rPr>
        <w:t>月</w:t>
      </w:r>
      <w:r>
        <w:rPr>
          <w:rFonts w:hint="eastAsia"/>
          <w:szCs w:val="21"/>
        </w:rPr>
        <w:t>25</w:t>
      </w:r>
      <w:r>
        <w:rPr>
          <w:rFonts w:hint="eastAsia"/>
          <w:szCs w:val="21"/>
        </w:rPr>
        <w:t>日</w:t>
      </w:r>
    </w:p>
    <w:p w:rsidR="008711D3" w:rsidRDefault="004479D9">
      <w:pPr>
        <w:spacing w:line="360" w:lineRule="auto"/>
        <w:ind w:firstLineChars="200" w:firstLine="420"/>
        <w:rPr>
          <w:szCs w:val="21"/>
        </w:rPr>
      </w:pPr>
      <w:r>
        <w:rPr>
          <w:rFonts w:hint="eastAsia"/>
          <w:szCs w:val="21"/>
        </w:rPr>
        <w:t>批准设立机关：中国证券监督管理委员会</w:t>
      </w:r>
    </w:p>
    <w:p w:rsidR="008711D3" w:rsidRDefault="004479D9">
      <w:pPr>
        <w:spacing w:line="360" w:lineRule="auto"/>
        <w:ind w:firstLineChars="200" w:firstLine="420"/>
        <w:rPr>
          <w:szCs w:val="21"/>
        </w:rPr>
      </w:pPr>
      <w:r>
        <w:rPr>
          <w:rFonts w:hint="eastAsia"/>
          <w:szCs w:val="21"/>
        </w:rPr>
        <w:t>批准设立文号：中国证监会证监基字【</w:t>
      </w:r>
      <w:r>
        <w:rPr>
          <w:rFonts w:hint="eastAsia"/>
          <w:szCs w:val="21"/>
        </w:rPr>
        <w:t>1999</w:t>
      </w:r>
      <w:r>
        <w:rPr>
          <w:rFonts w:hint="eastAsia"/>
          <w:szCs w:val="21"/>
        </w:rPr>
        <w:t>】</w:t>
      </w:r>
      <w:r>
        <w:rPr>
          <w:rFonts w:hint="eastAsia"/>
          <w:szCs w:val="21"/>
        </w:rPr>
        <w:t>5</w:t>
      </w:r>
      <w:r>
        <w:rPr>
          <w:rFonts w:hint="eastAsia"/>
          <w:szCs w:val="21"/>
        </w:rPr>
        <w:t>号</w:t>
      </w:r>
    </w:p>
    <w:p w:rsidR="008711D3" w:rsidRDefault="004479D9">
      <w:pPr>
        <w:spacing w:line="360" w:lineRule="auto"/>
        <w:ind w:firstLineChars="200" w:firstLine="420"/>
        <w:rPr>
          <w:szCs w:val="21"/>
        </w:rPr>
      </w:pPr>
      <w:r>
        <w:rPr>
          <w:rFonts w:hint="eastAsia"/>
          <w:szCs w:val="21"/>
        </w:rPr>
        <w:t>组织形式：有限责任公司（中外合资）</w:t>
      </w:r>
    </w:p>
    <w:p w:rsidR="008711D3" w:rsidRDefault="004479D9">
      <w:pPr>
        <w:spacing w:line="360" w:lineRule="auto"/>
        <w:ind w:firstLineChars="200" w:firstLine="420"/>
        <w:rPr>
          <w:szCs w:val="21"/>
        </w:rPr>
      </w:pPr>
      <w:r>
        <w:rPr>
          <w:rFonts w:hint="eastAsia"/>
          <w:szCs w:val="21"/>
        </w:rPr>
        <w:t>注册资本：</w:t>
      </w:r>
      <w:r>
        <w:rPr>
          <w:rFonts w:hint="eastAsia"/>
          <w:szCs w:val="21"/>
        </w:rPr>
        <w:t>1.5</w:t>
      </w:r>
      <w:r>
        <w:rPr>
          <w:rFonts w:hint="eastAsia"/>
          <w:szCs w:val="21"/>
        </w:rPr>
        <w:t>亿元人民币</w:t>
      </w:r>
    </w:p>
    <w:p w:rsidR="008711D3" w:rsidRDefault="004479D9">
      <w:pPr>
        <w:spacing w:line="360" w:lineRule="auto"/>
        <w:ind w:firstLineChars="200" w:firstLine="420"/>
        <w:rPr>
          <w:szCs w:val="21"/>
        </w:rPr>
      </w:pPr>
      <w:r>
        <w:rPr>
          <w:rFonts w:hint="eastAsia"/>
          <w:szCs w:val="21"/>
        </w:rPr>
        <w:t>经营范围：基金募集、基金销售、资产管理及中国证监会许可的其他业务</w:t>
      </w:r>
    </w:p>
    <w:p w:rsidR="008711D3" w:rsidRDefault="004479D9">
      <w:pPr>
        <w:spacing w:line="360" w:lineRule="auto"/>
        <w:ind w:firstLineChars="200" w:firstLine="420"/>
        <w:rPr>
          <w:szCs w:val="21"/>
        </w:rPr>
      </w:pPr>
      <w:r>
        <w:rPr>
          <w:rFonts w:hint="eastAsia"/>
          <w:szCs w:val="21"/>
        </w:rPr>
        <w:t>存续期间：持续经营</w:t>
      </w:r>
    </w:p>
    <w:p w:rsidR="008711D3" w:rsidRDefault="004479D9">
      <w:pPr>
        <w:spacing w:line="360" w:lineRule="auto"/>
        <w:ind w:firstLineChars="200" w:firstLine="420"/>
        <w:rPr>
          <w:szCs w:val="21"/>
        </w:rPr>
      </w:pPr>
      <w:r>
        <w:rPr>
          <w:szCs w:val="21"/>
        </w:rPr>
        <w:t>B</w:t>
      </w:r>
      <w:r>
        <w:rPr>
          <w:rFonts w:hint="eastAsia"/>
          <w:szCs w:val="21"/>
        </w:rPr>
        <w:t>、基金托管人（或简称“托管人”）</w:t>
      </w:r>
    </w:p>
    <w:p w:rsidR="008711D3" w:rsidRDefault="004479D9">
      <w:pPr>
        <w:spacing w:line="360" w:lineRule="auto"/>
        <w:ind w:firstLineChars="200" w:firstLine="420"/>
        <w:rPr>
          <w:szCs w:val="21"/>
        </w:rPr>
      </w:pPr>
      <w:r>
        <w:rPr>
          <w:rFonts w:hint="eastAsia"/>
          <w:szCs w:val="21"/>
        </w:rPr>
        <w:t>名称：中国银行股份有限公司</w:t>
      </w:r>
    </w:p>
    <w:p w:rsidR="008711D3" w:rsidRDefault="004479D9">
      <w:pPr>
        <w:spacing w:line="360" w:lineRule="auto"/>
        <w:ind w:firstLineChars="200" w:firstLine="420"/>
        <w:rPr>
          <w:szCs w:val="21"/>
        </w:rPr>
      </w:pPr>
      <w:r>
        <w:rPr>
          <w:rFonts w:hint="eastAsia"/>
          <w:szCs w:val="21"/>
        </w:rPr>
        <w:t>住所及办公地址：北京市西城区复兴门内大街</w:t>
      </w:r>
      <w:r>
        <w:rPr>
          <w:rFonts w:hint="eastAsia"/>
          <w:szCs w:val="21"/>
        </w:rPr>
        <w:t>1</w:t>
      </w:r>
      <w:r>
        <w:rPr>
          <w:rFonts w:hint="eastAsia"/>
          <w:szCs w:val="21"/>
        </w:rPr>
        <w:t>号</w:t>
      </w:r>
    </w:p>
    <w:p w:rsidR="008711D3" w:rsidRDefault="004479D9">
      <w:pPr>
        <w:spacing w:line="360" w:lineRule="auto"/>
        <w:ind w:firstLineChars="200" w:firstLine="420"/>
        <w:rPr>
          <w:szCs w:val="21"/>
        </w:rPr>
      </w:pPr>
      <w:r>
        <w:rPr>
          <w:rFonts w:hint="eastAsia"/>
          <w:szCs w:val="21"/>
        </w:rPr>
        <w:t>法定代表人</w:t>
      </w:r>
      <w:r>
        <w:rPr>
          <w:rFonts w:hint="eastAsia"/>
          <w:szCs w:val="21"/>
        </w:rPr>
        <w:t xml:space="preserve">: </w:t>
      </w:r>
      <w:r>
        <w:rPr>
          <w:rFonts w:hint="eastAsia"/>
          <w:szCs w:val="21"/>
        </w:rPr>
        <w:t>刘连舸</w:t>
      </w:r>
    </w:p>
    <w:p w:rsidR="008711D3" w:rsidRDefault="004479D9">
      <w:pPr>
        <w:spacing w:line="360" w:lineRule="auto"/>
        <w:ind w:firstLineChars="200" w:firstLine="420"/>
        <w:rPr>
          <w:szCs w:val="21"/>
        </w:rPr>
      </w:pPr>
      <w:r>
        <w:rPr>
          <w:rFonts w:hint="eastAsia"/>
          <w:szCs w:val="21"/>
        </w:rPr>
        <w:t>成立时间：</w:t>
      </w:r>
      <w:r>
        <w:rPr>
          <w:rFonts w:hint="eastAsia"/>
          <w:szCs w:val="21"/>
        </w:rPr>
        <w:t>1983</w:t>
      </w:r>
      <w:r>
        <w:rPr>
          <w:rFonts w:hint="eastAsia"/>
          <w:szCs w:val="21"/>
        </w:rPr>
        <w:t>年</w:t>
      </w:r>
      <w:r>
        <w:rPr>
          <w:rFonts w:hint="eastAsia"/>
          <w:szCs w:val="21"/>
        </w:rPr>
        <w:t>10</w:t>
      </w:r>
      <w:r>
        <w:rPr>
          <w:rFonts w:hint="eastAsia"/>
          <w:szCs w:val="21"/>
        </w:rPr>
        <w:t>月</w:t>
      </w:r>
      <w:r>
        <w:rPr>
          <w:rFonts w:hint="eastAsia"/>
          <w:szCs w:val="21"/>
        </w:rPr>
        <w:t>31</w:t>
      </w:r>
      <w:r>
        <w:rPr>
          <w:rFonts w:hint="eastAsia"/>
          <w:szCs w:val="21"/>
        </w:rPr>
        <w:t>日</w:t>
      </w:r>
    </w:p>
    <w:p w:rsidR="008711D3" w:rsidRDefault="004479D9">
      <w:pPr>
        <w:spacing w:line="360" w:lineRule="auto"/>
        <w:ind w:firstLineChars="200" w:firstLine="420"/>
        <w:rPr>
          <w:szCs w:val="21"/>
        </w:rPr>
      </w:pPr>
      <w:r>
        <w:rPr>
          <w:rFonts w:hint="eastAsia"/>
          <w:szCs w:val="21"/>
        </w:rPr>
        <w:t>基金托管业务批准文号：中国证监会证监基字【</w:t>
      </w:r>
      <w:r>
        <w:rPr>
          <w:rFonts w:hint="eastAsia"/>
          <w:szCs w:val="21"/>
        </w:rPr>
        <w:t>1998</w:t>
      </w:r>
      <w:r>
        <w:rPr>
          <w:rFonts w:hint="eastAsia"/>
          <w:szCs w:val="21"/>
        </w:rPr>
        <w:t>】</w:t>
      </w:r>
      <w:r>
        <w:rPr>
          <w:rFonts w:hint="eastAsia"/>
          <w:szCs w:val="21"/>
        </w:rPr>
        <w:t>24</w:t>
      </w:r>
      <w:r>
        <w:rPr>
          <w:rFonts w:hint="eastAsia"/>
          <w:szCs w:val="21"/>
        </w:rPr>
        <w:t>号</w:t>
      </w:r>
    </w:p>
    <w:p w:rsidR="008711D3" w:rsidRDefault="004479D9">
      <w:pPr>
        <w:spacing w:line="360" w:lineRule="auto"/>
        <w:ind w:firstLineChars="200" w:firstLine="420"/>
        <w:rPr>
          <w:szCs w:val="21"/>
        </w:rPr>
      </w:pPr>
      <w:r>
        <w:rPr>
          <w:rFonts w:hint="eastAsia"/>
          <w:szCs w:val="21"/>
        </w:rPr>
        <w:t>组织形式：股份有限公司</w:t>
      </w:r>
    </w:p>
    <w:p w:rsidR="008711D3" w:rsidRDefault="004479D9">
      <w:pPr>
        <w:spacing w:line="360" w:lineRule="auto"/>
        <w:ind w:firstLineChars="200" w:firstLine="420"/>
        <w:rPr>
          <w:szCs w:val="21"/>
        </w:rPr>
      </w:pPr>
      <w:r>
        <w:rPr>
          <w:rFonts w:hint="eastAsia"/>
          <w:szCs w:val="21"/>
        </w:rPr>
        <w:t>注册资本：人民币贰仟玖佰肆拾叁亿捌仟柒佰柒拾玖万壹仟贰佰肆拾壹元整</w:t>
      </w:r>
    </w:p>
    <w:p w:rsidR="008711D3" w:rsidRDefault="004479D9">
      <w:pPr>
        <w:spacing w:line="360" w:lineRule="auto"/>
        <w:ind w:firstLineChars="200" w:firstLine="420"/>
        <w:rPr>
          <w:szCs w:val="21"/>
        </w:rPr>
      </w:pPr>
      <w:r>
        <w:rPr>
          <w:rFonts w:hint="eastAsia"/>
          <w:szCs w:val="21"/>
        </w:rPr>
        <w:t>经营范围：</w:t>
      </w:r>
      <w:r>
        <w:rPr>
          <w:rFonts w:hint="eastAsia"/>
          <w:szCs w:val="21"/>
        </w:rPr>
        <w:tab/>
      </w:r>
      <w:r>
        <w:rPr>
          <w:rFonts w:hint="eastAsia"/>
          <w:szCs w:val="21"/>
        </w:rPr>
        <w:t>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w:t>
      </w:r>
      <w:r>
        <w:rPr>
          <w:rFonts w:hint="eastAsia"/>
          <w:szCs w:val="21"/>
        </w:rPr>
        <w:lastRenderedPageBreak/>
        <w:t>构经营与当地法律许可的一切银行业务；在港澳地区的分行依据当地法令可发行或参与代理发行当地货币；经中国人民银行批准的其他业务。</w:t>
      </w:r>
    </w:p>
    <w:p w:rsidR="008711D3" w:rsidRDefault="004479D9">
      <w:pPr>
        <w:spacing w:line="360" w:lineRule="auto"/>
        <w:ind w:firstLineChars="200" w:firstLine="420"/>
        <w:rPr>
          <w:szCs w:val="21"/>
        </w:rPr>
      </w:pPr>
      <w:r>
        <w:rPr>
          <w:rFonts w:hint="eastAsia"/>
          <w:szCs w:val="21"/>
        </w:rPr>
        <w:t>存续期间：持续经营</w:t>
      </w:r>
    </w:p>
    <w:p w:rsidR="008711D3" w:rsidRDefault="004479D9">
      <w:pPr>
        <w:spacing w:line="360" w:lineRule="auto"/>
        <w:rPr>
          <w:rFonts w:ascii="宋体" w:hAnsi="宋体"/>
          <w:b/>
          <w:bCs/>
          <w:szCs w:val="21"/>
        </w:rPr>
      </w:pPr>
      <w:r>
        <w:rPr>
          <w:rFonts w:ascii="宋体" w:hAnsi="宋体" w:hint="eastAsia"/>
          <w:b/>
          <w:bCs/>
          <w:szCs w:val="21"/>
        </w:rPr>
        <w:t>（二）基金托管人对基金管理人的业务监督和核查</w:t>
      </w:r>
    </w:p>
    <w:p w:rsidR="008711D3" w:rsidRDefault="004479D9">
      <w:pPr>
        <w:spacing w:line="360" w:lineRule="auto"/>
        <w:ind w:firstLineChars="200" w:firstLine="420"/>
        <w:rPr>
          <w:color w:val="000000"/>
          <w:szCs w:val="21"/>
        </w:rPr>
      </w:pPr>
      <w:r>
        <w:rPr>
          <w:color w:val="000000"/>
          <w:szCs w:val="21"/>
        </w:rPr>
        <w:t>A</w:t>
      </w:r>
      <w:r>
        <w:rPr>
          <w:rFonts w:hint="eastAsia"/>
          <w:color w:val="000000"/>
          <w:szCs w:val="21"/>
        </w:rPr>
        <w:t>、基金托管人根据有关法律法规的规定，对基金管理人的下列投资运作进行监督</w:t>
      </w:r>
    </w:p>
    <w:p w:rsidR="008711D3" w:rsidRDefault="004479D9">
      <w:pPr>
        <w:spacing w:line="360" w:lineRule="auto"/>
        <w:ind w:firstLineChars="200" w:firstLine="420"/>
        <w:rPr>
          <w:color w:val="000000"/>
          <w:szCs w:val="21"/>
        </w:rPr>
      </w:pPr>
      <w:r>
        <w:rPr>
          <w:rFonts w:hint="eastAsia"/>
          <w:color w:val="000000"/>
          <w:szCs w:val="21"/>
        </w:rPr>
        <w:t>1</w:t>
      </w:r>
      <w:r>
        <w:rPr>
          <w:rFonts w:hint="eastAsia"/>
          <w:color w:val="000000"/>
          <w:szCs w:val="21"/>
        </w:rPr>
        <w:t>、对基金的投资范围、投资对象进行监督。基金管理人应将拟投资的股票库、债券库等各投资品种的具体范围（如有）及时提供给基金托管人。基金管理人可以根据实际情况的变化，对各投资品种的具体范围（如有）予以更新和调整，并及时通知基金托管人。基金托管人根据上述投资范围（如有）对基金的投资进行监督。</w:t>
      </w:r>
    </w:p>
    <w:p w:rsidR="008711D3" w:rsidRDefault="004479D9">
      <w:pPr>
        <w:spacing w:line="360" w:lineRule="auto"/>
        <w:ind w:firstLineChars="200" w:firstLine="420"/>
        <w:rPr>
          <w:color w:val="000000"/>
          <w:szCs w:val="21"/>
        </w:rPr>
      </w:pPr>
      <w:r>
        <w:rPr>
          <w:rFonts w:hint="eastAsia"/>
          <w:color w:val="000000"/>
          <w:szCs w:val="21"/>
        </w:rPr>
        <w:t>本基金投资于国内依法发行上市的股票（包含创业板、存托凭证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券、超短期融资券、中期票据等）、资产支持证券、债券回购、同业存单、银行存款、股指期货、国债期货、股票期权、现金以及法律法规或中国证监会允许基金投资的其他金融工具（但须符合中国证监会的相关规定）。</w:t>
      </w:r>
    </w:p>
    <w:p w:rsidR="008711D3" w:rsidRDefault="004479D9">
      <w:pPr>
        <w:spacing w:line="360" w:lineRule="auto"/>
        <w:ind w:firstLineChars="200" w:firstLine="420"/>
        <w:rPr>
          <w:color w:val="000000"/>
          <w:szCs w:val="21"/>
        </w:rPr>
      </w:pPr>
      <w:r>
        <w:rPr>
          <w:rFonts w:hint="eastAsia"/>
          <w:color w:val="000000"/>
          <w:szCs w:val="21"/>
        </w:rPr>
        <w:t>本基金可根据相关法律法规和基金合同的约定，参与融资业务。</w:t>
      </w:r>
    </w:p>
    <w:p w:rsidR="008711D3" w:rsidRDefault="004479D9">
      <w:pPr>
        <w:spacing w:line="360" w:lineRule="auto"/>
        <w:ind w:firstLineChars="200" w:firstLine="420"/>
        <w:rPr>
          <w:color w:val="000000"/>
          <w:szCs w:val="21"/>
        </w:rPr>
      </w:pPr>
      <w:r>
        <w:rPr>
          <w:rFonts w:hint="eastAsia"/>
          <w:color w:val="000000"/>
          <w:szCs w:val="21"/>
        </w:rPr>
        <w:t>如法律法规或监管机构以后允许基金投资其他品种，基金管理人在履行适当程序后，可以将其纳入投资范围。</w:t>
      </w:r>
    </w:p>
    <w:p w:rsidR="008711D3" w:rsidRDefault="004479D9">
      <w:pPr>
        <w:spacing w:line="360" w:lineRule="auto"/>
        <w:ind w:firstLineChars="200" w:firstLine="420"/>
        <w:rPr>
          <w:color w:val="000000"/>
          <w:szCs w:val="21"/>
        </w:rPr>
      </w:pPr>
      <w:r>
        <w:rPr>
          <w:rFonts w:hint="eastAsia"/>
          <w:color w:val="000000"/>
          <w:szCs w:val="21"/>
        </w:rPr>
        <w:t>本基金的投资组合比例为：股票资产占基金资产的比例为</w:t>
      </w:r>
      <w:r>
        <w:rPr>
          <w:rFonts w:hint="eastAsia"/>
          <w:color w:val="000000"/>
          <w:szCs w:val="21"/>
        </w:rPr>
        <w:t>60%-95%</w:t>
      </w:r>
      <w:r>
        <w:rPr>
          <w:rFonts w:hint="eastAsia"/>
          <w:color w:val="000000"/>
          <w:szCs w:val="21"/>
        </w:rPr>
        <w:t>，其中投资于港股通标的股票的比例占股票资产的</w:t>
      </w:r>
      <w:r>
        <w:rPr>
          <w:rFonts w:hint="eastAsia"/>
          <w:color w:val="000000"/>
          <w:szCs w:val="21"/>
        </w:rPr>
        <w:t>0-50%</w:t>
      </w:r>
      <w:r>
        <w:rPr>
          <w:rFonts w:hint="eastAsia"/>
          <w:color w:val="000000"/>
          <w:szCs w:val="21"/>
        </w:rPr>
        <w:t>。本基金应当保持不低于基金资产净值的</w:t>
      </w:r>
      <w:r>
        <w:rPr>
          <w:rFonts w:hint="eastAsia"/>
          <w:color w:val="000000"/>
          <w:szCs w:val="21"/>
        </w:rPr>
        <w:t>5%</w:t>
      </w:r>
      <w:r>
        <w:rPr>
          <w:rFonts w:hint="eastAsia"/>
          <w:color w:val="000000"/>
          <w:szCs w:val="21"/>
        </w:rPr>
        <w:t>的现金或到期日在一年以内的政府债券，其中现金不包括结算备付金、存出保证金、应收申购款等。股指期货、国债期货、股票期权及其他金融工具的投资比例符合法律法规和监管机构的规定。</w:t>
      </w:r>
    </w:p>
    <w:p w:rsidR="008711D3" w:rsidRDefault="004479D9">
      <w:pPr>
        <w:spacing w:line="360" w:lineRule="auto"/>
        <w:ind w:firstLineChars="200" w:firstLine="420"/>
        <w:rPr>
          <w:color w:val="000000"/>
          <w:szCs w:val="21"/>
        </w:rPr>
      </w:pPr>
      <w:r>
        <w:rPr>
          <w:rFonts w:hint="eastAsia"/>
          <w:color w:val="000000"/>
          <w:szCs w:val="21"/>
        </w:rPr>
        <w:t>2</w:t>
      </w:r>
      <w:r>
        <w:rPr>
          <w:rFonts w:hint="eastAsia"/>
          <w:color w:val="000000"/>
          <w:szCs w:val="21"/>
        </w:rPr>
        <w:t>、对基金投融资比例进行监督</w:t>
      </w:r>
    </w:p>
    <w:p w:rsidR="008711D3" w:rsidRDefault="004479D9">
      <w:pPr>
        <w:spacing w:line="360" w:lineRule="auto"/>
        <w:ind w:firstLineChars="200" w:firstLine="420"/>
        <w:rPr>
          <w:color w:val="000000"/>
          <w:szCs w:val="21"/>
        </w:rPr>
      </w:pPr>
      <w:r>
        <w:rPr>
          <w:rFonts w:hint="eastAsia"/>
          <w:color w:val="000000"/>
          <w:szCs w:val="21"/>
        </w:rPr>
        <w:t>（</w:t>
      </w:r>
      <w:r>
        <w:rPr>
          <w:rFonts w:hint="eastAsia"/>
          <w:color w:val="000000"/>
          <w:szCs w:val="21"/>
        </w:rPr>
        <w:t>1</w:t>
      </w:r>
      <w:r>
        <w:rPr>
          <w:rFonts w:hint="eastAsia"/>
          <w:color w:val="000000"/>
          <w:szCs w:val="21"/>
        </w:rPr>
        <w:t>）股票资产占基金资产的比例为</w:t>
      </w:r>
      <w:r>
        <w:rPr>
          <w:rFonts w:hint="eastAsia"/>
          <w:color w:val="000000"/>
          <w:szCs w:val="21"/>
        </w:rPr>
        <w:t>60%-95%</w:t>
      </w:r>
      <w:r>
        <w:rPr>
          <w:rFonts w:hint="eastAsia"/>
          <w:color w:val="000000"/>
          <w:szCs w:val="21"/>
        </w:rPr>
        <w:t>，其中投资于港股通标的股票的比例占股票资产的</w:t>
      </w:r>
      <w:r>
        <w:rPr>
          <w:rFonts w:hint="eastAsia"/>
          <w:color w:val="000000"/>
          <w:szCs w:val="21"/>
        </w:rPr>
        <w:t>0-50%</w:t>
      </w:r>
      <w:r>
        <w:rPr>
          <w:rFonts w:hint="eastAsia"/>
          <w:color w:val="000000"/>
          <w:szCs w:val="21"/>
        </w:rPr>
        <w:t>；</w:t>
      </w:r>
    </w:p>
    <w:p w:rsidR="008711D3" w:rsidRDefault="004479D9">
      <w:pPr>
        <w:spacing w:line="360" w:lineRule="auto"/>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）本基金应当保持不低于基金资产净值</w:t>
      </w:r>
      <w:r>
        <w:rPr>
          <w:rFonts w:hint="eastAsia"/>
          <w:color w:val="000000"/>
          <w:szCs w:val="21"/>
        </w:rPr>
        <w:t>5</w:t>
      </w:r>
      <w:r>
        <w:rPr>
          <w:rFonts w:hint="eastAsia"/>
          <w:color w:val="000000"/>
          <w:szCs w:val="21"/>
        </w:rPr>
        <w:t>％的现金或者到期日在一年以内的政府债券，其中现金不包括结算备付金、存出保证金和应收申购款等；</w:t>
      </w:r>
    </w:p>
    <w:p w:rsidR="008711D3" w:rsidRDefault="004479D9">
      <w:pPr>
        <w:spacing w:line="360" w:lineRule="auto"/>
        <w:ind w:firstLineChars="200" w:firstLine="420"/>
        <w:rPr>
          <w:color w:val="000000"/>
          <w:szCs w:val="21"/>
        </w:rPr>
      </w:pPr>
      <w:r>
        <w:rPr>
          <w:rFonts w:hint="eastAsia"/>
          <w:color w:val="000000"/>
          <w:szCs w:val="21"/>
        </w:rPr>
        <w:t>（</w:t>
      </w:r>
      <w:r>
        <w:rPr>
          <w:rFonts w:hint="eastAsia"/>
          <w:color w:val="000000"/>
          <w:szCs w:val="21"/>
        </w:rPr>
        <w:t>3</w:t>
      </w:r>
      <w:r>
        <w:rPr>
          <w:rFonts w:hint="eastAsia"/>
          <w:color w:val="000000"/>
          <w:szCs w:val="21"/>
        </w:rPr>
        <w:t>）本基金持有一家公司发行的证券，其市值不超过基金资产净值的</w:t>
      </w:r>
      <w:r>
        <w:rPr>
          <w:rFonts w:hint="eastAsia"/>
          <w:color w:val="000000"/>
          <w:szCs w:val="21"/>
        </w:rPr>
        <w:t>10</w:t>
      </w:r>
      <w:r>
        <w:rPr>
          <w:rFonts w:hint="eastAsia"/>
          <w:color w:val="000000"/>
          <w:szCs w:val="21"/>
        </w:rPr>
        <w:t>％；</w:t>
      </w:r>
    </w:p>
    <w:p w:rsidR="008711D3" w:rsidRDefault="004479D9">
      <w:pPr>
        <w:spacing w:line="360" w:lineRule="auto"/>
        <w:ind w:firstLineChars="200" w:firstLine="420"/>
        <w:rPr>
          <w:color w:val="000000"/>
          <w:szCs w:val="21"/>
        </w:rPr>
      </w:pPr>
      <w:r>
        <w:rPr>
          <w:rFonts w:hint="eastAsia"/>
          <w:color w:val="000000"/>
          <w:szCs w:val="21"/>
        </w:rPr>
        <w:t>（</w:t>
      </w:r>
      <w:r>
        <w:rPr>
          <w:rFonts w:hint="eastAsia"/>
          <w:color w:val="000000"/>
          <w:szCs w:val="21"/>
        </w:rPr>
        <w:t>4</w:t>
      </w:r>
      <w:r>
        <w:rPr>
          <w:rFonts w:hint="eastAsia"/>
          <w:color w:val="000000"/>
          <w:szCs w:val="21"/>
        </w:rPr>
        <w:t>）本基金管理人管理且由本基金托管人托管的全部基金持有一家公司发行的证券，</w:t>
      </w:r>
      <w:r>
        <w:rPr>
          <w:rFonts w:hint="eastAsia"/>
          <w:color w:val="000000"/>
          <w:szCs w:val="21"/>
        </w:rPr>
        <w:lastRenderedPageBreak/>
        <w:t>不超过该证券的</w:t>
      </w:r>
      <w:r>
        <w:rPr>
          <w:rFonts w:hint="eastAsia"/>
          <w:color w:val="000000"/>
          <w:szCs w:val="21"/>
        </w:rPr>
        <w:t>10</w:t>
      </w:r>
      <w:r>
        <w:rPr>
          <w:rFonts w:hint="eastAsia"/>
          <w:color w:val="000000"/>
          <w:szCs w:val="21"/>
        </w:rPr>
        <w:t>％；</w:t>
      </w:r>
    </w:p>
    <w:p w:rsidR="008711D3" w:rsidRDefault="004479D9">
      <w:pPr>
        <w:spacing w:line="360" w:lineRule="auto"/>
        <w:ind w:firstLineChars="200" w:firstLine="420"/>
        <w:rPr>
          <w:color w:val="000000"/>
          <w:szCs w:val="21"/>
        </w:rPr>
      </w:pPr>
      <w:r>
        <w:rPr>
          <w:rFonts w:hint="eastAsia"/>
          <w:color w:val="000000"/>
          <w:szCs w:val="21"/>
        </w:rPr>
        <w:t>（</w:t>
      </w:r>
      <w:r>
        <w:rPr>
          <w:rFonts w:hint="eastAsia"/>
          <w:color w:val="000000"/>
          <w:szCs w:val="21"/>
        </w:rPr>
        <w:t>5</w:t>
      </w:r>
      <w:r>
        <w:rPr>
          <w:rFonts w:hint="eastAsia"/>
          <w:color w:val="000000"/>
          <w:szCs w:val="21"/>
        </w:rPr>
        <w:t>）本基金投资于同一原始权益人的各类资产支持证券的比例，不得超过基金资产净值的</w:t>
      </w:r>
      <w:r>
        <w:rPr>
          <w:rFonts w:hint="eastAsia"/>
          <w:color w:val="000000"/>
          <w:szCs w:val="21"/>
        </w:rPr>
        <w:t>10</w:t>
      </w:r>
      <w:r>
        <w:rPr>
          <w:rFonts w:hint="eastAsia"/>
          <w:color w:val="000000"/>
          <w:szCs w:val="21"/>
        </w:rPr>
        <w:t>％；</w:t>
      </w:r>
    </w:p>
    <w:p w:rsidR="008711D3" w:rsidRDefault="004479D9">
      <w:pPr>
        <w:spacing w:line="360" w:lineRule="auto"/>
        <w:ind w:firstLineChars="200" w:firstLine="420"/>
        <w:rPr>
          <w:color w:val="000000"/>
          <w:szCs w:val="21"/>
        </w:rPr>
      </w:pPr>
      <w:r>
        <w:rPr>
          <w:rFonts w:hint="eastAsia"/>
          <w:color w:val="000000"/>
          <w:szCs w:val="21"/>
        </w:rPr>
        <w:t>（</w:t>
      </w:r>
      <w:r>
        <w:rPr>
          <w:rFonts w:hint="eastAsia"/>
          <w:color w:val="000000"/>
          <w:szCs w:val="21"/>
        </w:rPr>
        <w:t>6</w:t>
      </w:r>
      <w:r>
        <w:rPr>
          <w:rFonts w:hint="eastAsia"/>
          <w:color w:val="000000"/>
          <w:szCs w:val="21"/>
        </w:rPr>
        <w:t>）本基金持有的全部资产支持证券，其市值不得超过基金资产净值的</w:t>
      </w:r>
      <w:r>
        <w:rPr>
          <w:rFonts w:hint="eastAsia"/>
          <w:color w:val="000000"/>
          <w:szCs w:val="21"/>
        </w:rPr>
        <w:t>20</w:t>
      </w:r>
      <w:r>
        <w:rPr>
          <w:rFonts w:hint="eastAsia"/>
          <w:color w:val="000000"/>
          <w:szCs w:val="21"/>
        </w:rPr>
        <w:t>％；</w:t>
      </w:r>
    </w:p>
    <w:p w:rsidR="008711D3" w:rsidRDefault="004479D9">
      <w:pPr>
        <w:spacing w:line="360" w:lineRule="auto"/>
        <w:ind w:firstLineChars="200" w:firstLine="420"/>
        <w:rPr>
          <w:color w:val="000000"/>
          <w:szCs w:val="21"/>
        </w:rPr>
      </w:pPr>
      <w:r>
        <w:rPr>
          <w:rFonts w:hint="eastAsia"/>
          <w:color w:val="000000"/>
          <w:szCs w:val="21"/>
        </w:rPr>
        <w:t>（</w:t>
      </w:r>
      <w:r>
        <w:rPr>
          <w:rFonts w:hint="eastAsia"/>
          <w:color w:val="000000"/>
          <w:szCs w:val="21"/>
        </w:rPr>
        <w:t>7</w:t>
      </w:r>
      <w:r>
        <w:rPr>
          <w:rFonts w:hint="eastAsia"/>
          <w:color w:val="000000"/>
          <w:szCs w:val="21"/>
        </w:rPr>
        <w:t>）本基金持有的同一</w:t>
      </w:r>
      <w:r>
        <w:rPr>
          <w:rFonts w:hint="eastAsia"/>
          <w:color w:val="000000"/>
          <w:szCs w:val="21"/>
        </w:rPr>
        <w:t>(</w:t>
      </w:r>
      <w:r>
        <w:rPr>
          <w:rFonts w:hint="eastAsia"/>
          <w:color w:val="000000"/>
          <w:szCs w:val="21"/>
        </w:rPr>
        <w:t>指同一信用级别</w:t>
      </w:r>
      <w:r>
        <w:rPr>
          <w:rFonts w:hint="eastAsia"/>
          <w:color w:val="000000"/>
          <w:szCs w:val="21"/>
        </w:rPr>
        <w:t>)</w:t>
      </w:r>
      <w:r>
        <w:rPr>
          <w:rFonts w:hint="eastAsia"/>
          <w:color w:val="000000"/>
          <w:szCs w:val="21"/>
        </w:rPr>
        <w:t>资产支持证券的比例，不得超过该资产支持证券规模的</w:t>
      </w:r>
      <w:r>
        <w:rPr>
          <w:rFonts w:hint="eastAsia"/>
          <w:color w:val="000000"/>
          <w:szCs w:val="21"/>
        </w:rPr>
        <w:t>10</w:t>
      </w:r>
      <w:r>
        <w:rPr>
          <w:rFonts w:hint="eastAsia"/>
          <w:color w:val="000000"/>
          <w:szCs w:val="21"/>
        </w:rPr>
        <w:t>％；</w:t>
      </w:r>
    </w:p>
    <w:p w:rsidR="008711D3" w:rsidRDefault="004479D9">
      <w:pPr>
        <w:spacing w:line="360" w:lineRule="auto"/>
        <w:ind w:firstLineChars="200" w:firstLine="420"/>
        <w:rPr>
          <w:color w:val="000000"/>
          <w:szCs w:val="21"/>
        </w:rPr>
      </w:pPr>
      <w:r>
        <w:rPr>
          <w:rFonts w:hint="eastAsia"/>
          <w:color w:val="000000"/>
          <w:szCs w:val="21"/>
        </w:rPr>
        <w:t>（</w:t>
      </w:r>
      <w:r>
        <w:rPr>
          <w:rFonts w:hint="eastAsia"/>
          <w:color w:val="000000"/>
          <w:szCs w:val="21"/>
        </w:rPr>
        <w:t>8</w:t>
      </w:r>
      <w:r>
        <w:rPr>
          <w:rFonts w:hint="eastAsia"/>
          <w:color w:val="000000"/>
          <w:szCs w:val="21"/>
        </w:rPr>
        <w:t>）本基金管理人管理且由本基金托管人托管的全部基金投资于同一原始权益人的各类资产支持证券，不得超过其各类资产支持证券合计规模的</w:t>
      </w:r>
      <w:r>
        <w:rPr>
          <w:rFonts w:hint="eastAsia"/>
          <w:color w:val="000000"/>
          <w:szCs w:val="21"/>
        </w:rPr>
        <w:t>10</w:t>
      </w:r>
      <w:r>
        <w:rPr>
          <w:rFonts w:hint="eastAsia"/>
          <w:color w:val="000000"/>
          <w:szCs w:val="21"/>
        </w:rPr>
        <w:t>％；</w:t>
      </w:r>
    </w:p>
    <w:p w:rsidR="008711D3" w:rsidRDefault="004479D9">
      <w:pPr>
        <w:spacing w:line="360" w:lineRule="auto"/>
        <w:ind w:firstLineChars="200" w:firstLine="420"/>
        <w:rPr>
          <w:color w:val="000000"/>
          <w:szCs w:val="21"/>
        </w:rPr>
      </w:pPr>
      <w:r>
        <w:rPr>
          <w:rFonts w:hint="eastAsia"/>
          <w:color w:val="000000"/>
          <w:szCs w:val="21"/>
        </w:rPr>
        <w:t>（</w:t>
      </w:r>
      <w:r>
        <w:rPr>
          <w:rFonts w:hint="eastAsia"/>
          <w:color w:val="000000"/>
          <w:szCs w:val="21"/>
        </w:rPr>
        <w:t>9</w:t>
      </w:r>
      <w:r>
        <w:rPr>
          <w:rFonts w:hint="eastAsia"/>
          <w:color w:val="000000"/>
          <w:szCs w:val="21"/>
        </w:rPr>
        <w:t>）本基金应投资于信用级别评级为</w:t>
      </w:r>
      <w:r>
        <w:rPr>
          <w:rFonts w:hint="eastAsia"/>
          <w:color w:val="000000"/>
          <w:szCs w:val="21"/>
        </w:rPr>
        <w:t>BBB</w:t>
      </w:r>
      <w:r>
        <w:rPr>
          <w:rFonts w:hint="eastAsia"/>
          <w:color w:val="000000"/>
          <w:szCs w:val="21"/>
        </w:rPr>
        <w:t>以上</w:t>
      </w:r>
      <w:r>
        <w:rPr>
          <w:rFonts w:hint="eastAsia"/>
          <w:color w:val="000000"/>
          <w:szCs w:val="21"/>
        </w:rPr>
        <w:t>(</w:t>
      </w:r>
      <w:r>
        <w:rPr>
          <w:rFonts w:hint="eastAsia"/>
          <w:color w:val="000000"/>
          <w:szCs w:val="21"/>
        </w:rPr>
        <w:t>含</w:t>
      </w:r>
      <w:r>
        <w:rPr>
          <w:rFonts w:hint="eastAsia"/>
          <w:color w:val="000000"/>
          <w:szCs w:val="21"/>
        </w:rPr>
        <w:t>BBB)</w:t>
      </w:r>
      <w:r>
        <w:rPr>
          <w:rFonts w:hint="eastAsia"/>
          <w:color w:val="000000"/>
          <w:szCs w:val="21"/>
        </w:rPr>
        <w:t>的资产支持证券。基金持有资产支持证券期间，如果其信用等级下降、不再符合投资标准，应在评级报告发布之日起</w:t>
      </w:r>
      <w:r>
        <w:rPr>
          <w:rFonts w:hint="eastAsia"/>
          <w:color w:val="000000"/>
          <w:szCs w:val="21"/>
        </w:rPr>
        <w:t>3</w:t>
      </w:r>
      <w:r>
        <w:rPr>
          <w:rFonts w:hint="eastAsia"/>
          <w:color w:val="000000"/>
          <w:szCs w:val="21"/>
        </w:rPr>
        <w:t>个月内予以全部卖出；</w:t>
      </w:r>
    </w:p>
    <w:p w:rsidR="008711D3" w:rsidRDefault="004479D9">
      <w:pPr>
        <w:spacing w:line="360" w:lineRule="auto"/>
        <w:ind w:firstLineChars="200" w:firstLine="420"/>
        <w:rPr>
          <w:color w:val="000000"/>
          <w:szCs w:val="21"/>
        </w:rPr>
      </w:pPr>
      <w:r>
        <w:rPr>
          <w:rFonts w:hint="eastAsia"/>
          <w:color w:val="000000"/>
          <w:szCs w:val="21"/>
        </w:rPr>
        <w:t>（</w:t>
      </w:r>
      <w:r>
        <w:rPr>
          <w:rFonts w:hint="eastAsia"/>
          <w:color w:val="000000"/>
          <w:szCs w:val="21"/>
        </w:rPr>
        <w:t>10</w:t>
      </w:r>
      <w:r>
        <w:rPr>
          <w:rFonts w:hint="eastAsia"/>
          <w:color w:val="000000"/>
          <w:szCs w:val="21"/>
        </w:rPr>
        <w:t>）基金财产参与股票发行申购，本基金所申报的金额不超过本基金的总资产，本基金所申报的股票数量不超过拟发行股票公司本次发行股票的总量；</w:t>
      </w:r>
    </w:p>
    <w:p w:rsidR="008711D3" w:rsidRDefault="004479D9">
      <w:pPr>
        <w:spacing w:line="360" w:lineRule="auto"/>
        <w:ind w:firstLineChars="200" w:firstLine="420"/>
        <w:rPr>
          <w:color w:val="000000"/>
          <w:szCs w:val="21"/>
        </w:rPr>
      </w:pPr>
      <w:r>
        <w:rPr>
          <w:rFonts w:hint="eastAsia"/>
          <w:color w:val="000000"/>
          <w:szCs w:val="21"/>
        </w:rPr>
        <w:t>（</w:t>
      </w:r>
      <w:r>
        <w:rPr>
          <w:rFonts w:hint="eastAsia"/>
          <w:color w:val="000000"/>
          <w:szCs w:val="21"/>
        </w:rPr>
        <w:t>11</w:t>
      </w:r>
      <w:r>
        <w:rPr>
          <w:rFonts w:hint="eastAsia"/>
          <w:color w:val="000000"/>
          <w:szCs w:val="21"/>
        </w:rPr>
        <w:t>）本基金进入全国银行间同业市场进行债券回购的资金余额不得超过基金资产净值的</w:t>
      </w:r>
      <w:r>
        <w:rPr>
          <w:rFonts w:hint="eastAsia"/>
          <w:color w:val="000000"/>
          <w:szCs w:val="21"/>
        </w:rPr>
        <w:t>40%</w:t>
      </w:r>
      <w:r>
        <w:rPr>
          <w:rFonts w:hint="eastAsia"/>
          <w:color w:val="000000"/>
          <w:szCs w:val="21"/>
        </w:rPr>
        <w:t>，进入全国银行间同业市场进行债券回购的最长期限为</w:t>
      </w:r>
      <w:r>
        <w:rPr>
          <w:rFonts w:hint="eastAsia"/>
          <w:color w:val="000000"/>
          <w:szCs w:val="21"/>
        </w:rPr>
        <w:t>1</w:t>
      </w:r>
      <w:r>
        <w:rPr>
          <w:rFonts w:hint="eastAsia"/>
          <w:color w:val="000000"/>
          <w:szCs w:val="21"/>
        </w:rPr>
        <w:t>年，债券回购到期后不得展期；</w:t>
      </w:r>
    </w:p>
    <w:p w:rsidR="008711D3" w:rsidRDefault="004479D9">
      <w:pPr>
        <w:spacing w:line="360" w:lineRule="auto"/>
        <w:ind w:firstLineChars="200" w:firstLine="420"/>
        <w:rPr>
          <w:color w:val="000000"/>
          <w:szCs w:val="21"/>
        </w:rPr>
      </w:pPr>
      <w:r>
        <w:rPr>
          <w:rFonts w:hint="eastAsia"/>
          <w:color w:val="000000"/>
          <w:szCs w:val="21"/>
        </w:rPr>
        <w:t>（</w:t>
      </w:r>
      <w:r>
        <w:rPr>
          <w:rFonts w:hint="eastAsia"/>
          <w:color w:val="000000"/>
          <w:szCs w:val="21"/>
        </w:rPr>
        <w:t>12</w:t>
      </w:r>
      <w:r>
        <w:rPr>
          <w:rFonts w:hint="eastAsia"/>
          <w:color w:val="000000"/>
          <w:szCs w:val="21"/>
        </w:rPr>
        <w:t>）本基金参与股指期货交易，应当遵守下列投资限制：</w:t>
      </w:r>
    </w:p>
    <w:p w:rsidR="008711D3" w:rsidRDefault="004479D9">
      <w:pPr>
        <w:spacing w:line="360" w:lineRule="auto"/>
        <w:ind w:firstLineChars="200" w:firstLine="420"/>
        <w:rPr>
          <w:color w:val="000000"/>
          <w:szCs w:val="21"/>
        </w:rPr>
      </w:pPr>
      <w:r>
        <w:rPr>
          <w:rFonts w:hint="eastAsia"/>
          <w:color w:val="000000"/>
          <w:szCs w:val="21"/>
        </w:rPr>
        <w:t>①本基金在任何交易日日终，持有的买入股指期货合约价值，不得超过基金资产净值的</w:t>
      </w:r>
      <w:r>
        <w:rPr>
          <w:rFonts w:hint="eastAsia"/>
          <w:color w:val="000000"/>
          <w:szCs w:val="21"/>
        </w:rPr>
        <w:t>10%</w:t>
      </w:r>
      <w:r>
        <w:rPr>
          <w:rFonts w:hint="eastAsia"/>
          <w:color w:val="000000"/>
          <w:szCs w:val="21"/>
        </w:rPr>
        <w:t>；</w:t>
      </w:r>
    </w:p>
    <w:p w:rsidR="008711D3" w:rsidRDefault="004479D9">
      <w:pPr>
        <w:spacing w:line="360" w:lineRule="auto"/>
        <w:ind w:firstLineChars="200" w:firstLine="420"/>
        <w:rPr>
          <w:color w:val="000000"/>
          <w:szCs w:val="21"/>
        </w:rPr>
      </w:pPr>
      <w:r>
        <w:rPr>
          <w:rFonts w:hint="eastAsia"/>
          <w:color w:val="000000"/>
          <w:szCs w:val="21"/>
        </w:rPr>
        <w:t>②每个交易日日终在扣除股指期货合约和国债期货合约需缴纳的交易保证金后，应当保持不低于基金资产净值的</w:t>
      </w:r>
      <w:r>
        <w:rPr>
          <w:rFonts w:hint="eastAsia"/>
          <w:color w:val="000000"/>
          <w:szCs w:val="21"/>
        </w:rPr>
        <w:t>5%</w:t>
      </w:r>
      <w:r>
        <w:rPr>
          <w:rFonts w:hint="eastAsia"/>
          <w:color w:val="000000"/>
          <w:szCs w:val="21"/>
        </w:rPr>
        <w:t>的现金或到期日在一年以内的政府债券，其中现金不包括结算备付金、存出保证金、应收申购款等；</w:t>
      </w:r>
    </w:p>
    <w:p w:rsidR="008711D3" w:rsidRDefault="004479D9">
      <w:pPr>
        <w:spacing w:line="360" w:lineRule="auto"/>
        <w:ind w:firstLineChars="200" w:firstLine="420"/>
        <w:rPr>
          <w:color w:val="000000"/>
          <w:szCs w:val="21"/>
        </w:rPr>
      </w:pPr>
      <w:r>
        <w:rPr>
          <w:rFonts w:hint="eastAsia"/>
          <w:color w:val="000000"/>
          <w:szCs w:val="21"/>
        </w:rPr>
        <w:t>③本基金在任何交易日日终，持有的买入国债期货和股指期货合约价值与有价证券市值之和，不得超过基金资产净值的</w:t>
      </w:r>
      <w:r>
        <w:rPr>
          <w:rFonts w:hint="eastAsia"/>
          <w:color w:val="000000"/>
          <w:szCs w:val="21"/>
        </w:rPr>
        <w:t>95%</w:t>
      </w:r>
      <w:r>
        <w:rPr>
          <w:rFonts w:hint="eastAsia"/>
          <w:color w:val="000000"/>
          <w:szCs w:val="21"/>
        </w:rPr>
        <w:t>。</w:t>
      </w:r>
    </w:p>
    <w:p w:rsidR="008711D3" w:rsidRDefault="004479D9">
      <w:pPr>
        <w:spacing w:line="360" w:lineRule="auto"/>
        <w:ind w:firstLineChars="200" w:firstLine="420"/>
        <w:rPr>
          <w:color w:val="000000"/>
          <w:szCs w:val="21"/>
        </w:rPr>
      </w:pPr>
      <w:r>
        <w:rPr>
          <w:rFonts w:hint="eastAsia"/>
          <w:color w:val="000000"/>
          <w:szCs w:val="21"/>
        </w:rPr>
        <w:t>其中，有价证券指股票、债券（不含到期日在一年以内的政府债券）、资产支持证券、买入返售金融资产（不含质押式回购）等；</w:t>
      </w:r>
    </w:p>
    <w:p w:rsidR="008711D3" w:rsidRDefault="004479D9">
      <w:pPr>
        <w:spacing w:line="360" w:lineRule="auto"/>
        <w:ind w:firstLineChars="200" w:firstLine="420"/>
        <w:rPr>
          <w:color w:val="000000"/>
          <w:szCs w:val="21"/>
        </w:rPr>
      </w:pPr>
      <w:r>
        <w:rPr>
          <w:rFonts w:hint="eastAsia"/>
          <w:color w:val="000000"/>
          <w:szCs w:val="21"/>
        </w:rPr>
        <w:t>④本基金在任何交易日日终，持有的卖出股指期货合约价值不得超过基金持有的股票总市值的</w:t>
      </w:r>
      <w:r>
        <w:rPr>
          <w:rFonts w:hint="eastAsia"/>
          <w:color w:val="000000"/>
          <w:szCs w:val="21"/>
        </w:rPr>
        <w:t>20%</w:t>
      </w:r>
      <w:r>
        <w:rPr>
          <w:rFonts w:hint="eastAsia"/>
          <w:color w:val="000000"/>
          <w:szCs w:val="21"/>
        </w:rPr>
        <w:t>；</w:t>
      </w:r>
    </w:p>
    <w:p w:rsidR="008711D3" w:rsidRDefault="004479D9">
      <w:pPr>
        <w:spacing w:line="360" w:lineRule="auto"/>
        <w:ind w:firstLineChars="200" w:firstLine="420"/>
        <w:rPr>
          <w:color w:val="000000"/>
          <w:szCs w:val="21"/>
        </w:rPr>
      </w:pPr>
      <w:r>
        <w:rPr>
          <w:rFonts w:hint="eastAsia"/>
          <w:color w:val="000000"/>
          <w:szCs w:val="21"/>
        </w:rPr>
        <w:t>⑤本基金所持有的股票市值和买入、卖出股指期货合约价值，合计（轧差计算）应当占基金资产的比例为</w:t>
      </w:r>
      <w:r>
        <w:rPr>
          <w:rFonts w:hint="eastAsia"/>
          <w:color w:val="000000"/>
          <w:szCs w:val="21"/>
        </w:rPr>
        <w:t>60%-95%</w:t>
      </w:r>
      <w:r>
        <w:rPr>
          <w:rFonts w:hint="eastAsia"/>
          <w:color w:val="000000"/>
          <w:szCs w:val="21"/>
        </w:rPr>
        <w:t>；</w:t>
      </w:r>
    </w:p>
    <w:p w:rsidR="008711D3" w:rsidRDefault="004479D9">
      <w:pPr>
        <w:spacing w:line="360" w:lineRule="auto"/>
        <w:ind w:firstLineChars="200" w:firstLine="420"/>
        <w:rPr>
          <w:color w:val="000000"/>
          <w:szCs w:val="21"/>
        </w:rPr>
      </w:pPr>
      <w:r>
        <w:rPr>
          <w:rFonts w:hint="eastAsia"/>
          <w:color w:val="000000"/>
          <w:szCs w:val="21"/>
        </w:rPr>
        <w:lastRenderedPageBreak/>
        <w:t>⑥本基金在任何交易日内交易（不包括平仓）的股指期货合约的成交金额不得超过上一交易日基金资产净值的</w:t>
      </w:r>
      <w:r>
        <w:rPr>
          <w:rFonts w:hint="eastAsia"/>
          <w:color w:val="000000"/>
          <w:szCs w:val="21"/>
        </w:rPr>
        <w:t>20%</w:t>
      </w:r>
      <w:r>
        <w:rPr>
          <w:rFonts w:hint="eastAsia"/>
          <w:color w:val="000000"/>
          <w:szCs w:val="21"/>
        </w:rPr>
        <w:t>；</w:t>
      </w:r>
    </w:p>
    <w:p w:rsidR="008711D3" w:rsidRDefault="004479D9">
      <w:pPr>
        <w:spacing w:line="360" w:lineRule="auto"/>
        <w:ind w:firstLineChars="200" w:firstLine="420"/>
        <w:rPr>
          <w:color w:val="000000"/>
          <w:szCs w:val="21"/>
        </w:rPr>
      </w:pPr>
      <w:r>
        <w:rPr>
          <w:rFonts w:hint="eastAsia"/>
          <w:color w:val="000000"/>
          <w:szCs w:val="21"/>
        </w:rPr>
        <w:t>（</w:t>
      </w:r>
      <w:r>
        <w:rPr>
          <w:rFonts w:hint="eastAsia"/>
          <w:color w:val="000000"/>
          <w:szCs w:val="21"/>
        </w:rPr>
        <w:t>13</w:t>
      </w:r>
      <w:r>
        <w:rPr>
          <w:rFonts w:hint="eastAsia"/>
          <w:color w:val="000000"/>
          <w:szCs w:val="21"/>
        </w:rPr>
        <w:t>）本基金参与国债期货交易，应当遵守下列投资限制：</w:t>
      </w:r>
    </w:p>
    <w:p w:rsidR="008711D3" w:rsidRDefault="004479D9">
      <w:pPr>
        <w:spacing w:line="360" w:lineRule="auto"/>
        <w:ind w:firstLineChars="200" w:firstLine="420"/>
        <w:rPr>
          <w:color w:val="000000"/>
          <w:szCs w:val="21"/>
        </w:rPr>
      </w:pPr>
      <w:r>
        <w:rPr>
          <w:rFonts w:hint="eastAsia"/>
          <w:color w:val="000000"/>
          <w:szCs w:val="21"/>
        </w:rPr>
        <w:t>①本基金在任何交易日日终，持有的买入国债期货合约价值，不得超过基金资产净值的</w:t>
      </w:r>
      <w:r>
        <w:rPr>
          <w:rFonts w:hint="eastAsia"/>
          <w:color w:val="000000"/>
          <w:szCs w:val="21"/>
        </w:rPr>
        <w:t xml:space="preserve"> 15%</w:t>
      </w:r>
      <w:r>
        <w:rPr>
          <w:rFonts w:hint="eastAsia"/>
          <w:color w:val="000000"/>
          <w:szCs w:val="21"/>
        </w:rPr>
        <w:t>；</w:t>
      </w:r>
    </w:p>
    <w:p w:rsidR="008711D3" w:rsidRDefault="004479D9">
      <w:pPr>
        <w:spacing w:line="360" w:lineRule="auto"/>
        <w:ind w:firstLineChars="200" w:firstLine="420"/>
        <w:rPr>
          <w:color w:val="000000"/>
          <w:szCs w:val="21"/>
        </w:rPr>
      </w:pPr>
      <w:r>
        <w:rPr>
          <w:rFonts w:hint="eastAsia"/>
          <w:color w:val="000000"/>
          <w:szCs w:val="21"/>
        </w:rPr>
        <w:t>②每个交易日日终在扣除股指期货合约和国债期货合约需缴纳的交易保证金后，应当保持不低于基金资产净值的</w:t>
      </w:r>
      <w:r>
        <w:rPr>
          <w:rFonts w:hint="eastAsia"/>
          <w:color w:val="000000"/>
          <w:szCs w:val="21"/>
        </w:rPr>
        <w:t>5%</w:t>
      </w:r>
      <w:r>
        <w:rPr>
          <w:rFonts w:hint="eastAsia"/>
          <w:color w:val="000000"/>
          <w:szCs w:val="21"/>
        </w:rPr>
        <w:t>的现金或到期日在一年以内的政府债券，其中现金不包括结算备付金、存出保证金、应收申购款等；</w:t>
      </w:r>
    </w:p>
    <w:p w:rsidR="008711D3" w:rsidRDefault="004479D9">
      <w:pPr>
        <w:spacing w:line="360" w:lineRule="auto"/>
        <w:ind w:firstLineChars="200" w:firstLine="420"/>
        <w:rPr>
          <w:color w:val="000000"/>
          <w:szCs w:val="21"/>
        </w:rPr>
      </w:pPr>
      <w:r>
        <w:rPr>
          <w:rFonts w:hint="eastAsia"/>
          <w:color w:val="000000"/>
          <w:szCs w:val="21"/>
        </w:rPr>
        <w:t>③本基金在任何交易日日终，持有的买入国债期货和股指期货合约价值与有价证券市值之和，不得超过基金资产净值的</w:t>
      </w:r>
      <w:r>
        <w:rPr>
          <w:rFonts w:hint="eastAsia"/>
          <w:color w:val="000000"/>
          <w:szCs w:val="21"/>
        </w:rPr>
        <w:t>95%</w:t>
      </w:r>
      <w:r>
        <w:rPr>
          <w:rFonts w:hint="eastAsia"/>
          <w:color w:val="000000"/>
          <w:szCs w:val="21"/>
        </w:rPr>
        <w:t>。</w:t>
      </w:r>
    </w:p>
    <w:p w:rsidR="008711D3" w:rsidRDefault="004479D9">
      <w:pPr>
        <w:spacing w:line="360" w:lineRule="auto"/>
        <w:ind w:firstLineChars="200" w:firstLine="420"/>
        <w:rPr>
          <w:color w:val="000000"/>
          <w:szCs w:val="21"/>
        </w:rPr>
      </w:pPr>
      <w:r>
        <w:rPr>
          <w:rFonts w:hint="eastAsia"/>
          <w:color w:val="000000"/>
          <w:szCs w:val="21"/>
        </w:rPr>
        <w:t>其中，有价证券指股票、债券（不含到期日在一年以内的政府债券）、资产支持证券、买入返售金融资产（不含质押式回购）等；</w:t>
      </w:r>
    </w:p>
    <w:p w:rsidR="008711D3" w:rsidRDefault="004479D9">
      <w:pPr>
        <w:spacing w:line="360" w:lineRule="auto"/>
        <w:ind w:firstLineChars="200" w:firstLine="420"/>
        <w:rPr>
          <w:color w:val="000000"/>
          <w:szCs w:val="21"/>
        </w:rPr>
      </w:pPr>
      <w:r>
        <w:rPr>
          <w:rFonts w:hint="eastAsia"/>
          <w:color w:val="000000"/>
          <w:szCs w:val="21"/>
        </w:rPr>
        <w:t>④本基金在任何交易日日终，持有的卖出国债期货合约价值，不得超过基金持有的债券总市值的</w:t>
      </w:r>
      <w:r>
        <w:rPr>
          <w:rFonts w:hint="eastAsia"/>
          <w:color w:val="000000"/>
          <w:szCs w:val="21"/>
        </w:rPr>
        <w:t>30%</w:t>
      </w:r>
      <w:r>
        <w:rPr>
          <w:rFonts w:hint="eastAsia"/>
          <w:color w:val="000000"/>
          <w:szCs w:val="21"/>
        </w:rPr>
        <w:t>；</w:t>
      </w:r>
    </w:p>
    <w:p w:rsidR="008711D3" w:rsidRDefault="004479D9">
      <w:pPr>
        <w:spacing w:line="360" w:lineRule="auto"/>
        <w:ind w:firstLineChars="200" w:firstLine="420"/>
        <w:rPr>
          <w:color w:val="000000"/>
          <w:szCs w:val="21"/>
        </w:rPr>
      </w:pPr>
      <w:r>
        <w:rPr>
          <w:rFonts w:hint="eastAsia"/>
          <w:color w:val="000000"/>
          <w:szCs w:val="21"/>
        </w:rPr>
        <w:t>⑤本基金在任何交易日内交易（不包括平仓）的国债期货合约的成交金额不得超过上一交易日基金资产净值的</w:t>
      </w:r>
      <w:r>
        <w:rPr>
          <w:rFonts w:hint="eastAsia"/>
          <w:color w:val="000000"/>
          <w:szCs w:val="21"/>
        </w:rPr>
        <w:t>30%</w:t>
      </w:r>
      <w:r>
        <w:rPr>
          <w:rFonts w:hint="eastAsia"/>
          <w:color w:val="000000"/>
          <w:szCs w:val="21"/>
        </w:rPr>
        <w:t>；</w:t>
      </w:r>
    </w:p>
    <w:p w:rsidR="008711D3" w:rsidRDefault="004479D9">
      <w:pPr>
        <w:spacing w:line="360" w:lineRule="auto"/>
        <w:ind w:firstLineChars="200" w:firstLine="420"/>
        <w:rPr>
          <w:color w:val="000000"/>
          <w:szCs w:val="21"/>
        </w:rPr>
      </w:pPr>
      <w:r>
        <w:rPr>
          <w:rFonts w:hint="eastAsia"/>
          <w:color w:val="000000"/>
          <w:szCs w:val="21"/>
        </w:rPr>
        <w:t>（</w:t>
      </w:r>
      <w:r>
        <w:rPr>
          <w:rFonts w:hint="eastAsia"/>
          <w:color w:val="000000"/>
          <w:szCs w:val="21"/>
        </w:rPr>
        <w:t>14</w:t>
      </w:r>
      <w:r>
        <w:rPr>
          <w:rFonts w:hint="eastAsia"/>
          <w:color w:val="000000"/>
          <w:szCs w:val="21"/>
        </w:rPr>
        <w:t>）本基金管理人管理且由本基金托管人托管的全部开放式基金持有一家上市公司发行的可流通股票，不得超过该上市公司可流通股票的</w:t>
      </w:r>
      <w:r>
        <w:rPr>
          <w:rFonts w:hint="eastAsia"/>
          <w:color w:val="000000"/>
          <w:szCs w:val="21"/>
        </w:rPr>
        <w:t>15%</w:t>
      </w:r>
      <w:r>
        <w:rPr>
          <w:rFonts w:hint="eastAsia"/>
          <w:color w:val="000000"/>
          <w:szCs w:val="21"/>
        </w:rPr>
        <w:t>；本基金管理人管理且由本基金托管人托管的全部投资组合持有一家上市公司发行的可流通股票，不得超过该上市公司可流通股票的</w:t>
      </w:r>
      <w:r>
        <w:rPr>
          <w:rFonts w:hint="eastAsia"/>
          <w:color w:val="000000"/>
          <w:szCs w:val="21"/>
        </w:rPr>
        <w:t>30%</w:t>
      </w:r>
      <w:r>
        <w:rPr>
          <w:rFonts w:hint="eastAsia"/>
          <w:color w:val="000000"/>
          <w:szCs w:val="21"/>
        </w:rPr>
        <w:t>；</w:t>
      </w:r>
    </w:p>
    <w:p w:rsidR="008711D3" w:rsidRDefault="004479D9">
      <w:pPr>
        <w:spacing w:line="360" w:lineRule="auto"/>
        <w:ind w:firstLineChars="200" w:firstLine="420"/>
        <w:rPr>
          <w:color w:val="000000"/>
          <w:szCs w:val="21"/>
        </w:rPr>
      </w:pPr>
      <w:r>
        <w:rPr>
          <w:rFonts w:hint="eastAsia"/>
          <w:color w:val="000000"/>
          <w:szCs w:val="21"/>
        </w:rPr>
        <w:t>（</w:t>
      </w:r>
      <w:r>
        <w:rPr>
          <w:rFonts w:hint="eastAsia"/>
          <w:color w:val="000000"/>
          <w:szCs w:val="21"/>
        </w:rPr>
        <w:t>15</w:t>
      </w:r>
      <w:r>
        <w:rPr>
          <w:rFonts w:hint="eastAsia"/>
          <w:color w:val="000000"/>
          <w:szCs w:val="21"/>
        </w:rPr>
        <w:t>）本基金主动投资于流动性受限资产的市值合计不得超过基金资产净值的</w:t>
      </w:r>
      <w:r>
        <w:rPr>
          <w:rFonts w:hint="eastAsia"/>
          <w:color w:val="000000"/>
          <w:szCs w:val="21"/>
        </w:rPr>
        <w:t>15%</w:t>
      </w:r>
      <w:r>
        <w:rPr>
          <w:rFonts w:hint="eastAsia"/>
          <w:color w:val="000000"/>
          <w:szCs w:val="21"/>
        </w:rPr>
        <w:t>；因证券市场波动、上市公司股票停牌、基金规模变动等基金管理人之外的因素致使基金不符合该比例限制的，基金管理人不得主动新增流动性受限资产的投资；</w:t>
      </w:r>
    </w:p>
    <w:p w:rsidR="008711D3" w:rsidRDefault="004479D9">
      <w:pPr>
        <w:spacing w:line="360" w:lineRule="auto"/>
        <w:ind w:firstLineChars="200" w:firstLine="420"/>
        <w:rPr>
          <w:color w:val="000000"/>
          <w:szCs w:val="21"/>
        </w:rPr>
      </w:pPr>
      <w:r>
        <w:rPr>
          <w:rFonts w:hint="eastAsia"/>
          <w:color w:val="000000"/>
          <w:szCs w:val="21"/>
        </w:rPr>
        <w:t>（</w:t>
      </w:r>
      <w:r>
        <w:rPr>
          <w:rFonts w:hint="eastAsia"/>
          <w:color w:val="000000"/>
          <w:szCs w:val="21"/>
        </w:rPr>
        <w:t>16</w:t>
      </w:r>
      <w:r>
        <w:rPr>
          <w:rFonts w:hint="eastAsia"/>
          <w:color w:val="000000"/>
          <w:szCs w:val="21"/>
        </w:rPr>
        <w:t>）本基金与私募类证券资管产品及中国证监会认定的其他主体为交易对手开展逆回购交易的，可接受质押品的资质要求应当与基金合同约定的投资范围保持一致；</w:t>
      </w:r>
    </w:p>
    <w:p w:rsidR="008711D3" w:rsidRDefault="004479D9">
      <w:pPr>
        <w:spacing w:line="360" w:lineRule="auto"/>
        <w:ind w:firstLineChars="200" w:firstLine="420"/>
        <w:rPr>
          <w:color w:val="000000"/>
          <w:szCs w:val="21"/>
        </w:rPr>
      </w:pPr>
      <w:r>
        <w:rPr>
          <w:rFonts w:hint="eastAsia"/>
          <w:color w:val="000000"/>
          <w:szCs w:val="21"/>
        </w:rPr>
        <w:t>（</w:t>
      </w:r>
      <w:r>
        <w:rPr>
          <w:rFonts w:hint="eastAsia"/>
          <w:color w:val="000000"/>
          <w:szCs w:val="21"/>
        </w:rPr>
        <w:t>17</w:t>
      </w:r>
      <w:r>
        <w:rPr>
          <w:rFonts w:hint="eastAsia"/>
          <w:color w:val="000000"/>
          <w:szCs w:val="21"/>
        </w:rPr>
        <w:t>）本基金资产总值不超过基金资产净值的</w:t>
      </w:r>
      <w:r>
        <w:rPr>
          <w:rFonts w:hint="eastAsia"/>
          <w:color w:val="000000"/>
          <w:szCs w:val="21"/>
        </w:rPr>
        <w:t>140%</w:t>
      </w:r>
      <w:r>
        <w:rPr>
          <w:rFonts w:hint="eastAsia"/>
          <w:color w:val="000000"/>
          <w:szCs w:val="21"/>
        </w:rPr>
        <w:t>；</w:t>
      </w:r>
    </w:p>
    <w:p w:rsidR="008711D3" w:rsidRDefault="004479D9">
      <w:pPr>
        <w:spacing w:line="360" w:lineRule="auto"/>
        <w:ind w:firstLineChars="200" w:firstLine="420"/>
        <w:rPr>
          <w:color w:val="000000"/>
          <w:szCs w:val="21"/>
        </w:rPr>
      </w:pPr>
      <w:r>
        <w:rPr>
          <w:rFonts w:hint="eastAsia"/>
          <w:color w:val="000000"/>
          <w:szCs w:val="21"/>
        </w:rPr>
        <w:t>（</w:t>
      </w:r>
      <w:r>
        <w:rPr>
          <w:rFonts w:hint="eastAsia"/>
          <w:color w:val="000000"/>
          <w:szCs w:val="21"/>
        </w:rPr>
        <w:t>18</w:t>
      </w:r>
      <w:r>
        <w:rPr>
          <w:rFonts w:hint="eastAsia"/>
          <w:color w:val="000000"/>
          <w:szCs w:val="21"/>
        </w:rPr>
        <w:t>）本基金参与融资的，每个交易日日终，本基金持有的融资买入股票与其他有价证券市值之和，不得超过基金资产净值的</w:t>
      </w:r>
      <w:r>
        <w:rPr>
          <w:rFonts w:hint="eastAsia"/>
          <w:color w:val="000000"/>
          <w:szCs w:val="21"/>
        </w:rPr>
        <w:t>95%</w:t>
      </w:r>
      <w:r>
        <w:rPr>
          <w:rFonts w:hint="eastAsia"/>
          <w:color w:val="000000"/>
          <w:szCs w:val="21"/>
        </w:rPr>
        <w:t>；</w:t>
      </w:r>
    </w:p>
    <w:p w:rsidR="008711D3" w:rsidRDefault="004479D9">
      <w:pPr>
        <w:spacing w:line="360" w:lineRule="auto"/>
        <w:ind w:firstLineChars="200" w:firstLine="420"/>
        <w:rPr>
          <w:color w:val="000000"/>
          <w:szCs w:val="21"/>
        </w:rPr>
      </w:pPr>
      <w:r>
        <w:rPr>
          <w:rFonts w:hint="eastAsia"/>
          <w:color w:val="000000"/>
          <w:szCs w:val="21"/>
        </w:rPr>
        <w:t>（</w:t>
      </w:r>
      <w:r>
        <w:rPr>
          <w:rFonts w:hint="eastAsia"/>
          <w:color w:val="000000"/>
          <w:szCs w:val="21"/>
        </w:rPr>
        <w:t>19</w:t>
      </w:r>
      <w:r>
        <w:rPr>
          <w:rFonts w:hint="eastAsia"/>
          <w:color w:val="000000"/>
          <w:szCs w:val="21"/>
        </w:rPr>
        <w:t>）本基金投资存托凭证的比例限制依照国内依法发行上市的股票执行，与国内依法发行上市的股票合并计算；</w:t>
      </w:r>
    </w:p>
    <w:p w:rsidR="008711D3" w:rsidRDefault="004479D9">
      <w:pPr>
        <w:spacing w:line="360" w:lineRule="auto"/>
        <w:ind w:firstLineChars="200" w:firstLine="420"/>
        <w:rPr>
          <w:color w:val="000000"/>
          <w:szCs w:val="21"/>
        </w:rPr>
      </w:pPr>
      <w:r>
        <w:rPr>
          <w:rFonts w:hint="eastAsia"/>
          <w:color w:val="000000"/>
          <w:szCs w:val="21"/>
        </w:rPr>
        <w:lastRenderedPageBreak/>
        <w:t>（</w:t>
      </w:r>
      <w:r>
        <w:rPr>
          <w:rFonts w:hint="eastAsia"/>
          <w:color w:val="000000"/>
          <w:szCs w:val="21"/>
        </w:rPr>
        <w:t>20</w:t>
      </w:r>
      <w:r>
        <w:rPr>
          <w:rFonts w:hint="eastAsia"/>
          <w:color w:val="000000"/>
          <w:szCs w:val="21"/>
        </w:rPr>
        <w:t>）法律法规及中国证监会规定的其他投资比例限制。</w:t>
      </w:r>
    </w:p>
    <w:p w:rsidR="008711D3" w:rsidRDefault="004479D9">
      <w:pPr>
        <w:spacing w:line="360" w:lineRule="auto"/>
        <w:ind w:firstLineChars="200" w:firstLine="420"/>
        <w:rPr>
          <w:color w:val="000000"/>
          <w:szCs w:val="21"/>
        </w:rPr>
      </w:pPr>
      <w:r>
        <w:rPr>
          <w:rFonts w:hint="eastAsia"/>
          <w:color w:val="000000"/>
          <w:szCs w:val="21"/>
        </w:rPr>
        <w:t>除上述（</w:t>
      </w:r>
      <w:r>
        <w:rPr>
          <w:rFonts w:hint="eastAsia"/>
          <w:color w:val="000000"/>
          <w:szCs w:val="21"/>
        </w:rPr>
        <w:t>2</w:t>
      </w:r>
      <w:r>
        <w:rPr>
          <w:rFonts w:hint="eastAsia"/>
          <w:color w:val="000000"/>
          <w:szCs w:val="21"/>
        </w:rPr>
        <w:t>）、（</w:t>
      </w:r>
      <w:r>
        <w:rPr>
          <w:rFonts w:hint="eastAsia"/>
          <w:color w:val="000000"/>
          <w:szCs w:val="21"/>
        </w:rPr>
        <w:t>9</w:t>
      </w:r>
      <w:r>
        <w:rPr>
          <w:rFonts w:hint="eastAsia"/>
          <w:color w:val="000000"/>
          <w:szCs w:val="21"/>
        </w:rPr>
        <w:t>）、（</w:t>
      </w:r>
      <w:r>
        <w:rPr>
          <w:rFonts w:hint="eastAsia"/>
          <w:color w:val="000000"/>
          <w:szCs w:val="21"/>
        </w:rPr>
        <w:t>15</w:t>
      </w:r>
      <w:r>
        <w:rPr>
          <w:rFonts w:hint="eastAsia"/>
          <w:color w:val="000000"/>
          <w:szCs w:val="21"/>
        </w:rPr>
        <w:t>）、（</w:t>
      </w:r>
      <w:r>
        <w:rPr>
          <w:rFonts w:hint="eastAsia"/>
          <w:color w:val="000000"/>
          <w:szCs w:val="21"/>
        </w:rPr>
        <w:t>16</w:t>
      </w:r>
      <w:r>
        <w:rPr>
          <w:rFonts w:hint="eastAsia"/>
          <w:color w:val="000000"/>
          <w:szCs w:val="21"/>
        </w:rPr>
        <w:t>）情形之外，因证券、期货市场波动、证券发行人合并、基金规模变动等基金管理人之外的因素致使基金投资比例不符合上述规定投资比例的，基金管理人应当在所涉证券可交易之日起</w:t>
      </w:r>
      <w:r>
        <w:rPr>
          <w:rFonts w:hint="eastAsia"/>
          <w:color w:val="000000"/>
          <w:szCs w:val="21"/>
        </w:rPr>
        <w:t>10</w:t>
      </w:r>
      <w:r>
        <w:rPr>
          <w:rFonts w:hint="eastAsia"/>
          <w:color w:val="000000"/>
          <w:szCs w:val="21"/>
        </w:rPr>
        <w:t>个交易日内进行调整，但中国证监会规定的特殊情形除外。法律法规另有规定的，从其规定。</w:t>
      </w:r>
    </w:p>
    <w:p w:rsidR="008711D3" w:rsidRDefault="004479D9">
      <w:pPr>
        <w:spacing w:line="360" w:lineRule="auto"/>
        <w:ind w:firstLineChars="200" w:firstLine="420"/>
        <w:rPr>
          <w:color w:val="000000"/>
          <w:szCs w:val="21"/>
        </w:rPr>
      </w:pPr>
      <w:r>
        <w:rPr>
          <w:rFonts w:hint="eastAsia"/>
          <w:color w:val="000000"/>
          <w:szCs w:val="21"/>
        </w:rPr>
        <w:t>基金管理人应当自基金合同生效之日起</w:t>
      </w:r>
      <w:r>
        <w:rPr>
          <w:rFonts w:hint="eastAsia"/>
          <w:color w:val="000000"/>
          <w:szCs w:val="21"/>
        </w:rPr>
        <w:t>6</w:t>
      </w:r>
      <w:r>
        <w:rPr>
          <w:rFonts w:hint="eastAsia"/>
          <w:color w:val="000000"/>
          <w:szCs w:val="21"/>
        </w:rPr>
        <w:t>个月内使基金的投资组合比例符合基金合同的有关约定。在上述期间内，本基金的投资范围、投资策略应当符合基金合同的约定。基金托管人对基金投资的监督与检查自基金合同生效之日起开始。</w:t>
      </w:r>
    </w:p>
    <w:p w:rsidR="008711D3" w:rsidRDefault="004479D9">
      <w:pPr>
        <w:spacing w:line="360" w:lineRule="auto"/>
        <w:ind w:firstLineChars="200" w:firstLine="420"/>
        <w:rPr>
          <w:color w:val="000000"/>
          <w:szCs w:val="21"/>
        </w:rPr>
      </w:pPr>
      <w:r>
        <w:rPr>
          <w:rFonts w:hint="eastAsia"/>
          <w:color w:val="000000"/>
          <w:szCs w:val="21"/>
        </w:rPr>
        <w:t>法律法规或监管部门对基金合同所述投资比例、投资限制、组合限制、禁止行为等作出强制性调整的，本基金应当按照法律法规或监管部门的规定执行。</w:t>
      </w:r>
    </w:p>
    <w:p w:rsidR="008711D3" w:rsidRDefault="004479D9">
      <w:pPr>
        <w:spacing w:line="360" w:lineRule="auto"/>
        <w:ind w:firstLineChars="200" w:firstLine="420"/>
        <w:rPr>
          <w:bCs/>
          <w:szCs w:val="21"/>
        </w:rPr>
      </w:pPr>
      <w:r>
        <w:rPr>
          <w:rFonts w:hint="eastAsia"/>
          <w:color w:val="000000"/>
          <w:szCs w:val="21"/>
        </w:rPr>
        <w:t>3</w:t>
      </w:r>
      <w:r>
        <w:rPr>
          <w:rFonts w:hint="eastAsia"/>
          <w:color w:val="000000"/>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rsidR="008711D3" w:rsidRDefault="004479D9">
      <w:pPr>
        <w:spacing w:line="440" w:lineRule="exact"/>
        <w:ind w:firstLineChars="200" w:firstLine="420"/>
        <w:rPr>
          <w:rFonts w:ascii="宋体" w:hAnsi="宋体"/>
          <w:color w:val="000000"/>
          <w:szCs w:val="21"/>
        </w:rPr>
      </w:pPr>
      <w:r>
        <w:rPr>
          <w:rFonts w:ascii="宋体" w:hAnsi="宋体" w:hint="eastAsia"/>
          <w:color w:val="000000"/>
          <w:szCs w:val="21"/>
        </w:rPr>
        <w:t>B、基金托管人应根据有关法律法规的规定和《基金合同》的约定，对各类基金份额的基金资产净值计算、各类基金份额的基金份额净值计算、应收资金到账、基金费用开支及收入确定、基金收益分配、相关信息披露材料中登载基金业绩表现数据等进行复核。</w:t>
      </w:r>
    </w:p>
    <w:p w:rsidR="008711D3" w:rsidRDefault="004479D9">
      <w:pPr>
        <w:spacing w:line="440" w:lineRule="exact"/>
        <w:ind w:firstLineChars="200" w:firstLine="420"/>
        <w:rPr>
          <w:rFonts w:ascii="宋体" w:hAnsi="宋体"/>
          <w:color w:val="000000"/>
          <w:szCs w:val="21"/>
        </w:rPr>
      </w:pPr>
      <w:r>
        <w:rPr>
          <w:rFonts w:ascii="宋体" w:hAnsi="宋体" w:hint="eastAsia"/>
          <w:color w:val="000000"/>
          <w:szCs w:val="21"/>
        </w:rPr>
        <w:t>C、基金托管人在上述第A、B款的监督和核查中发现基金管理人违反法律法规的规定及本协议的约定，应及时提示基金管理人，基金管理人收到提示后应及时核对确认并改正。在限期内，基金托管人有权随时对提示事项进行复查。基金管理人对基金托管人提示的违规事项未能在限期内纠正的，基金托管人应及时向中国证监会报告。</w:t>
      </w:r>
    </w:p>
    <w:p w:rsidR="008711D3" w:rsidRDefault="004479D9">
      <w:pPr>
        <w:spacing w:line="440" w:lineRule="exact"/>
        <w:ind w:firstLineChars="200" w:firstLine="420"/>
        <w:rPr>
          <w:rFonts w:ascii="宋体" w:hAnsi="宋体"/>
          <w:color w:val="000000"/>
          <w:szCs w:val="21"/>
        </w:rPr>
      </w:pPr>
      <w:r>
        <w:rPr>
          <w:rFonts w:ascii="宋体" w:hAnsi="宋体" w:hint="eastAsia"/>
          <w:color w:val="000000"/>
          <w:szCs w:val="21"/>
        </w:rPr>
        <w:t>D、基金托管人发现基金管理人的投资指令违反法律法规的规定及本协议的约定，应当拒绝执行，及时提示基金管理人，并依照法律法规的规定及时向中国证监会报告。基金托管人发现基金管理人依据交易程序已经生效的指令违反法律法规和其他有关规定，或者违反本协议约定的，应当及时提示基金管理人，并依照法律法规的规定及时向中国证监会报告。</w:t>
      </w:r>
    </w:p>
    <w:p w:rsidR="008711D3" w:rsidRDefault="004479D9">
      <w:pPr>
        <w:spacing w:line="440" w:lineRule="exact"/>
        <w:ind w:firstLineChars="200" w:firstLine="420"/>
        <w:rPr>
          <w:rFonts w:ascii="宋体" w:hAnsi="宋体"/>
          <w:szCs w:val="21"/>
        </w:rPr>
      </w:pPr>
      <w:r>
        <w:rPr>
          <w:rFonts w:ascii="宋体" w:hAnsi="宋体" w:hint="eastAsia"/>
          <w:color w:val="000000"/>
          <w:szCs w:val="21"/>
        </w:rPr>
        <w:t>E、基金管理人应积极配合和协助基金托管人的监督和核查，包括但不限于：在规定时间内答复基金托管人并改正，就基金托管人的疑义进行解释或举证，对基金托管人按照法规</w:t>
      </w:r>
      <w:r>
        <w:rPr>
          <w:rFonts w:ascii="宋体" w:hAnsi="宋体" w:hint="eastAsia"/>
          <w:color w:val="000000"/>
          <w:szCs w:val="21"/>
        </w:rPr>
        <w:lastRenderedPageBreak/>
        <w:t>要求需向中国证监会报送基金监督报告的，基金管理人应积极配合提供相关数据资料和制度等。</w:t>
      </w:r>
    </w:p>
    <w:p w:rsidR="008711D3" w:rsidRDefault="004479D9">
      <w:pPr>
        <w:spacing w:line="360" w:lineRule="auto"/>
        <w:rPr>
          <w:rFonts w:ascii="宋体" w:hAnsi="宋体"/>
          <w:b/>
          <w:bCs/>
          <w:szCs w:val="21"/>
        </w:rPr>
      </w:pPr>
      <w:r>
        <w:rPr>
          <w:rFonts w:ascii="宋体" w:hAnsi="宋体" w:hint="eastAsia"/>
          <w:b/>
          <w:bCs/>
          <w:szCs w:val="21"/>
        </w:rPr>
        <w:t>（三）基金管理人对基金托管人的业务核查</w:t>
      </w:r>
    </w:p>
    <w:p w:rsidR="008711D3" w:rsidRDefault="004479D9">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A、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或注销基金财产的资金账户、证券账户、期货结算账户及其他投资所需账户、复核基金管理人计算的各类基金份额的基金资产净值和基金份额净值、根据基金管理人指令办理清算交收、相关信息披露和监督基金投资运作等行为。</w:t>
      </w:r>
    </w:p>
    <w:p w:rsidR="008711D3" w:rsidRDefault="004479D9">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B、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rsidR="008711D3" w:rsidRDefault="004479D9">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C、基金托管人应积极配合基金管理人的核查行为，包括但不限于：提交相关资料以供基金管理人核查托管财产的完整性和真实性，在规定时间内答复基金管理人并改正。对基金管理人按照法规要求需向中国证监会提交基金监督报告的，基金托管人应积极配合提供相关数据资料和制度等。</w:t>
      </w:r>
    </w:p>
    <w:p w:rsidR="008711D3" w:rsidRDefault="004479D9">
      <w:pPr>
        <w:adjustRightInd w:val="0"/>
        <w:snapToGrid w:val="0"/>
        <w:spacing w:line="360" w:lineRule="auto"/>
        <w:rPr>
          <w:rFonts w:ascii="宋体" w:hAnsi="宋体"/>
          <w:b/>
          <w:bCs/>
          <w:szCs w:val="21"/>
        </w:rPr>
      </w:pPr>
      <w:r>
        <w:rPr>
          <w:rFonts w:ascii="宋体" w:hAnsi="宋体" w:hint="eastAsia"/>
          <w:b/>
          <w:bCs/>
          <w:szCs w:val="21"/>
        </w:rPr>
        <w:t>（四）基金财产的保管</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A、基金财产保管的原则</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1、基金财产应独立于基金管理人、基金托管人的固有财产。</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2、基金托管人应安全保管基金财产，未经基金管理人的合法合规指令或法律法规、《基金合同》及本协议另有规定，不得自行运用、处分、分配基金的任何财产。</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3、基金托管人按照规定开设基金财产的资金账户、证券账户、期货结算账户及其他投资所需账户。</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4、基金托管人对所托管的不同基金财产分别设置账户，分账管理，独立核算，确保基金财产的完整与独立。</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5、除依据《基金法》、《运作办法》、《基金合同》及其他有关法律法规规定外，基金托管人不得委托第三人托管基金财产。</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B、《基金合同》生效前募集资金的验资和入账</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1、基金募集期满或基金管理人依据法律法规及招募说明书决定停止基金发售时，募集的基金份额总额、基金募集金额、基金份额持有人人数符合《基金法》、《运作办法》等有关规定的，由基金管理人在法定期限内聘请符合《中华人民共和国证券法》规定的会计师事务</w:t>
      </w:r>
      <w:r>
        <w:rPr>
          <w:rFonts w:ascii="宋体" w:hAnsi="宋体" w:hint="eastAsia"/>
          <w:color w:val="000000"/>
          <w:szCs w:val="21"/>
        </w:rPr>
        <w:lastRenderedPageBreak/>
        <w:t>所进行验资，并出具验资报告。出具的验资报告应由参加验资的2名以上（含2名）中国注册会计师签字方为有效。</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2、基金管理人应将属于本基金财产的全部资金划入在基金托管人处为本基金开立的基金银行账户中，并确保划入的资金与验资确认金额相一致。</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C、基金的银行账户的开设和管理</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1、基金托管人应负责本基金的银行账户的开设和管理。</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3、本基金银行账户的开立和使用，限于满足开展本基金业务的需要。基金托管人和基金管理人不得假借本基金的名义开立其他任何银行账户；亦不得使用本基金的银行账户进行本基金业务以外的活动。</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4、基金银行账户的管理应符合法律法规的有关规定。</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D、基金进行定期存款投资的账户开设和管理</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基金管理人以基金名义开立存款账户，基金托管人负责该账户银行预留印鉴的保管和使用。在上述账户开立和账户相关信息变更过程中，基金管理人应提前向基金托管人提供开户或账户变更所需的相关资料。</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E、基金证券账户、结算备付金账户及其他投资账户的开设和管理</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1、基金托管人应当代表本基金，以基金托管人和本基金联名的方式在中国证券登记结算有限责任公司开设证券账户。</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2、本基金证券账户的开立和使用，限于满足开展本基金业务的需要。基金托管人和基金管理人不得出借或转让本基金的证券账户，亦不得使用本基金的证券账户进行本基金业务以外的活动。</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4、法律法规等有关规定对相关账户的开立和管理另有规定的，从其规定办理。</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F、其他账户的开设和管理</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在本托管协议生效日之后，本基金被允许从事其他投资品种的投资业务的，涉及相关账户的开设、使用的，按照有关规定办理；若无相关规定，则基金托管人应当比照上述关于账户开设、使用的规定。</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G、债券托管专户的开设和管理</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《基金合同》生效后，基金管理人负责以基金的名义申请并取得进入全国银行间同业拆借市场的交易资格，并代表基金进行交易；由基金管理人负责向中国人民银行报备，在上</w:t>
      </w:r>
      <w:r>
        <w:rPr>
          <w:rFonts w:ascii="宋体" w:hAnsi="宋体" w:hint="eastAsia"/>
          <w:color w:val="000000"/>
          <w:szCs w:val="21"/>
        </w:rPr>
        <w:lastRenderedPageBreak/>
        <w:t>述手续办理完毕之后，基金托管人负责以基金的名义在中央国债登记结算有限责任公司和银行间市场清算所股份有限公司开设银行间债券市场债券托管账户，并代表基金进行银行间债券市场债券和资金的清算。</w:t>
      </w:r>
    </w:p>
    <w:p w:rsidR="008711D3" w:rsidRDefault="004479D9">
      <w:pPr>
        <w:adjustRightInd w:val="0"/>
        <w:snapToGrid w:val="0"/>
        <w:spacing w:line="360" w:lineRule="auto"/>
        <w:ind w:firstLine="480"/>
        <w:rPr>
          <w:rFonts w:ascii="宋体" w:hAnsi="宋体"/>
          <w:szCs w:val="21"/>
        </w:rPr>
      </w:pPr>
      <w:r>
        <w:rPr>
          <w:rFonts w:ascii="宋体" w:hAnsi="宋体" w:hint="eastAsia"/>
          <w:szCs w:val="21"/>
        </w:rPr>
        <w:t>H、基金财产投资的有关有价凭证的保管</w:t>
      </w:r>
    </w:p>
    <w:p w:rsidR="008711D3" w:rsidRDefault="004479D9">
      <w:pPr>
        <w:adjustRightInd w:val="0"/>
        <w:snapToGrid w:val="0"/>
        <w:spacing w:line="360" w:lineRule="auto"/>
        <w:ind w:firstLine="480"/>
        <w:rPr>
          <w:rFonts w:ascii="宋体" w:hAnsi="宋体"/>
          <w:szCs w:val="21"/>
        </w:rPr>
      </w:pPr>
      <w:r>
        <w:rPr>
          <w:rFonts w:ascii="宋体" w:hAnsi="宋体" w:hint="eastAsia"/>
          <w:szCs w:val="21"/>
        </w:rPr>
        <w:t xml:space="preserve">基金财产投资的实物证券、银行定期存款存单等有价凭证由基金托管人负责妥善保管。基金托管人对其以外机构实际有效控制的有价凭证不承担责任。 </w:t>
      </w:r>
    </w:p>
    <w:p w:rsidR="008711D3" w:rsidRDefault="004479D9">
      <w:pPr>
        <w:adjustRightInd w:val="0"/>
        <w:snapToGrid w:val="0"/>
        <w:spacing w:line="360" w:lineRule="auto"/>
        <w:ind w:firstLine="480"/>
        <w:rPr>
          <w:rFonts w:ascii="宋体" w:hAnsi="宋体"/>
          <w:szCs w:val="21"/>
        </w:rPr>
      </w:pPr>
      <w:r>
        <w:rPr>
          <w:rFonts w:ascii="宋体" w:hAnsi="宋体" w:hint="eastAsia"/>
          <w:szCs w:val="21"/>
        </w:rPr>
        <w:t xml:space="preserve">I、与基金财产有关的重大合同及有关凭证的保管 </w:t>
      </w:r>
    </w:p>
    <w:p w:rsidR="008711D3" w:rsidRDefault="004479D9">
      <w:pPr>
        <w:adjustRightInd w:val="0"/>
        <w:snapToGrid w:val="0"/>
        <w:spacing w:line="360" w:lineRule="auto"/>
        <w:ind w:firstLine="480"/>
        <w:rPr>
          <w:rFonts w:ascii="宋体" w:hAnsi="宋体"/>
          <w:szCs w:val="21"/>
        </w:rPr>
      </w:pPr>
      <w:r>
        <w:rPr>
          <w:rFonts w:ascii="宋体" w:hAnsi="宋体" w:hint="eastAsia"/>
          <w:szCs w:val="21"/>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保管期限不低于法律法规规定的最低年限。</w:t>
      </w:r>
    </w:p>
    <w:p w:rsidR="008711D3" w:rsidRDefault="004479D9">
      <w:pPr>
        <w:adjustRightInd w:val="0"/>
        <w:snapToGrid w:val="0"/>
        <w:spacing w:line="360" w:lineRule="auto"/>
        <w:ind w:firstLine="480"/>
        <w:rPr>
          <w:rFonts w:ascii="宋体" w:hAnsi="宋体"/>
          <w:szCs w:val="21"/>
        </w:rPr>
      </w:pPr>
      <w:r>
        <w:rPr>
          <w:rFonts w:ascii="宋体" w:hAnsi="宋体" w:hint="eastAsia"/>
          <w:szCs w:val="21"/>
        </w:rPr>
        <w:t>对于无法取得两份以上的正本的，基金管理人应向基金托管人提供加盖公章的合同复印件，并确保复印件与原件一致。未经双方协商或未在合同约定范围内，合同原件不得转移。</w:t>
      </w:r>
    </w:p>
    <w:p w:rsidR="008711D3" w:rsidRDefault="004479D9">
      <w:pPr>
        <w:spacing w:line="360" w:lineRule="auto"/>
        <w:rPr>
          <w:rFonts w:ascii="宋体" w:hAnsi="宋体"/>
          <w:b/>
          <w:bCs/>
          <w:szCs w:val="21"/>
        </w:rPr>
      </w:pPr>
      <w:r>
        <w:rPr>
          <w:rFonts w:ascii="宋体" w:hAnsi="宋体" w:hint="eastAsia"/>
          <w:b/>
          <w:bCs/>
          <w:szCs w:val="21"/>
        </w:rPr>
        <w:t>（五）基金资产净值计算和会计核算</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A、基金资产净值的计算和复核</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1、基金资产净值是指基金资产总值减去基金负债后的价值。各类基金份额净值是指以计算日该类基金资产净值除以计算日该类基金份额余额所得的单位基金份额的价值。本基金A类基金份额和C类基金份额将分别计算基金份额净值。</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2、基金管理人应每个估值日对基金资产估值，但基金管理人根据法律法规或《基金合同》的规定暂停估值时除外。估值原则应符合《基金合同》、《证券投资基金会计核算业务指引》及其他法律法规的规定。基金净值信息由基金管理人负责计算，基金托管人复核。基金管理人应于每个估值日结束后计算得出当日的各类基金份额净值，并以双方约定的方式发送给基金托管人。基金托管人应对净值计算结果进行复核，并以双方约定的方式将复核结果传送给基金管理人，由基金管理人按规定对外公布。月末、年中和年末估值复核与基金会计账目的核对同时进行。</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3、当相关法律法规或《基金合同》规定的估值方法不能客观反映基金财产公允价值时，基金管理人可根据具体情况，并与基金托管人商定后，按最能反映公允价值的价格估值。</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4、基金管理人、基金托管人发现基金估值违反《基金合同》订明的估值方法、程序以及相关法律法规的规定或者未能充分维护基金份额持有人利益时，双方应及时进行协商和纠正。</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5、当基金资产的估值导致任一类别的基金份额净值小数点后四位（含第四位）内发生估值错误时，视为该类基金份额净值估值错误。当基金份额净值出现错误时，基金管理人应</w:t>
      </w:r>
      <w:r>
        <w:rPr>
          <w:rFonts w:ascii="宋体" w:hAnsi="宋体" w:hint="eastAsia"/>
          <w:color w:val="000000"/>
          <w:szCs w:val="21"/>
        </w:rPr>
        <w:lastRenderedPageBreak/>
        <w:t>当立即予以纠正，通报基金托管人，并采取合理的措施防止损失进一步扩大；当计价错误达到该类基金份额净值的0.25%时，基金管理人应当通知基金托管人并报中国证监会备案；当计价错误达到该类基金份额净值的0.5%时，基金管理人应当通知基金托管人并报中国证监会备案的同时，及时进行公告。如法律法规或监管机构对前述内容另有规定的，按其规定处理。</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6、除基金合同和本协议另有约定外，由于基金管理人对外公布的任何基金净值数据错误，导致该基金财产或基金份额持有人的直接损失，基金管理人应依据基金合同及本协议的约定承担责任。若基金托管人计算的净值数据正确，则基金托管人对该损失不承担责任；若基金托管人计算的净值数据也不正确，则基金托管人也应承担未正确履行复核义务的责任。如果上述错误造成了基金财产或基金份额持有人的不当得利，且基金管理人及基金托管人已各自承担了赔偿责任，则基金管理人应负责向不当得利之主体主张返还不当得利，基金托管人应提供必要的协助。如果返还金额不足以弥补基金管理人和基金托管人已承担的赔偿金额，则双方按照各自赔偿金额的比例对返还金额进行分配。</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7、由于不可抗力原因，或由于证券、期货交易所、第三方估值机构及登记结算公司发送的数据错误等，或国家会计政策变更、市场规则变更等非基金管理人和基金托管人原因，基金管理人和基金托管人虽然已经采取必要、适当、合理的措施进行检查，仍未能发现该错误的，由此造成的基金资产估值错误，基金管理人和基金托管人免除赔偿责任。但基金管理人和基金托管人应当积极采取必要的措施消除或减轻由此造成的影响。</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8、如果基金托管人的复核结果与基金管理人的计算结果存在差异，且双方经协商未能达成一致，基金管理人可以按照其对各类基金份额净值的计算结果对外予以公布，基金托管人可以将相关情况报中国证监会备案。</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B、基金会计核算</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1、基金账册的建立</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2、会计数据和财务指标的核对</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基金管理人和基金托管人应定期就会计数据和财务指标进行核对。如发现存在不符，双方应及时查明原因并纠正。</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3、基金财务报表和定期报告的编制和复核</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基金财务报表由基金管理人和基金托管人每月分别独立编制。月度报表的编制，应于每月终了后5个工作日内完成；</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在《基金合同》生效后，基金招募说明书的信息发生重大变更的，基金管理人应当在三</w:t>
      </w:r>
      <w:r>
        <w:rPr>
          <w:rFonts w:ascii="宋体" w:hAnsi="宋体" w:hint="eastAsia"/>
          <w:color w:val="000000"/>
          <w:szCs w:val="21"/>
        </w:rPr>
        <w:lastRenderedPageBreak/>
        <w:t>个工作日内，更新基金招募说明书并登载在规定网站上；基金招募说明书其他信息发生变更的，基金管理人至少每年更新一次。基金终止运作的，基金管理人不再更新基金招募说明书。</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基金管理人应当在季度结束之日起15个工作日内，编制完成基金季度报告，将季度报告登载在规定网站上，并将季度报告提示性公告登载在规定报刊上；基金管理人应当在上半年结束之日起两个月内，编制完成基金中期报告，将中期报告登载在规定网站上，并将中期报告提示性公告登载在规定报刊上；基金管理人应当在每年结束之日起三个月内，编制完成基金年度报告，将年度报告登载在规定网站上，并将年度报告提示性公告登载在规定报刊上。</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《基金合同》生效不足两个月的，基金管理人可以不编制当期季度报告、中期报告或者年度报告。</w:t>
      </w:r>
    </w:p>
    <w:p w:rsidR="008711D3" w:rsidRDefault="004479D9">
      <w:pPr>
        <w:adjustRightInd w:val="0"/>
        <w:snapToGrid w:val="0"/>
        <w:spacing w:line="360" w:lineRule="auto"/>
        <w:ind w:firstLine="480"/>
        <w:rPr>
          <w:rFonts w:ascii="宋体" w:hAnsi="宋体"/>
          <w:color w:val="000000"/>
          <w:szCs w:val="21"/>
        </w:rPr>
      </w:pPr>
      <w:r>
        <w:rPr>
          <w:rFonts w:ascii="宋体" w:hAnsi="宋体" w:hint="eastAsia"/>
          <w:color w:val="000000"/>
          <w:szCs w:val="21"/>
        </w:rPr>
        <w:t>基金管理人应及时完成报表编制，将有关报表提供给基金托管人复核，基金托管人在收到后应及时进行复核，并将复核结果书面通知基金管理人；基金管理人应留足充分的时间，便于基金托管人复核相关报表及报告。</w:t>
      </w:r>
    </w:p>
    <w:p w:rsidR="008711D3" w:rsidRDefault="004479D9">
      <w:pPr>
        <w:adjustRightInd w:val="0"/>
        <w:snapToGrid w:val="0"/>
        <w:spacing w:line="360" w:lineRule="auto"/>
        <w:ind w:firstLine="480"/>
        <w:rPr>
          <w:szCs w:val="21"/>
        </w:rPr>
      </w:pPr>
      <w:r>
        <w:rPr>
          <w:rFonts w:ascii="宋体" w:hAnsi="宋体" w:hint="eastAsia"/>
          <w:color w:val="000000"/>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8711D3" w:rsidRDefault="004479D9">
      <w:pPr>
        <w:spacing w:line="360" w:lineRule="auto"/>
        <w:rPr>
          <w:rFonts w:ascii="宋体" w:hAnsi="宋体"/>
          <w:b/>
          <w:szCs w:val="21"/>
        </w:rPr>
      </w:pPr>
      <w:r>
        <w:rPr>
          <w:rFonts w:ascii="宋体" w:hAnsi="宋体" w:hint="eastAsia"/>
          <w:b/>
          <w:szCs w:val="21"/>
        </w:rPr>
        <w:t>（六）基金份额持有人名册的保管</w:t>
      </w:r>
    </w:p>
    <w:p w:rsidR="008711D3" w:rsidRDefault="004479D9">
      <w:pPr>
        <w:spacing w:line="360" w:lineRule="auto"/>
        <w:ind w:firstLineChars="200" w:firstLine="420"/>
        <w:rPr>
          <w:rFonts w:ascii="宋体" w:hAnsi="宋体"/>
          <w:color w:val="000000"/>
          <w:szCs w:val="21"/>
        </w:rPr>
      </w:pPr>
      <w:r>
        <w:rPr>
          <w:rFonts w:ascii="宋体" w:hAnsi="宋体" w:hint="eastAsia"/>
          <w:color w:val="000000"/>
          <w:szCs w:val="21"/>
        </w:rPr>
        <w:t>根据《基金法》及其他有关法律法规，基金份额持有人名册的编制及持续保管义务由登记结算机构承担。基金份额持有人名册的内容至少应包括基金份额持有人的名称和持有的基金份额。基金份额持有人名册由基金登记结算机构提供，基金管理人和基金托管人应分别保管基金份额持有人名册，保存期限不低于法律法规规定的最低年限。如不能妥善保管，则按相关法律法规规定承担责任。</w:t>
      </w:r>
    </w:p>
    <w:p w:rsidR="008711D3" w:rsidRDefault="004479D9">
      <w:pPr>
        <w:spacing w:line="360" w:lineRule="auto"/>
        <w:ind w:firstLineChars="200" w:firstLine="420"/>
        <w:rPr>
          <w:bCs/>
          <w:szCs w:val="21"/>
        </w:rPr>
      </w:pPr>
      <w:r>
        <w:rPr>
          <w:rFonts w:ascii="宋体" w:hAnsi="宋体" w:hint="eastAsia"/>
          <w:color w:val="000000"/>
          <w:szCs w:val="21"/>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8711D3" w:rsidRDefault="004479D9">
      <w:pPr>
        <w:spacing w:line="360" w:lineRule="auto"/>
        <w:rPr>
          <w:rFonts w:ascii="宋体" w:hAnsi="宋体"/>
          <w:b/>
          <w:szCs w:val="21"/>
        </w:rPr>
      </w:pPr>
      <w:r>
        <w:rPr>
          <w:rFonts w:ascii="宋体" w:hAnsi="宋体" w:hint="eastAsia"/>
          <w:b/>
          <w:szCs w:val="21"/>
        </w:rPr>
        <w:t>（七）争议解决方式</w:t>
      </w:r>
    </w:p>
    <w:p w:rsidR="008711D3" w:rsidRDefault="004479D9">
      <w:pPr>
        <w:spacing w:line="360" w:lineRule="auto"/>
        <w:ind w:firstLineChars="200" w:firstLine="420"/>
        <w:rPr>
          <w:rFonts w:ascii="宋体" w:hAnsi="宋体"/>
          <w:szCs w:val="21"/>
        </w:rPr>
      </w:pPr>
      <w:r>
        <w:rPr>
          <w:rFonts w:ascii="宋体" w:hAnsi="宋体" w:hint="eastAsia"/>
          <w:szCs w:val="21"/>
        </w:rPr>
        <w:t>A、本协议适用中华人民共和国法律（为本协议之目的，不包括香港特别行政区、澳门特别行政区和台湾地区法律）并从其解释。</w:t>
      </w:r>
    </w:p>
    <w:p w:rsidR="008711D3" w:rsidRDefault="004479D9">
      <w:pPr>
        <w:spacing w:line="360" w:lineRule="auto"/>
        <w:ind w:firstLineChars="200" w:firstLine="420"/>
        <w:rPr>
          <w:rFonts w:ascii="宋体" w:hAnsi="宋体"/>
          <w:szCs w:val="21"/>
        </w:rPr>
      </w:pPr>
      <w:r>
        <w:rPr>
          <w:rFonts w:ascii="宋体" w:hAnsi="宋体" w:hint="eastAsia"/>
          <w:szCs w:val="21"/>
        </w:rPr>
        <w:t>B、基金管理人与基金托管人之间因本协议产生的或与本协议有关的争议可通过友好协商解决。协商、调解不能解决的任何一方有权将争议提交位于北京市的中国国际经济贸易仲</w:t>
      </w:r>
      <w:r>
        <w:rPr>
          <w:rFonts w:ascii="宋体" w:hAnsi="宋体" w:hint="eastAsia"/>
          <w:szCs w:val="21"/>
        </w:rPr>
        <w:lastRenderedPageBreak/>
        <w:t>裁委员会，并按其届时有效的仲裁规则进行仲裁。仲裁裁决是终局的，对仲裁各方当事人均具有约束力。仲裁费用由败诉方承担，除非仲裁裁决另有决定。</w:t>
      </w:r>
    </w:p>
    <w:p w:rsidR="008711D3" w:rsidRDefault="004479D9">
      <w:pPr>
        <w:spacing w:line="360" w:lineRule="auto"/>
        <w:ind w:firstLineChars="200" w:firstLine="420"/>
        <w:rPr>
          <w:rFonts w:ascii="宋体" w:hAnsi="宋体"/>
          <w:szCs w:val="21"/>
        </w:rPr>
      </w:pPr>
      <w:r>
        <w:rPr>
          <w:rFonts w:ascii="宋体" w:hAnsi="宋体" w:hint="eastAsia"/>
          <w:szCs w:val="21"/>
        </w:rPr>
        <w:t>C、除争议所涉的内容之外，本协议的当事人仍应履行本协议的其他规定。</w:t>
      </w:r>
    </w:p>
    <w:p w:rsidR="008711D3" w:rsidRDefault="004479D9">
      <w:pPr>
        <w:spacing w:line="360" w:lineRule="auto"/>
        <w:rPr>
          <w:rFonts w:ascii="宋体" w:hAnsi="宋体"/>
          <w:b/>
          <w:szCs w:val="21"/>
        </w:rPr>
      </w:pPr>
      <w:r>
        <w:rPr>
          <w:rFonts w:ascii="宋体" w:hAnsi="宋体" w:hint="eastAsia"/>
          <w:b/>
          <w:szCs w:val="21"/>
        </w:rPr>
        <w:t>（八）托管协议的变更、终止与基金财产的清算</w:t>
      </w:r>
    </w:p>
    <w:p w:rsidR="008711D3" w:rsidRDefault="004479D9">
      <w:pPr>
        <w:adjustRightInd w:val="0"/>
        <w:snapToGrid w:val="0"/>
        <w:spacing w:line="360" w:lineRule="auto"/>
        <w:ind w:firstLineChars="200" w:firstLine="420"/>
        <w:rPr>
          <w:rFonts w:ascii="宋体" w:hAnsi="宋体"/>
          <w:color w:val="000000"/>
          <w:szCs w:val="21"/>
        </w:rPr>
      </w:pPr>
      <w:bookmarkStart w:id="168" w:name="_Toc334542969"/>
      <w:bookmarkStart w:id="169" w:name="_Toc334542653"/>
      <w:bookmarkStart w:id="170" w:name="_Toc329187130"/>
      <w:r>
        <w:rPr>
          <w:rFonts w:ascii="宋体" w:hAnsi="宋体" w:hint="eastAsia"/>
          <w:color w:val="000000"/>
          <w:szCs w:val="21"/>
        </w:rPr>
        <w:t>A、托管协议的变更</w:t>
      </w:r>
    </w:p>
    <w:p w:rsidR="008711D3" w:rsidRDefault="004479D9">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本协议双方当事人经协商一致，可以对协议进行变更。变更后的新协议，其内容不得与《基金合同》的规定有任何冲突。变更后的新协议须报中国证监会备案。本协议约定事项如与法律法规、《基金合同》的规定相冲突的，应以法律法规及《基金合同》的规定为准。</w:t>
      </w:r>
    </w:p>
    <w:p w:rsidR="008711D3" w:rsidRDefault="004479D9">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B、托管协议的终止</w:t>
      </w:r>
    </w:p>
    <w:p w:rsidR="008711D3" w:rsidRDefault="004479D9">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发生以下情况，经履行适当程序后本托管协议应当终止：</w:t>
      </w:r>
    </w:p>
    <w:p w:rsidR="008711D3" w:rsidRDefault="004479D9">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1、《基金合同》终止；</w:t>
      </w:r>
    </w:p>
    <w:p w:rsidR="008711D3" w:rsidRDefault="004479D9">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2、本基金更换基金托管人；</w:t>
      </w:r>
    </w:p>
    <w:p w:rsidR="008711D3" w:rsidRDefault="004479D9">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3、本基金更换基金管理人；</w:t>
      </w:r>
    </w:p>
    <w:p w:rsidR="008711D3" w:rsidRDefault="004479D9">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4、发生《基金法》、《运作办法》或其他法律法规规定、中国证监会规定或《基金合同》约定的终止事项。</w:t>
      </w:r>
    </w:p>
    <w:p w:rsidR="008711D3" w:rsidRDefault="004479D9">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C、基金财产的清算</w:t>
      </w:r>
    </w:p>
    <w:p w:rsidR="008711D3" w:rsidRDefault="004479D9">
      <w:pPr>
        <w:adjustRightInd w:val="0"/>
        <w:snapToGrid w:val="0"/>
        <w:spacing w:line="360" w:lineRule="auto"/>
        <w:ind w:firstLineChars="200" w:firstLine="420"/>
        <w:rPr>
          <w:rFonts w:ascii="宋体" w:hAnsi="宋体"/>
          <w:b/>
          <w:bCs/>
          <w:color w:val="000000"/>
          <w:kern w:val="44"/>
          <w:sz w:val="20"/>
          <w:szCs w:val="21"/>
          <w:lang w:val="zh-CN"/>
        </w:rPr>
      </w:pPr>
      <w:r>
        <w:rPr>
          <w:rFonts w:ascii="宋体" w:hAnsi="宋体" w:hint="eastAsia"/>
          <w:color w:val="000000"/>
          <w:szCs w:val="21"/>
        </w:rPr>
        <w:t>基金管理人和基金托管人应按照《基金合同》及有关法律法规的规定对本基金的财产进行清算。</w:t>
      </w:r>
      <w:r>
        <w:rPr>
          <w:rFonts w:hAnsi="宋体"/>
          <w:bCs/>
          <w:kern w:val="44"/>
          <w:szCs w:val="21"/>
        </w:rPr>
        <w:br w:type="page"/>
      </w:r>
    </w:p>
    <w:p w:rsidR="008711D3" w:rsidRDefault="004479D9">
      <w:pPr>
        <w:pStyle w:val="1"/>
        <w:spacing w:before="0" w:after="330"/>
        <w:jc w:val="center"/>
        <w:rPr>
          <w:rFonts w:hAnsi="宋体"/>
          <w:bCs/>
          <w:color w:val="auto"/>
          <w:kern w:val="44"/>
          <w:sz w:val="21"/>
          <w:szCs w:val="21"/>
        </w:rPr>
      </w:pPr>
      <w:bookmarkStart w:id="171" w:name="_Toc71748079"/>
      <w:r>
        <w:rPr>
          <w:rFonts w:hAnsi="宋体" w:hint="eastAsia"/>
          <w:bCs/>
          <w:color w:val="auto"/>
          <w:kern w:val="44"/>
          <w:sz w:val="21"/>
          <w:szCs w:val="21"/>
        </w:rPr>
        <w:lastRenderedPageBreak/>
        <w:t>二十一、对基金份额持有人的服务</w:t>
      </w:r>
      <w:bookmarkEnd w:id="168"/>
      <w:bookmarkEnd w:id="169"/>
      <w:bookmarkEnd w:id="170"/>
      <w:bookmarkEnd w:id="171"/>
    </w:p>
    <w:p w:rsidR="008711D3" w:rsidRDefault="004479D9">
      <w:pPr>
        <w:autoSpaceDE w:val="0"/>
        <w:autoSpaceDN w:val="0"/>
        <w:adjustRightInd w:val="0"/>
        <w:spacing w:line="360" w:lineRule="auto"/>
        <w:ind w:firstLine="420"/>
        <w:jc w:val="left"/>
        <w:rPr>
          <w:rFonts w:ascii="宋体" w:hAnsi="宋体" w:cs="宋体"/>
          <w:kern w:val="0"/>
          <w:szCs w:val="21"/>
        </w:rPr>
      </w:pPr>
      <w:bookmarkStart w:id="172" w:name="_Toc334542970"/>
      <w:bookmarkStart w:id="173" w:name="_Toc334542654"/>
      <w:bookmarkStart w:id="174" w:name="_Toc329187131"/>
      <w:r>
        <w:rPr>
          <w:rFonts w:ascii="宋体" w:hAnsi="宋体" w:cs="宋体" w:hint="eastAsia"/>
          <w:kern w:val="0"/>
          <w:szCs w:val="21"/>
        </w:rPr>
        <w:t>基金管理人承诺为基金份额持有人提供一系列的服务，并将根据基金份额持有人的需要和市场的变化，增加或变更服务项目。主要服务内容如下：</w:t>
      </w:r>
    </w:p>
    <w:p w:rsidR="008711D3" w:rsidRDefault="004479D9">
      <w:pPr>
        <w:spacing w:line="360" w:lineRule="auto"/>
        <w:rPr>
          <w:rFonts w:ascii="宋体" w:hAnsi="宋体"/>
          <w:b/>
          <w:bCs/>
          <w:szCs w:val="21"/>
        </w:rPr>
      </w:pPr>
      <w:r>
        <w:rPr>
          <w:rFonts w:ascii="宋体" w:hAnsi="宋体" w:hint="eastAsia"/>
          <w:b/>
          <w:bCs/>
          <w:szCs w:val="21"/>
        </w:rPr>
        <w:t>（一）资料寄送/发送</w:t>
      </w:r>
    </w:p>
    <w:p w:rsidR="008711D3" w:rsidRDefault="004479D9">
      <w:pPr>
        <w:spacing w:line="360" w:lineRule="auto"/>
        <w:ind w:firstLineChars="200" w:firstLine="420"/>
        <w:rPr>
          <w:rFonts w:ascii="宋体" w:hAnsi="宋体"/>
          <w:bCs/>
          <w:szCs w:val="21"/>
        </w:rPr>
      </w:pPr>
      <w:r>
        <w:rPr>
          <w:rFonts w:ascii="宋体" w:hAnsi="宋体" w:hint="eastAsia"/>
          <w:bCs/>
          <w:szCs w:val="21"/>
        </w:rPr>
        <w:t>1、开户确认书和交易对账单</w:t>
      </w:r>
    </w:p>
    <w:p w:rsidR="008711D3" w:rsidRDefault="004479D9">
      <w:pPr>
        <w:spacing w:line="360" w:lineRule="auto"/>
        <w:ind w:firstLineChars="200" w:firstLine="420"/>
        <w:rPr>
          <w:rFonts w:ascii="宋体" w:hAnsi="宋体"/>
          <w:bCs/>
          <w:szCs w:val="21"/>
        </w:rPr>
      </w:pPr>
      <w:r>
        <w:rPr>
          <w:rFonts w:ascii="宋体" w:hAnsi="宋体" w:hint="eastAsia"/>
          <w:bCs/>
          <w:szCs w:val="21"/>
        </w:rPr>
        <w:t>首次基金交易（除基金开户外其他交易类型）后的15个工作日内向基金份额持有人寄送或邮件发送开户确认书和交易对账单。</w:t>
      </w:r>
    </w:p>
    <w:p w:rsidR="008711D3" w:rsidRDefault="004479D9">
      <w:pPr>
        <w:spacing w:line="360" w:lineRule="auto"/>
        <w:ind w:firstLineChars="200" w:firstLine="420"/>
        <w:rPr>
          <w:rFonts w:ascii="宋体" w:hAnsi="宋体"/>
          <w:bCs/>
          <w:szCs w:val="21"/>
        </w:rPr>
      </w:pPr>
      <w:r>
        <w:rPr>
          <w:rFonts w:ascii="宋体" w:hAnsi="宋体" w:hint="eastAsia"/>
          <w:bCs/>
          <w:szCs w:val="21"/>
        </w:rPr>
        <w:t>2、基金份额持有人对账单</w:t>
      </w:r>
    </w:p>
    <w:p w:rsidR="008711D3" w:rsidRDefault="004479D9">
      <w:pPr>
        <w:spacing w:line="360" w:lineRule="auto"/>
        <w:ind w:firstLineChars="200" w:firstLine="420"/>
        <w:rPr>
          <w:rFonts w:ascii="宋体" w:hAnsi="宋体"/>
          <w:bCs/>
          <w:szCs w:val="21"/>
        </w:rPr>
      </w:pPr>
      <w:r>
        <w:rPr>
          <w:rFonts w:ascii="宋体" w:hAnsi="宋体" w:hint="eastAsia"/>
          <w:bCs/>
          <w:szCs w:val="21"/>
        </w:rPr>
        <w:t>基金管理人在每年第1-3季度结束后向定制纸质对账单且在季度内有交易的投资者寄送季度对账单，在每年第4季度结束后向定制纸质对账单且季度内有交易或最后一个交易日仍持有份额的投资者寄送年度对账单；每月向定制电子对帐单服务的份额持有人发送电子对帐单。</w:t>
      </w:r>
    </w:p>
    <w:p w:rsidR="008711D3" w:rsidRDefault="004479D9">
      <w:pPr>
        <w:spacing w:line="360" w:lineRule="auto"/>
        <w:ind w:firstLineChars="200" w:firstLine="420"/>
        <w:rPr>
          <w:rFonts w:ascii="宋体" w:hAnsi="宋体"/>
          <w:bCs/>
          <w:szCs w:val="21"/>
        </w:rPr>
      </w:pPr>
      <w:r>
        <w:rPr>
          <w:rFonts w:ascii="宋体" w:hAnsi="宋体" w:hint="eastAsia"/>
          <w:bCs/>
          <w:szCs w:val="21"/>
        </w:rPr>
        <w:t>3、由于投资者提供的邮寄地址、手机号码、电子邮箱不详、错误、未及时变更或邮局投递差错、通讯故障、延误等原因有可能造成对账单无法按时或准确送达。因上述原因无法正常收取对账单的投资者，敬请及时通过本公司网站，或拨打本公司客服热线查询、核对、变更您的预留联系方式。</w:t>
      </w:r>
    </w:p>
    <w:p w:rsidR="008711D3" w:rsidRDefault="004479D9">
      <w:pPr>
        <w:spacing w:line="360" w:lineRule="auto"/>
        <w:rPr>
          <w:rFonts w:ascii="宋体" w:hAnsi="宋体"/>
          <w:b/>
          <w:bCs/>
          <w:szCs w:val="21"/>
        </w:rPr>
      </w:pPr>
      <w:r>
        <w:rPr>
          <w:rFonts w:ascii="宋体" w:hAnsi="宋体" w:hint="eastAsia"/>
          <w:b/>
          <w:bCs/>
          <w:szCs w:val="21"/>
        </w:rPr>
        <w:t>（二）定期定额投资计划</w:t>
      </w:r>
    </w:p>
    <w:p w:rsidR="008711D3" w:rsidRDefault="004479D9">
      <w:pPr>
        <w:autoSpaceDE w:val="0"/>
        <w:autoSpaceDN w:val="0"/>
        <w:adjustRightInd w:val="0"/>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基金管理人可通过销售机构为投资者提供定期定额投资服务。通过定期定额投资计划，投资者可以通过销售渠道定期定额申购基金份额。定期定额投资计划的有关规则另行公告。</w:t>
      </w:r>
      <w:r>
        <w:rPr>
          <w:rFonts w:ascii="宋体" w:hAnsi="宋体" w:cs="宋体"/>
          <w:color w:val="000000"/>
          <w:kern w:val="0"/>
          <w:szCs w:val="21"/>
        </w:rPr>
        <w:t xml:space="preserve"> </w:t>
      </w:r>
    </w:p>
    <w:p w:rsidR="008711D3" w:rsidRDefault="004479D9">
      <w:pPr>
        <w:spacing w:line="360" w:lineRule="auto"/>
        <w:rPr>
          <w:rFonts w:ascii="宋体" w:hAnsi="宋体"/>
          <w:b/>
          <w:bCs/>
          <w:szCs w:val="21"/>
        </w:rPr>
      </w:pPr>
      <w:r>
        <w:rPr>
          <w:rFonts w:ascii="宋体" w:hAnsi="宋体" w:hint="eastAsia"/>
          <w:b/>
          <w:bCs/>
          <w:szCs w:val="21"/>
        </w:rPr>
        <w:t>（三）在线服务</w:t>
      </w:r>
    </w:p>
    <w:p w:rsidR="008711D3" w:rsidRDefault="004479D9">
      <w:pPr>
        <w:autoSpaceDE w:val="0"/>
        <w:autoSpaceDN w:val="0"/>
        <w:adjustRightInd w:val="0"/>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通过本公司网站www.jsfund.cn，基金份额持有人还可获得如下服务：</w:t>
      </w:r>
    </w:p>
    <w:p w:rsidR="008711D3" w:rsidRDefault="004479D9">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、查询服务</w:t>
      </w:r>
    </w:p>
    <w:p w:rsidR="008711D3" w:rsidRDefault="004479D9">
      <w:pPr>
        <w:autoSpaceDE w:val="0"/>
        <w:autoSpaceDN w:val="0"/>
        <w:adjustRightInd w:val="0"/>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基金份额持有人均可通过基金管理人网站实现基金交易查询、账户信息查询和基金信息查询。</w:t>
      </w:r>
    </w:p>
    <w:p w:rsidR="008711D3" w:rsidRDefault="004479D9">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、信息资讯服务</w:t>
      </w:r>
    </w:p>
    <w:p w:rsidR="008711D3" w:rsidRDefault="004479D9">
      <w:pPr>
        <w:autoSpaceDE w:val="0"/>
        <w:autoSpaceDN w:val="0"/>
        <w:adjustRightInd w:val="0"/>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投资者可以利用基金管理人网站获取基金和基金管理人的各类信息，包括基金的法律文件、业绩报告及基金管理人最新动态等资料。</w:t>
      </w:r>
    </w:p>
    <w:p w:rsidR="008711D3" w:rsidRDefault="004479D9">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、网上交易</w:t>
      </w:r>
    </w:p>
    <w:p w:rsidR="008711D3" w:rsidRDefault="004479D9">
      <w:pPr>
        <w:autoSpaceDE w:val="0"/>
        <w:autoSpaceDN w:val="0"/>
        <w:adjustRightInd w:val="0"/>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lastRenderedPageBreak/>
        <w:t>本基金管理人已开通</w:t>
      </w:r>
      <w:r>
        <w:rPr>
          <w:rFonts w:ascii="宋体" w:hAnsi="宋体" w:hint="eastAsia"/>
          <w:color w:val="000000"/>
          <w:szCs w:val="21"/>
        </w:rPr>
        <w:t>个人和机构投资者的网上直销交易业务。个人和机构投资者</w:t>
      </w:r>
      <w:r>
        <w:rPr>
          <w:rFonts w:ascii="宋体" w:hAnsi="宋体" w:cs="宋体" w:hint="eastAsia"/>
          <w:color w:val="000000"/>
          <w:kern w:val="0"/>
          <w:szCs w:val="21"/>
        </w:rPr>
        <w:t xml:space="preserve">通过基金管理人网站 </w:t>
      </w:r>
      <w:r>
        <w:rPr>
          <w:rFonts w:ascii="宋体" w:hAnsi="宋体" w:cs="Arial"/>
          <w:color w:val="000000"/>
          <w:kern w:val="0"/>
          <w:szCs w:val="21"/>
        </w:rPr>
        <w:t>www.jsfund.cn</w:t>
      </w:r>
      <w:r>
        <w:rPr>
          <w:rFonts w:ascii="宋体" w:hAnsi="宋体" w:cs="宋体"/>
          <w:color w:val="000000"/>
          <w:kern w:val="0"/>
          <w:szCs w:val="21"/>
        </w:rPr>
        <w:t xml:space="preserve"> </w:t>
      </w:r>
      <w:r>
        <w:rPr>
          <w:rFonts w:ascii="宋体" w:hAnsi="宋体" w:cs="宋体" w:hint="eastAsia"/>
          <w:color w:val="000000"/>
          <w:kern w:val="0"/>
          <w:szCs w:val="21"/>
        </w:rPr>
        <w:t>可以办理基金认购、申购、赎回、账户资料修改、交易密码修改、交易申请查询和账户资料查询等各类业务。</w:t>
      </w:r>
    </w:p>
    <w:p w:rsidR="008711D3" w:rsidRDefault="004479D9">
      <w:pPr>
        <w:spacing w:line="360" w:lineRule="auto"/>
        <w:rPr>
          <w:rFonts w:ascii="宋体" w:hAnsi="宋体"/>
          <w:b/>
          <w:bCs/>
          <w:szCs w:val="21"/>
        </w:rPr>
      </w:pPr>
      <w:r>
        <w:rPr>
          <w:rFonts w:ascii="宋体" w:hAnsi="宋体" w:hint="eastAsia"/>
          <w:b/>
          <w:bCs/>
          <w:szCs w:val="21"/>
        </w:rPr>
        <w:t>（四）咨询服务</w:t>
      </w:r>
    </w:p>
    <w:p w:rsidR="008711D3" w:rsidRDefault="004479D9">
      <w:pPr>
        <w:autoSpaceDE w:val="0"/>
        <w:autoSpaceDN w:val="0"/>
        <w:adjustRightInd w:val="0"/>
        <w:spacing w:line="360" w:lineRule="auto"/>
        <w:ind w:firstLineChars="150" w:firstLine="315"/>
        <w:jc w:val="left"/>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、投资者或基金份额持有人如果想了解申购与赎回的交易情况、基金账户余额、基金产品与服务等信息，可拨打基金管理人全国统一客服电话：</w:t>
      </w:r>
      <w:r>
        <w:rPr>
          <w:rFonts w:ascii="宋体" w:hAnsi="宋体" w:cs="Arial"/>
          <w:color w:val="000000"/>
          <w:kern w:val="0"/>
          <w:szCs w:val="21"/>
        </w:rPr>
        <w:t>400-600-8800</w:t>
      </w:r>
      <w:r>
        <w:rPr>
          <w:rFonts w:ascii="宋体" w:hAnsi="宋体" w:cs="Arial" w:hint="eastAsia"/>
          <w:color w:val="000000"/>
          <w:szCs w:val="21"/>
        </w:rPr>
        <w:t>（免长途话费）、(010)85712266</w:t>
      </w:r>
      <w:r>
        <w:rPr>
          <w:rFonts w:ascii="宋体" w:hAnsi="宋体" w:cs="宋体" w:hint="eastAsia"/>
          <w:color w:val="000000"/>
          <w:kern w:val="0"/>
          <w:szCs w:val="21"/>
        </w:rPr>
        <w:t>，传真：</w:t>
      </w:r>
      <w:r>
        <w:rPr>
          <w:rFonts w:ascii="宋体" w:hAnsi="宋体" w:cs="Arial"/>
          <w:color w:val="000000"/>
          <w:kern w:val="0"/>
          <w:szCs w:val="21"/>
        </w:rPr>
        <w:t>（010）65182266</w:t>
      </w:r>
      <w:r>
        <w:rPr>
          <w:rFonts w:ascii="宋体" w:hAnsi="宋体" w:cs="宋体" w:hint="eastAsia"/>
          <w:color w:val="000000"/>
          <w:kern w:val="0"/>
          <w:szCs w:val="21"/>
        </w:rPr>
        <w:t>。</w:t>
      </w:r>
    </w:p>
    <w:p w:rsidR="008711D3" w:rsidRDefault="004479D9">
      <w:pPr>
        <w:autoSpaceDE w:val="0"/>
        <w:autoSpaceDN w:val="0"/>
        <w:adjustRightInd w:val="0"/>
        <w:spacing w:line="360" w:lineRule="auto"/>
        <w:ind w:firstLineChars="150" w:firstLine="315"/>
        <w:jc w:val="left"/>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、网站和电子信箱</w:t>
      </w:r>
    </w:p>
    <w:p w:rsidR="008711D3" w:rsidRDefault="004479D9">
      <w:pPr>
        <w:autoSpaceDE w:val="0"/>
        <w:autoSpaceDN w:val="0"/>
        <w:adjustRightInd w:val="0"/>
        <w:spacing w:line="360" w:lineRule="auto"/>
        <w:ind w:firstLine="315"/>
        <w:jc w:val="left"/>
        <w:rPr>
          <w:rFonts w:ascii="宋体" w:hAnsi="宋体" w:cs="Arial"/>
          <w:color w:val="000000"/>
          <w:kern w:val="0"/>
          <w:szCs w:val="21"/>
        </w:rPr>
      </w:pPr>
      <w:r>
        <w:rPr>
          <w:rFonts w:ascii="宋体" w:hAnsi="宋体" w:cs="宋体" w:hint="eastAsia"/>
          <w:color w:val="000000"/>
          <w:kern w:val="0"/>
          <w:szCs w:val="21"/>
        </w:rPr>
        <w:t>公司网址：</w:t>
      </w:r>
      <w:r>
        <w:rPr>
          <w:rFonts w:ascii="宋体" w:hAnsi="宋体" w:cs="Arial"/>
          <w:color w:val="000000"/>
          <w:kern w:val="0"/>
          <w:szCs w:val="21"/>
        </w:rPr>
        <w:t>http://www.jsfund.cn</w:t>
      </w:r>
    </w:p>
    <w:p w:rsidR="008711D3" w:rsidRDefault="004479D9">
      <w:pPr>
        <w:autoSpaceDE w:val="0"/>
        <w:autoSpaceDN w:val="0"/>
        <w:adjustRightInd w:val="0"/>
        <w:spacing w:line="360" w:lineRule="auto"/>
        <w:ind w:firstLine="315"/>
        <w:jc w:val="left"/>
        <w:rPr>
          <w:rFonts w:ascii="宋体" w:hAnsi="宋体" w:cs="Arial"/>
          <w:color w:val="000000"/>
          <w:kern w:val="0"/>
          <w:szCs w:val="21"/>
        </w:rPr>
      </w:pPr>
      <w:r>
        <w:rPr>
          <w:rFonts w:ascii="宋体" w:hAnsi="宋体" w:cs="Arial"/>
          <w:color w:val="000000"/>
          <w:kern w:val="0"/>
          <w:szCs w:val="21"/>
        </w:rPr>
        <w:t xml:space="preserve">电子信箱：service@jsfund.cn </w:t>
      </w:r>
    </w:p>
    <w:p w:rsidR="008711D3" w:rsidRDefault="004479D9">
      <w:pPr>
        <w:pStyle w:val="1"/>
        <w:spacing w:before="340" w:after="330"/>
        <w:jc w:val="center"/>
        <w:rPr>
          <w:rFonts w:hAnsi="宋体"/>
          <w:bCs/>
          <w:color w:val="auto"/>
          <w:kern w:val="44"/>
          <w:sz w:val="21"/>
          <w:szCs w:val="21"/>
        </w:rPr>
      </w:pPr>
      <w:r>
        <w:rPr>
          <w:rFonts w:hAnsi="宋体"/>
          <w:bCs/>
          <w:color w:val="auto"/>
          <w:kern w:val="44"/>
          <w:sz w:val="21"/>
          <w:szCs w:val="21"/>
          <w:lang w:val="en-US"/>
        </w:rPr>
        <w:br w:type="page"/>
      </w:r>
      <w:bookmarkStart w:id="175" w:name="_Toc71748080"/>
      <w:r>
        <w:rPr>
          <w:rFonts w:hAnsi="宋体" w:hint="eastAsia"/>
          <w:bCs/>
          <w:color w:val="auto"/>
          <w:kern w:val="44"/>
          <w:sz w:val="21"/>
          <w:szCs w:val="21"/>
        </w:rPr>
        <w:lastRenderedPageBreak/>
        <w:t>二十二、其他应披露事项</w:t>
      </w:r>
      <w:bookmarkEnd w:id="175"/>
    </w:p>
    <w:p w:rsidR="008711D3" w:rsidRDefault="004479D9">
      <w:pPr>
        <w:spacing w:line="360" w:lineRule="auto"/>
        <w:ind w:firstLineChars="200" w:firstLine="420"/>
        <w:rPr>
          <w:rFonts w:ascii="宋体" w:hAnsi="宋体"/>
          <w:szCs w:val="21"/>
        </w:rPr>
      </w:pPr>
      <w:r>
        <w:rPr>
          <w:rFonts w:ascii="宋体" w:hAnsi="宋体" w:hint="eastAsia"/>
          <w:szCs w:val="21"/>
        </w:rPr>
        <w:t>无。</w:t>
      </w:r>
    </w:p>
    <w:p w:rsidR="008711D3" w:rsidRDefault="004479D9">
      <w:pPr>
        <w:pStyle w:val="1"/>
        <w:spacing w:before="340" w:after="330"/>
        <w:jc w:val="center"/>
        <w:rPr>
          <w:rFonts w:hAnsi="宋体"/>
          <w:bCs/>
          <w:color w:val="auto"/>
          <w:kern w:val="44"/>
          <w:sz w:val="21"/>
          <w:szCs w:val="21"/>
        </w:rPr>
      </w:pPr>
      <w:r>
        <w:rPr>
          <w:rFonts w:hAnsi="宋体"/>
          <w:bCs/>
          <w:color w:val="auto"/>
          <w:kern w:val="44"/>
          <w:sz w:val="21"/>
          <w:szCs w:val="21"/>
        </w:rPr>
        <w:br w:type="page"/>
      </w:r>
      <w:bookmarkStart w:id="176" w:name="_Toc71748081"/>
      <w:r>
        <w:rPr>
          <w:rFonts w:hAnsi="宋体" w:hint="eastAsia"/>
          <w:bCs/>
          <w:color w:val="auto"/>
          <w:kern w:val="44"/>
          <w:sz w:val="21"/>
          <w:szCs w:val="21"/>
        </w:rPr>
        <w:lastRenderedPageBreak/>
        <w:t>二十三、招募说明书存放及查阅方式</w:t>
      </w:r>
      <w:bookmarkEnd w:id="129"/>
      <w:bookmarkEnd w:id="130"/>
      <w:bookmarkEnd w:id="172"/>
      <w:bookmarkEnd w:id="173"/>
      <w:bookmarkEnd w:id="174"/>
      <w:bookmarkEnd w:id="176"/>
    </w:p>
    <w:p w:rsidR="008711D3" w:rsidRDefault="004479D9">
      <w:pPr>
        <w:spacing w:line="360" w:lineRule="auto"/>
        <w:ind w:firstLineChars="200" w:firstLine="420"/>
        <w:rPr>
          <w:rFonts w:ascii="宋体" w:hAnsi="宋体"/>
          <w:szCs w:val="21"/>
        </w:rPr>
      </w:pPr>
      <w:r>
        <w:rPr>
          <w:rFonts w:ascii="宋体" w:hAnsi="宋体" w:hint="eastAsia"/>
          <w:szCs w:val="21"/>
        </w:rPr>
        <w:t>本基金招募说明书公布后，分别置备于基金管理人、基金托管人和基金代销机构的住所，投资者可免费查阅。投资者在支付工本费后，可在合理时间内取得上述文件复印件。</w:t>
      </w:r>
    </w:p>
    <w:p w:rsidR="008711D3" w:rsidRDefault="004479D9">
      <w:pPr>
        <w:pStyle w:val="1"/>
        <w:spacing w:before="340" w:after="330"/>
        <w:jc w:val="center"/>
        <w:rPr>
          <w:rFonts w:hAnsi="宋体"/>
          <w:bCs/>
          <w:color w:val="auto"/>
          <w:kern w:val="44"/>
          <w:sz w:val="21"/>
          <w:szCs w:val="21"/>
        </w:rPr>
      </w:pPr>
      <w:bookmarkStart w:id="177" w:name="_Toc525454771"/>
      <w:bookmarkStart w:id="178" w:name="_Toc530223199"/>
      <w:bookmarkStart w:id="179" w:name="_Toc329187132"/>
      <w:bookmarkStart w:id="180" w:name="_Toc334542655"/>
      <w:bookmarkStart w:id="181" w:name="_Toc63171765"/>
      <w:bookmarkStart w:id="182" w:name="_Toc334542971"/>
      <w:r>
        <w:rPr>
          <w:rFonts w:hAnsi="宋体"/>
          <w:bCs/>
          <w:color w:val="auto"/>
          <w:kern w:val="44"/>
          <w:sz w:val="21"/>
          <w:szCs w:val="21"/>
        </w:rPr>
        <w:br w:type="page"/>
      </w:r>
      <w:bookmarkStart w:id="183" w:name="_Toc71748082"/>
      <w:r>
        <w:rPr>
          <w:rFonts w:hAnsi="宋体" w:hint="eastAsia"/>
          <w:bCs/>
          <w:color w:val="auto"/>
          <w:kern w:val="44"/>
          <w:sz w:val="21"/>
          <w:szCs w:val="21"/>
        </w:rPr>
        <w:lastRenderedPageBreak/>
        <w:t>二十四、</w:t>
      </w:r>
      <w:bookmarkEnd w:id="177"/>
      <w:r>
        <w:rPr>
          <w:rFonts w:hAnsi="宋体" w:hint="eastAsia"/>
          <w:bCs/>
          <w:color w:val="auto"/>
          <w:kern w:val="44"/>
          <w:sz w:val="21"/>
          <w:szCs w:val="21"/>
        </w:rPr>
        <w:t>备查文件</w:t>
      </w:r>
      <w:bookmarkEnd w:id="178"/>
      <w:bookmarkEnd w:id="179"/>
      <w:bookmarkEnd w:id="180"/>
      <w:bookmarkEnd w:id="181"/>
      <w:bookmarkEnd w:id="182"/>
      <w:bookmarkEnd w:id="183"/>
    </w:p>
    <w:p w:rsidR="008711D3" w:rsidRDefault="004479D9">
      <w:pPr>
        <w:spacing w:line="360" w:lineRule="auto"/>
        <w:rPr>
          <w:rFonts w:ascii="宋体" w:hAnsi="宋体"/>
          <w:b/>
          <w:bCs/>
          <w:szCs w:val="21"/>
        </w:rPr>
      </w:pPr>
      <w:r>
        <w:rPr>
          <w:rFonts w:ascii="宋体" w:hAnsi="宋体" w:hint="eastAsia"/>
          <w:b/>
          <w:bCs/>
          <w:szCs w:val="21"/>
        </w:rPr>
        <w:t>（一）备查文件目录</w:t>
      </w:r>
    </w:p>
    <w:p w:rsidR="008711D3" w:rsidRDefault="004479D9">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、中国证监会准予</w:t>
      </w:r>
      <w:r>
        <w:rPr>
          <w:rFonts w:ascii="宋体" w:hAnsi="宋体" w:hint="eastAsia"/>
          <w:b/>
          <w:szCs w:val="21"/>
        </w:rPr>
        <w:t>嘉实领先优势混合型</w:t>
      </w:r>
      <w:r>
        <w:rPr>
          <w:rFonts w:ascii="宋体" w:hAnsi="宋体" w:hint="eastAsia"/>
          <w:szCs w:val="21"/>
        </w:rPr>
        <w:t>证券投资基金注册的批复文件。</w:t>
      </w:r>
    </w:p>
    <w:p w:rsidR="008711D3" w:rsidRDefault="004479D9">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hint="eastAsia"/>
          <w:b/>
          <w:szCs w:val="21"/>
        </w:rPr>
        <w:t>嘉实领先优势混合型</w:t>
      </w:r>
      <w:r>
        <w:rPr>
          <w:rFonts w:ascii="宋体" w:hAnsi="宋体" w:hint="eastAsia"/>
          <w:szCs w:val="21"/>
        </w:rPr>
        <w:t>证券投资基金基金合同》。</w:t>
      </w:r>
    </w:p>
    <w:p w:rsidR="008711D3" w:rsidRDefault="004479D9">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hint="eastAsia"/>
          <w:b/>
          <w:szCs w:val="21"/>
        </w:rPr>
        <w:t>嘉实领先优势混合型</w:t>
      </w:r>
      <w:r>
        <w:rPr>
          <w:rFonts w:ascii="宋体" w:hAnsi="宋体" w:hint="eastAsia"/>
          <w:szCs w:val="21"/>
        </w:rPr>
        <w:t>证券投资基金托管协议》。</w:t>
      </w:r>
    </w:p>
    <w:p w:rsidR="008711D3" w:rsidRDefault="004479D9">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、法律意见书。</w:t>
      </w:r>
    </w:p>
    <w:p w:rsidR="008711D3" w:rsidRDefault="004479D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、基金管理人业务资格批件、营业执照。</w:t>
      </w:r>
    </w:p>
    <w:p w:rsidR="008711D3" w:rsidRDefault="004479D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、基金托管人业务资格批件、营业执照。</w:t>
      </w:r>
    </w:p>
    <w:p w:rsidR="008711D3" w:rsidRDefault="004479D9">
      <w:pPr>
        <w:spacing w:line="360" w:lineRule="auto"/>
        <w:rPr>
          <w:rFonts w:ascii="宋体" w:hAnsi="宋体"/>
          <w:b/>
          <w:bCs/>
          <w:szCs w:val="21"/>
        </w:rPr>
      </w:pPr>
      <w:r>
        <w:rPr>
          <w:rFonts w:ascii="宋体" w:hAnsi="宋体" w:hint="eastAsia"/>
          <w:b/>
          <w:bCs/>
          <w:szCs w:val="21"/>
        </w:rPr>
        <w:t>（二）存放地点</w:t>
      </w:r>
    </w:p>
    <w:p w:rsidR="008711D3" w:rsidRDefault="004479D9">
      <w:pPr>
        <w:tabs>
          <w:tab w:val="left" w:pos="3780"/>
        </w:tabs>
        <w:autoSpaceDE w:val="0"/>
        <w:autoSpaceDN w:val="0"/>
        <w:adjustRightInd w:val="0"/>
        <w:spacing w:line="360" w:lineRule="auto"/>
        <w:ind w:firstLine="420"/>
        <w:rPr>
          <w:rFonts w:ascii="宋体" w:hAnsi="宋体"/>
          <w:szCs w:val="21"/>
        </w:rPr>
      </w:pPr>
      <w:r>
        <w:rPr>
          <w:rFonts w:ascii="宋体" w:hAnsi="宋体" w:hint="eastAsia"/>
          <w:szCs w:val="21"/>
        </w:rPr>
        <w:t>备查文件存放于基金管理人和</w:t>
      </w:r>
      <w:r>
        <w:rPr>
          <w:rFonts w:ascii="宋体" w:hAnsi="宋体"/>
          <w:szCs w:val="21"/>
        </w:rPr>
        <w:t>/</w:t>
      </w:r>
      <w:r>
        <w:rPr>
          <w:rFonts w:ascii="宋体" w:hAnsi="宋体" w:hint="eastAsia"/>
          <w:szCs w:val="21"/>
        </w:rPr>
        <w:t>或基金托管人处。</w:t>
      </w:r>
    </w:p>
    <w:p w:rsidR="008711D3" w:rsidRDefault="004479D9">
      <w:pPr>
        <w:spacing w:line="360" w:lineRule="auto"/>
        <w:rPr>
          <w:rFonts w:ascii="宋体" w:hAnsi="宋体"/>
          <w:b/>
          <w:bCs/>
          <w:szCs w:val="21"/>
        </w:rPr>
      </w:pPr>
      <w:r>
        <w:rPr>
          <w:rFonts w:ascii="宋体" w:hAnsi="宋体" w:hint="eastAsia"/>
          <w:b/>
          <w:bCs/>
          <w:szCs w:val="21"/>
        </w:rPr>
        <w:t>（三）查阅方式</w:t>
      </w:r>
    </w:p>
    <w:p w:rsidR="008711D3" w:rsidRDefault="004479D9">
      <w:pPr>
        <w:tabs>
          <w:tab w:val="left" w:pos="3780"/>
        </w:tabs>
        <w:autoSpaceDE w:val="0"/>
        <w:autoSpaceDN w:val="0"/>
        <w:adjustRightInd w:val="0"/>
        <w:spacing w:line="360" w:lineRule="auto"/>
        <w:ind w:firstLine="420"/>
        <w:rPr>
          <w:rFonts w:ascii="宋体" w:hAnsi="宋体"/>
          <w:szCs w:val="21"/>
        </w:rPr>
      </w:pPr>
      <w:r>
        <w:rPr>
          <w:rFonts w:ascii="宋体" w:hAnsi="宋体" w:hint="eastAsia"/>
          <w:szCs w:val="21"/>
        </w:rPr>
        <w:t>投资者可在营业时间免费查阅备查文件。在支付工本费后，可在合理时间内取得备查文件的复制件或复印件。</w:t>
      </w:r>
    </w:p>
    <w:p w:rsidR="008711D3" w:rsidRDefault="008711D3">
      <w:pPr>
        <w:tabs>
          <w:tab w:val="left" w:pos="3780"/>
        </w:tabs>
        <w:autoSpaceDE w:val="0"/>
        <w:autoSpaceDN w:val="0"/>
        <w:adjustRightInd w:val="0"/>
        <w:spacing w:line="360" w:lineRule="auto"/>
        <w:ind w:firstLine="420"/>
        <w:rPr>
          <w:rFonts w:ascii="宋体" w:hAnsi="宋体"/>
          <w:szCs w:val="21"/>
        </w:rPr>
      </w:pPr>
    </w:p>
    <w:p w:rsidR="008711D3" w:rsidRDefault="004479D9">
      <w:pPr>
        <w:autoSpaceDE w:val="0"/>
        <w:autoSpaceDN w:val="0"/>
        <w:adjustRightInd w:val="0"/>
        <w:spacing w:line="360" w:lineRule="auto"/>
        <w:ind w:firstLineChars="200" w:firstLine="422"/>
        <w:jc w:val="right"/>
        <w:rPr>
          <w:rFonts w:ascii="宋体" w:hAnsi="宋体"/>
          <w:b/>
          <w:szCs w:val="21"/>
        </w:rPr>
      </w:pPr>
      <w:r>
        <w:rPr>
          <w:rFonts w:ascii="宋体" w:hAnsi="宋体" w:hint="eastAsia"/>
          <w:b/>
          <w:szCs w:val="21"/>
        </w:rPr>
        <w:t>嘉实基金管理有限公司</w:t>
      </w:r>
    </w:p>
    <w:p w:rsidR="008711D3" w:rsidRDefault="004479D9">
      <w:pPr>
        <w:wordWrap w:val="0"/>
        <w:autoSpaceDE w:val="0"/>
        <w:autoSpaceDN w:val="0"/>
        <w:adjustRightInd w:val="0"/>
        <w:spacing w:line="360" w:lineRule="auto"/>
        <w:ind w:firstLineChars="200" w:firstLine="422"/>
        <w:jc w:val="right"/>
        <w:rPr>
          <w:rFonts w:hAnsi="宋体"/>
          <w:b/>
          <w:bCs/>
          <w:kern w:val="44"/>
          <w:szCs w:val="21"/>
        </w:rPr>
      </w:pPr>
      <w:r>
        <w:rPr>
          <w:rFonts w:ascii="宋体" w:hAnsi="宋体" w:hint="eastAsia"/>
          <w:b/>
          <w:szCs w:val="21"/>
        </w:rPr>
        <w:t xml:space="preserve">  202</w:t>
      </w:r>
      <w:r>
        <w:rPr>
          <w:rFonts w:ascii="宋体" w:hAnsi="宋体"/>
          <w:b/>
          <w:szCs w:val="21"/>
        </w:rPr>
        <w:t>1</w:t>
      </w:r>
      <w:r>
        <w:rPr>
          <w:rFonts w:ascii="宋体" w:hAnsi="宋体" w:hint="eastAsia"/>
          <w:b/>
          <w:szCs w:val="21"/>
        </w:rPr>
        <w:t>年</w:t>
      </w:r>
      <w:r w:rsidR="00CE3BC2">
        <w:rPr>
          <w:rFonts w:ascii="宋体" w:hAnsi="宋体" w:hint="eastAsia"/>
          <w:b/>
          <w:szCs w:val="21"/>
        </w:rPr>
        <w:t>5</w:t>
      </w:r>
      <w:r>
        <w:rPr>
          <w:rFonts w:ascii="宋体" w:hAnsi="宋体" w:hint="eastAsia"/>
          <w:b/>
          <w:szCs w:val="21"/>
        </w:rPr>
        <w:t>月</w:t>
      </w:r>
      <w:r w:rsidR="00CE3BC2">
        <w:rPr>
          <w:rFonts w:ascii="宋体" w:hAnsi="宋体"/>
          <w:b/>
          <w:szCs w:val="21"/>
        </w:rPr>
        <w:t>14</w:t>
      </w:r>
      <w:r>
        <w:rPr>
          <w:rFonts w:ascii="宋体" w:hAnsi="宋体" w:hint="eastAsia"/>
          <w:b/>
          <w:szCs w:val="21"/>
        </w:rPr>
        <w:t>日</w:t>
      </w:r>
    </w:p>
    <w:sectPr w:rsidR="008711D3">
      <w:footerReference w:type="default" r:id="rId16"/>
      <w:headerReference w:type="first" r:id="rId17"/>
      <w:footerReference w:type="first" r:id="rId18"/>
      <w:pgSz w:w="11906" w:h="16838"/>
      <w:pgMar w:top="1440" w:right="1800" w:bottom="1440" w:left="1800" w:header="851" w:footer="992" w:gutter="0"/>
      <w:pgNumType w:start="4"/>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BDB" w:rsidRDefault="00DE5BDB">
      <w:r>
        <w:separator/>
      </w:r>
    </w:p>
  </w:endnote>
  <w:endnote w:type="continuationSeparator" w:id="0">
    <w:p w:rsidR="00DE5BDB" w:rsidRDefault="00DE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94" w:rsidRDefault="004F2C94">
    <w:pPr>
      <w:pStyle w:val="ab"/>
      <w:jc w:val="center"/>
    </w:pPr>
    <w:r>
      <w:rPr>
        <w:rStyle w:val="af0"/>
        <w:rFonts w:hint="eastAsia"/>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94" w:rsidRDefault="004F2C94">
    <w:pPr>
      <w:pStyle w:val="ab"/>
      <w:jc w:val="center"/>
    </w:pPr>
    <w:r>
      <w:rPr>
        <w:rFonts w:hint="eastAsia"/>
      </w:rPr>
      <w:t>3</w:t>
    </w:r>
  </w:p>
  <w:p w:rsidR="004F2C94" w:rsidRDefault="004F2C94">
    <w:pPr>
      <w:pStyle w:val="ab"/>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94" w:rsidRDefault="004F2C94">
    <w:pPr>
      <w:pStyle w:val="ab"/>
      <w:jc w:val="center"/>
    </w:pPr>
    <w:r>
      <w:rPr>
        <w:rStyle w:val="af0"/>
      </w:rPr>
      <w:fldChar w:fldCharType="begin"/>
    </w:r>
    <w:r>
      <w:rPr>
        <w:rStyle w:val="af0"/>
      </w:rPr>
      <w:instrText xml:space="preserve"> PAGE </w:instrText>
    </w:r>
    <w:r>
      <w:rPr>
        <w:rStyle w:val="af0"/>
      </w:rPr>
      <w:fldChar w:fldCharType="separate"/>
    </w:r>
    <w:r w:rsidR="003E2DEC">
      <w:rPr>
        <w:rStyle w:val="af0"/>
        <w:noProof/>
      </w:rPr>
      <w:t>30</w:t>
    </w:r>
    <w:r>
      <w:rPr>
        <w:rStyle w:val="af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94" w:rsidRDefault="004F2C94">
    <w:pPr>
      <w:pStyle w:val="ab"/>
      <w:jc w:val="center"/>
    </w:pPr>
    <w:r>
      <w:fldChar w:fldCharType="begin"/>
    </w:r>
    <w:r>
      <w:instrText>PAGE   \* MERGEFORMAT</w:instrText>
    </w:r>
    <w:r>
      <w:fldChar w:fldCharType="separate"/>
    </w:r>
    <w:r w:rsidR="003E2DEC">
      <w:rPr>
        <w:noProof/>
      </w:rPr>
      <w:t>4</w:t>
    </w:r>
    <w:r>
      <w:fldChar w:fldCharType="end"/>
    </w:r>
  </w:p>
  <w:p w:rsidR="004F2C94" w:rsidRDefault="004F2C94">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BDB" w:rsidRDefault="00DE5BDB">
      <w:r>
        <w:separator/>
      </w:r>
    </w:p>
  </w:footnote>
  <w:footnote w:type="continuationSeparator" w:id="0">
    <w:p w:rsidR="00DE5BDB" w:rsidRDefault="00DE5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94" w:rsidRDefault="004F2C94">
    <w:pPr>
      <w:pStyle w:val="ac"/>
      <w:jc w:val="both"/>
    </w:pPr>
    <w:r>
      <w:rPr>
        <w:rFonts w:hint="eastAsia"/>
      </w:rPr>
      <w:t>嘉实领先优势</w:t>
    </w:r>
    <w:r>
      <w:t>混合型证券投资基金</w:t>
    </w:r>
    <w:r>
      <w:rPr>
        <w:rFonts w:hint="eastAsia"/>
      </w:rPr>
      <w:t xml:space="preserve">                                           </w:t>
    </w:r>
    <w:r>
      <w:t xml:space="preserve">        </w:t>
    </w:r>
    <w:r>
      <w:rPr>
        <w:rFonts w:hint="eastAsia"/>
      </w:rPr>
      <w:t xml:space="preserve"> </w:t>
    </w:r>
    <w:r>
      <w:rPr>
        <w:rFonts w:hint="eastAsia"/>
      </w:rPr>
      <w:t>招募说明书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94" w:rsidRDefault="004F2C94">
    <w:pPr>
      <w:pStyle w:val="ac"/>
      <w:jc w:val="both"/>
    </w:pPr>
    <w:r>
      <w:rPr>
        <w:rFonts w:hint="eastAsia"/>
      </w:rPr>
      <w:t>嘉实领先优势</w:t>
    </w:r>
    <w:r>
      <w:t>混合型证券投资基金</w:t>
    </w:r>
    <w:r>
      <w:rPr>
        <w:rFonts w:hint="eastAsia"/>
      </w:rPr>
      <w:t xml:space="preserve">                                    </w:t>
    </w:r>
    <w:r>
      <w:t xml:space="preserve">        </w:t>
    </w:r>
    <w:r>
      <w:rPr>
        <w:rFonts w:hint="eastAsia"/>
      </w:rPr>
      <w:t xml:space="preserve">    </w:t>
    </w:r>
    <w:r>
      <w:t xml:space="preserve">    </w:t>
    </w:r>
    <w:r>
      <w:rPr>
        <w:rFonts w:hint="eastAsia"/>
      </w:rPr>
      <w:t>招募说明书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94" w:rsidRDefault="004F2C94">
    <w:pPr>
      <w:pStyle w:val="ac"/>
      <w:jc w:val="both"/>
    </w:pPr>
    <w:r>
      <w:rPr>
        <w:rFonts w:hint="eastAsia"/>
      </w:rPr>
      <w:t>嘉实领先优势</w:t>
    </w:r>
    <w:r>
      <w:t>混合型证券投资基金</w:t>
    </w:r>
    <w:r>
      <w:rPr>
        <w:rFonts w:hint="eastAsia"/>
      </w:rPr>
      <w:t xml:space="preserve">                                           </w:t>
    </w:r>
    <w:r>
      <w:t xml:space="preserve">        </w:t>
    </w:r>
    <w:r>
      <w:rPr>
        <w:rFonts w:hint="eastAsia"/>
      </w:rPr>
      <w:t xml:space="preserve"> </w:t>
    </w:r>
    <w:r>
      <w:rPr>
        <w:rFonts w:hint="eastAsia"/>
      </w:rPr>
      <w:t>招募说明书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94" w:rsidRDefault="004F2C94">
    <w:pPr>
      <w:pStyle w:val="ac"/>
      <w:jc w:val="both"/>
    </w:pPr>
    <w:r>
      <w:rPr>
        <w:rFonts w:hint="eastAsia"/>
      </w:rPr>
      <w:t>嘉实领先优势</w:t>
    </w:r>
    <w:r>
      <w:t>混合型证券投资基金</w:t>
    </w:r>
    <w:r>
      <w:rPr>
        <w:rFonts w:hint="eastAsia"/>
      </w:rPr>
      <w:t xml:space="preserve">                                         </w:t>
    </w:r>
    <w:r>
      <w:t xml:space="preserve">     </w:t>
    </w:r>
    <w:r>
      <w:rPr>
        <w:rFonts w:hint="eastAsia"/>
      </w:rPr>
      <w:t xml:space="preserve">  </w:t>
    </w:r>
    <w:r>
      <w:t xml:space="preserve">    </w:t>
    </w:r>
    <w:r>
      <w:rPr>
        <w:rFonts w:hint="eastAsia"/>
      </w:rPr>
      <w:t>招募说明书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4C"/>
    <w:rsid w:val="00000010"/>
    <w:rsid w:val="000019C1"/>
    <w:rsid w:val="00002900"/>
    <w:rsid w:val="00002D01"/>
    <w:rsid w:val="000030D9"/>
    <w:rsid w:val="0000375A"/>
    <w:rsid w:val="0000461F"/>
    <w:rsid w:val="0000500B"/>
    <w:rsid w:val="000059E6"/>
    <w:rsid w:val="00006924"/>
    <w:rsid w:val="00007098"/>
    <w:rsid w:val="000116B0"/>
    <w:rsid w:val="00011FEC"/>
    <w:rsid w:val="00012B82"/>
    <w:rsid w:val="00012C76"/>
    <w:rsid w:val="00013E44"/>
    <w:rsid w:val="00013E8F"/>
    <w:rsid w:val="00014C91"/>
    <w:rsid w:val="00015BEB"/>
    <w:rsid w:val="00015E67"/>
    <w:rsid w:val="00015FD8"/>
    <w:rsid w:val="00017294"/>
    <w:rsid w:val="00017E03"/>
    <w:rsid w:val="00021A97"/>
    <w:rsid w:val="00021F57"/>
    <w:rsid w:val="00022272"/>
    <w:rsid w:val="00022936"/>
    <w:rsid w:val="000233C9"/>
    <w:rsid w:val="00023461"/>
    <w:rsid w:val="000238E5"/>
    <w:rsid w:val="00023A77"/>
    <w:rsid w:val="00023ACC"/>
    <w:rsid w:val="00023ADD"/>
    <w:rsid w:val="0002504C"/>
    <w:rsid w:val="00025128"/>
    <w:rsid w:val="00026146"/>
    <w:rsid w:val="00027874"/>
    <w:rsid w:val="00027B51"/>
    <w:rsid w:val="00027E43"/>
    <w:rsid w:val="00030283"/>
    <w:rsid w:val="00032321"/>
    <w:rsid w:val="000330C9"/>
    <w:rsid w:val="00033217"/>
    <w:rsid w:val="00033A38"/>
    <w:rsid w:val="00033D29"/>
    <w:rsid w:val="000340A6"/>
    <w:rsid w:val="0003428E"/>
    <w:rsid w:val="00034706"/>
    <w:rsid w:val="00034BA2"/>
    <w:rsid w:val="00034EDE"/>
    <w:rsid w:val="000356A8"/>
    <w:rsid w:val="00035818"/>
    <w:rsid w:val="00036B6E"/>
    <w:rsid w:val="00036C9D"/>
    <w:rsid w:val="0003778F"/>
    <w:rsid w:val="0004039A"/>
    <w:rsid w:val="00040502"/>
    <w:rsid w:val="00040FEB"/>
    <w:rsid w:val="0004103D"/>
    <w:rsid w:val="00041758"/>
    <w:rsid w:val="000419C4"/>
    <w:rsid w:val="00042A11"/>
    <w:rsid w:val="00042E27"/>
    <w:rsid w:val="00043B68"/>
    <w:rsid w:val="0004425B"/>
    <w:rsid w:val="00045FDB"/>
    <w:rsid w:val="00046548"/>
    <w:rsid w:val="0004771C"/>
    <w:rsid w:val="00050635"/>
    <w:rsid w:val="000509D6"/>
    <w:rsid w:val="00050B6B"/>
    <w:rsid w:val="00050C19"/>
    <w:rsid w:val="00050C69"/>
    <w:rsid w:val="00050D70"/>
    <w:rsid w:val="000512AB"/>
    <w:rsid w:val="00051782"/>
    <w:rsid w:val="000518B8"/>
    <w:rsid w:val="0005195A"/>
    <w:rsid w:val="00051E5B"/>
    <w:rsid w:val="00051EBA"/>
    <w:rsid w:val="000532F1"/>
    <w:rsid w:val="00053C48"/>
    <w:rsid w:val="00054661"/>
    <w:rsid w:val="00054BE7"/>
    <w:rsid w:val="000551B0"/>
    <w:rsid w:val="000563B0"/>
    <w:rsid w:val="00056C1C"/>
    <w:rsid w:val="00057241"/>
    <w:rsid w:val="00057477"/>
    <w:rsid w:val="0005781E"/>
    <w:rsid w:val="00057F51"/>
    <w:rsid w:val="00060A1D"/>
    <w:rsid w:val="000610E9"/>
    <w:rsid w:val="000617FB"/>
    <w:rsid w:val="00061836"/>
    <w:rsid w:val="00061881"/>
    <w:rsid w:val="00061CF9"/>
    <w:rsid w:val="00062036"/>
    <w:rsid w:val="00062929"/>
    <w:rsid w:val="00062C30"/>
    <w:rsid w:val="00062D37"/>
    <w:rsid w:val="000631B0"/>
    <w:rsid w:val="00064076"/>
    <w:rsid w:val="00064662"/>
    <w:rsid w:val="00064C84"/>
    <w:rsid w:val="00064D95"/>
    <w:rsid w:val="00064EE6"/>
    <w:rsid w:val="0006568E"/>
    <w:rsid w:val="00065A59"/>
    <w:rsid w:val="00065F59"/>
    <w:rsid w:val="00067BAD"/>
    <w:rsid w:val="00067C34"/>
    <w:rsid w:val="0007185F"/>
    <w:rsid w:val="00071927"/>
    <w:rsid w:val="00072975"/>
    <w:rsid w:val="000736BA"/>
    <w:rsid w:val="00073950"/>
    <w:rsid w:val="00073A97"/>
    <w:rsid w:val="00073C61"/>
    <w:rsid w:val="00073F43"/>
    <w:rsid w:val="0007467D"/>
    <w:rsid w:val="00074748"/>
    <w:rsid w:val="00074772"/>
    <w:rsid w:val="00075D24"/>
    <w:rsid w:val="00076FA9"/>
    <w:rsid w:val="00080C85"/>
    <w:rsid w:val="00081497"/>
    <w:rsid w:val="000817E5"/>
    <w:rsid w:val="00082618"/>
    <w:rsid w:val="0008278A"/>
    <w:rsid w:val="0008326E"/>
    <w:rsid w:val="0008331C"/>
    <w:rsid w:val="00083A38"/>
    <w:rsid w:val="00083B29"/>
    <w:rsid w:val="00083D77"/>
    <w:rsid w:val="00084184"/>
    <w:rsid w:val="000849AC"/>
    <w:rsid w:val="00084F29"/>
    <w:rsid w:val="000850BB"/>
    <w:rsid w:val="000866A5"/>
    <w:rsid w:val="00086999"/>
    <w:rsid w:val="000877F9"/>
    <w:rsid w:val="00090C9C"/>
    <w:rsid w:val="000918BA"/>
    <w:rsid w:val="00092A06"/>
    <w:rsid w:val="00092DED"/>
    <w:rsid w:val="00093864"/>
    <w:rsid w:val="00094648"/>
    <w:rsid w:val="0009497B"/>
    <w:rsid w:val="00094B74"/>
    <w:rsid w:val="00094D26"/>
    <w:rsid w:val="00095AB7"/>
    <w:rsid w:val="00095CC5"/>
    <w:rsid w:val="00095D9D"/>
    <w:rsid w:val="00096F42"/>
    <w:rsid w:val="000A0415"/>
    <w:rsid w:val="000A0D6F"/>
    <w:rsid w:val="000A10DE"/>
    <w:rsid w:val="000A1687"/>
    <w:rsid w:val="000A2EA6"/>
    <w:rsid w:val="000A35A5"/>
    <w:rsid w:val="000A3A01"/>
    <w:rsid w:val="000A3F10"/>
    <w:rsid w:val="000A438F"/>
    <w:rsid w:val="000A45C4"/>
    <w:rsid w:val="000A4A18"/>
    <w:rsid w:val="000A4C10"/>
    <w:rsid w:val="000A5156"/>
    <w:rsid w:val="000A7807"/>
    <w:rsid w:val="000B0C21"/>
    <w:rsid w:val="000B22D6"/>
    <w:rsid w:val="000B2AA2"/>
    <w:rsid w:val="000B2E08"/>
    <w:rsid w:val="000B3887"/>
    <w:rsid w:val="000B3F73"/>
    <w:rsid w:val="000B3F74"/>
    <w:rsid w:val="000B47A1"/>
    <w:rsid w:val="000B4A75"/>
    <w:rsid w:val="000B5270"/>
    <w:rsid w:val="000B593B"/>
    <w:rsid w:val="000B650D"/>
    <w:rsid w:val="000B6547"/>
    <w:rsid w:val="000B696B"/>
    <w:rsid w:val="000B6BE3"/>
    <w:rsid w:val="000B6E6A"/>
    <w:rsid w:val="000B6F3B"/>
    <w:rsid w:val="000B7084"/>
    <w:rsid w:val="000B73EC"/>
    <w:rsid w:val="000B7867"/>
    <w:rsid w:val="000B7B6B"/>
    <w:rsid w:val="000B7CF7"/>
    <w:rsid w:val="000C02CF"/>
    <w:rsid w:val="000C0B00"/>
    <w:rsid w:val="000C1ED8"/>
    <w:rsid w:val="000C30E6"/>
    <w:rsid w:val="000C487B"/>
    <w:rsid w:val="000C535B"/>
    <w:rsid w:val="000C6F40"/>
    <w:rsid w:val="000D052A"/>
    <w:rsid w:val="000D1CCF"/>
    <w:rsid w:val="000D22E6"/>
    <w:rsid w:val="000D2C8F"/>
    <w:rsid w:val="000D4531"/>
    <w:rsid w:val="000D6000"/>
    <w:rsid w:val="000D605C"/>
    <w:rsid w:val="000D6A87"/>
    <w:rsid w:val="000E0CA4"/>
    <w:rsid w:val="000E1CEF"/>
    <w:rsid w:val="000E2162"/>
    <w:rsid w:val="000E2353"/>
    <w:rsid w:val="000E27F3"/>
    <w:rsid w:val="000E2FD5"/>
    <w:rsid w:val="000E3636"/>
    <w:rsid w:val="000E47CA"/>
    <w:rsid w:val="000E4C12"/>
    <w:rsid w:val="000E4D1E"/>
    <w:rsid w:val="000E4D73"/>
    <w:rsid w:val="000E4FFF"/>
    <w:rsid w:val="000E5004"/>
    <w:rsid w:val="000E5C91"/>
    <w:rsid w:val="000E7CDC"/>
    <w:rsid w:val="000E7E5C"/>
    <w:rsid w:val="000E7FAA"/>
    <w:rsid w:val="000F0113"/>
    <w:rsid w:val="000F2A65"/>
    <w:rsid w:val="000F2EBB"/>
    <w:rsid w:val="000F3A10"/>
    <w:rsid w:val="000F4394"/>
    <w:rsid w:val="000F46A9"/>
    <w:rsid w:val="000F4ADA"/>
    <w:rsid w:val="000F4CF6"/>
    <w:rsid w:val="000F50FB"/>
    <w:rsid w:val="000F5205"/>
    <w:rsid w:val="000F52D2"/>
    <w:rsid w:val="000F54E0"/>
    <w:rsid w:val="000F61F7"/>
    <w:rsid w:val="000F6555"/>
    <w:rsid w:val="000F76BD"/>
    <w:rsid w:val="000F7C0B"/>
    <w:rsid w:val="00100016"/>
    <w:rsid w:val="00100668"/>
    <w:rsid w:val="00101263"/>
    <w:rsid w:val="00101425"/>
    <w:rsid w:val="00101B1E"/>
    <w:rsid w:val="00102A9F"/>
    <w:rsid w:val="0010361D"/>
    <w:rsid w:val="00103641"/>
    <w:rsid w:val="001047F9"/>
    <w:rsid w:val="00105433"/>
    <w:rsid w:val="0010574E"/>
    <w:rsid w:val="00106C2C"/>
    <w:rsid w:val="00106E73"/>
    <w:rsid w:val="00107758"/>
    <w:rsid w:val="00107C52"/>
    <w:rsid w:val="0011084C"/>
    <w:rsid w:val="00110997"/>
    <w:rsid w:val="00110D3C"/>
    <w:rsid w:val="001119B5"/>
    <w:rsid w:val="001119C4"/>
    <w:rsid w:val="0011307D"/>
    <w:rsid w:val="00113CB8"/>
    <w:rsid w:val="0011404B"/>
    <w:rsid w:val="00114818"/>
    <w:rsid w:val="001151BF"/>
    <w:rsid w:val="00115399"/>
    <w:rsid w:val="00115712"/>
    <w:rsid w:val="00115B29"/>
    <w:rsid w:val="001160C7"/>
    <w:rsid w:val="00116395"/>
    <w:rsid w:val="00116D08"/>
    <w:rsid w:val="001203DA"/>
    <w:rsid w:val="00120EC1"/>
    <w:rsid w:val="00121A05"/>
    <w:rsid w:val="00121FC8"/>
    <w:rsid w:val="00122B64"/>
    <w:rsid w:val="00123838"/>
    <w:rsid w:val="00123980"/>
    <w:rsid w:val="001239F4"/>
    <w:rsid w:val="001240D4"/>
    <w:rsid w:val="001241DB"/>
    <w:rsid w:val="0012454F"/>
    <w:rsid w:val="001259E3"/>
    <w:rsid w:val="00125B2B"/>
    <w:rsid w:val="00125B8D"/>
    <w:rsid w:val="00126824"/>
    <w:rsid w:val="00127609"/>
    <w:rsid w:val="00127D36"/>
    <w:rsid w:val="00130721"/>
    <w:rsid w:val="00130E79"/>
    <w:rsid w:val="00131C44"/>
    <w:rsid w:val="001321E2"/>
    <w:rsid w:val="00132E76"/>
    <w:rsid w:val="0013389F"/>
    <w:rsid w:val="00133A99"/>
    <w:rsid w:val="0013432F"/>
    <w:rsid w:val="0013461B"/>
    <w:rsid w:val="001356B4"/>
    <w:rsid w:val="00135827"/>
    <w:rsid w:val="001368F7"/>
    <w:rsid w:val="00136C5A"/>
    <w:rsid w:val="001378BD"/>
    <w:rsid w:val="00137D58"/>
    <w:rsid w:val="001406E9"/>
    <w:rsid w:val="00140993"/>
    <w:rsid w:val="00141264"/>
    <w:rsid w:val="0014220D"/>
    <w:rsid w:val="0014280F"/>
    <w:rsid w:val="00142DC6"/>
    <w:rsid w:val="00142F14"/>
    <w:rsid w:val="00142FFA"/>
    <w:rsid w:val="001430D4"/>
    <w:rsid w:val="001433D1"/>
    <w:rsid w:val="00143DD9"/>
    <w:rsid w:val="00144617"/>
    <w:rsid w:val="0014463A"/>
    <w:rsid w:val="0014511F"/>
    <w:rsid w:val="00145189"/>
    <w:rsid w:val="00145A5C"/>
    <w:rsid w:val="00145C55"/>
    <w:rsid w:val="00145DD0"/>
    <w:rsid w:val="001469C4"/>
    <w:rsid w:val="001471B9"/>
    <w:rsid w:val="0014733E"/>
    <w:rsid w:val="00147C8A"/>
    <w:rsid w:val="00150682"/>
    <w:rsid w:val="00150717"/>
    <w:rsid w:val="001513BC"/>
    <w:rsid w:val="001516B1"/>
    <w:rsid w:val="001516EF"/>
    <w:rsid w:val="001525BB"/>
    <w:rsid w:val="0015275B"/>
    <w:rsid w:val="00152A88"/>
    <w:rsid w:val="00153B0E"/>
    <w:rsid w:val="00153C2E"/>
    <w:rsid w:val="0015425A"/>
    <w:rsid w:val="001545D9"/>
    <w:rsid w:val="00154901"/>
    <w:rsid w:val="00155207"/>
    <w:rsid w:val="00156CF7"/>
    <w:rsid w:val="001578E1"/>
    <w:rsid w:val="001579CD"/>
    <w:rsid w:val="001606A9"/>
    <w:rsid w:val="00160D1E"/>
    <w:rsid w:val="00160E66"/>
    <w:rsid w:val="00160FEA"/>
    <w:rsid w:val="00161529"/>
    <w:rsid w:val="00161B4A"/>
    <w:rsid w:val="00161F99"/>
    <w:rsid w:val="001620FC"/>
    <w:rsid w:val="00162244"/>
    <w:rsid w:val="001634DC"/>
    <w:rsid w:val="00163C3E"/>
    <w:rsid w:val="00163DBD"/>
    <w:rsid w:val="00164710"/>
    <w:rsid w:val="00164C44"/>
    <w:rsid w:val="00164F38"/>
    <w:rsid w:val="0016538A"/>
    <w:rsid w:val="001662D5"/>
    <w:rsid w:val="001664E6"/>
    <w:rsid w:val="0016771F"/>
    <w:rsid w:val="00167CAE"/>
    <w:rsid w:val="00170065"/>
    <w:rsid w:val="00170391"/>
    <w:rsid w:val="001706AD"/>
    <w:rsid w:val="00170BEF"/>
    <w:rsid w:val="00171763"/>
    <w:rsid w:val="0017187E"/>
    <w:rsid w:val="001720BA"/>
    <w:rsid w:val="001723B0"/>
    <w:rsid w:val="001727A0"/>
    <w:rsid w:val="001727E3"/>
    <w:rsid w:val="00173398"/>
    <w:rsid w:val="00173D6B"/>
    <w:rsid w:val="00174012"/>
    <w:rsid w:val="001741F1"/>
    <w:rsid w:val="00174232"/>
    <w:rsid w:val="0017449E"/>
    <w:rsid w:val="001758A6"/>
    <w:rsid w:val="00175D55"/>
    <w:rsid w:val="00175DE8"/>
    <w:rsid w:val="00176178"/>
    <w:rsid w:val="001761D6"/>
    <w:rsid w:val="00177760"/>
    <w:rsid w:val="00177A1A"/>
    <w:rsid w:val="00177DBF"/>
    <w:rsid w:val="00180352"/>
    <w:rsid w:val="00180682"/>
    <w:rsid w:val="00180B30"/>
    <w:rsid w:val="001815DD"/>
    <w:rsid w:val="00182377"/>
    <w:rsid w:val="001826AD"/>
    <w:rsid w:val="00182DAB"/>
    <w:rsid w:val="00183568"/>
    <w:rsid w:val="0018365F"/>
    <w:rsid w:val="001839D1"/>
    <w:rsid w:val="001849B4"/>
    <w:rsid w:val="00184E41"/>
    <w:rsid w:val="00184F3B"/>
    <w:rsid w:val="001852B9"/>
    <w:rsid w:val="001854D6"/>
    <w:rsid w:val="00185F3F"/>
    <w:rsid w:val="00186260"/>
    <w:rsid w:val="001871F0"/>
    <w:rsid w:val="00187541"/>
    <w:rsid w:val="001876A1"/>
    <w:rsid w:val="00187923"/>
    <w:rsid w:val="001920F3"/>
    <w:rsid w:val="001922E2"/>
    <w:rsid w:val="00194CE2"/>
    <w:rsid w:val="00194EA7"/>
    <w:rsid w:val="00194EAD"/>
    <w:rsid w:val="00195684"/>
    <w:rsid w:val="001958FB"/>
    <w:rsid w:val="00195A79"/>
    <w:rsid w:val="00195CEB"/>
    <w:rsid w:val="00196324"/>
    <w:rsid w:val="00196836"/>
    <w:rsid w:val="00196A28"/>
    <w:rsid w:val="001971C3"/>
    <w:rsid w:val="001A02EC"/>
    <w:rsid w:val="001A179E"/>
    <w:rsid w:val="001A19F4"/>
    <w:rsid w:val="001A1A7B"/>
    <w:rsid w:val="001A1BB1"/>
    <w:rsid w:val="001A1DA0"/>
    <w:rsid w:val="001A3ABE"/>
    <w:rsid w:val="001A3FB3"/>
    <w:rsid w:val="001A40C9"/>
    <w:rsid w:val="001A4839"/>
    <w:rsid w:val="001A595D"/>
    <w:rsid w:val="001A5DD4"/>
    <w:rsid w:val="001A5E9A"/>
    <w:rsid w:val="001A5F0E"/>
    <w:rsid w:val="001A6433"/>
    <w:rsid w:val="001A6B72"/>
    <w:rsid w:val="001A7610"/>
    <w:rsid w:val="001A7E1B"/>
    <w:rsid w:val="001B03D4"/>
    <w:rsid w:val="001B0967"/>
    <w:rsid w:val="001B0DE1"/>
    <w:rsid w:val="001B15FF"/>
    <w:rsid w:val="001B1C1A"/>
    <w:rsid w:val="001B2468"/>
    <w:rsid w:val="001B2CA0"/>
    <w:rsid w:val="001B3152"/>
    <w:rsid w:val="001B3F48"/>
    <w:rsid w:val="001B5522"/>
    <w:rsid w:val="001C011F"/>
    <w:rsid w:val="001C0224"/>
    <w:rsid w:val="001C02BA"/>
    <w:rsid w:val="001C222D"/>
    <w:rsid w:val="001C2A54"/>
    <w:rsid w:val="001C4292"/>
    <w:rsid w:val="001C4E3C"/>
    <w:rsid w:val="001C4E5A"/>
    <w:rsid w:val="001C50CC"/>
    <w:rsid w:val="001C539B"/>
    <w:rsid w:val="001C573A"/>
    <w:rsid w:val="001C6246"/>
    <w:rsid w:val="001C6C24"/>
    <w:rsid w:val="001C763C"/>
    <w:rsid w:val="001C7D32"/>
    <w:rsid w:val="001D0249"/>
    <w:rsid w:val="001D0C98"/>
    <w:rsid w:val="001D0F1A"/>
    <w:rsid w:val="001D179B"/>
    <w:rsid w:val="001D2D1B"/>
    <w:rsid w:val="001D305B"/>
    <w:rsid w:val="001D30A0"/>
    <w:rsid w:val="001D4038"/>
    <w:rsid w:val="001D40E7"/>
    <w:rsid w:val="001D49D0"/>
    <w:rsid w:val="001D553F"/>
    <w:rsid w:val="001D6636"/>
    <w:rsid w:val="001D6689"/>
    <w:rsid w:val="001D6A0D"/>
    <w:rsid w:val="001D6FF5"/>
    <w:rsid w:val="001D72AE"/>
    <w:rsid w:val="001E0CFB"/>
    <w:rsid w:val="001E1056"/>
    <w:rsid w:val="001E115D"/>
    <w:rsid w:val="001E133E"/>
    <w:rsid w:val="001E18BB"/>
    <w:rsid w:val="001E1925"/>
    <w:rsid w:val="001E2C73"/>
    <w:rsid w:val="001E2C96"/>
    <w:rsid w:val="001E3735"/>
    <w:rsid w:val="001E3B4D"/>
    <w:rsid w:val="001E4418"/>
    <w:rsid w:val="001E4E0D"/>
    <w:rsid w:val="001E5008"/>
    <w:rsid w:val="001E51BA"/>
    <w:rsid w:val="001E5332"/>
    <w:rsid w:val="001E63A7"/>
    <w:rsid w:val="001E676F"/>
    <w:rsid w:val="001E6D7B"/>
    <w:rsid w:val="001E73F3"/>
    <w:rsid w:val="001E7B2D"/>
    <w:rsid w:val="001E7C23"/>
    <w:rsid w:val="001E7C51"/>
    <w:rsid w:val="001F0077"/>
    <w:rsid w:val="001F00D7"/>
    <w:rsid w:val="001F0C53"/>
    <w:rsid w:val="001F1ED4"/>
    <w:rsid w:val="001F2BF3"/>
    <w:rsid w:val="001F2C57"/>
    <w:rsid w:val="001F3D5C"/>
    <w:rsid w:val="001F3F9F"/>
    <w:rsid w:val="001F40A7"/>
    <w:rsid w:val="001F4E61"/>
    <w:rsid w:val="001F5078"/>
    <w:rsid w:val="001F55CA"/>
    <w:rsid w:val="001F5C54"/>
    <w:rsid w:val="001F79C1"/>
    <w:rsid w:val="001F7A64"/>
    <w:rsid w:val="001F7FB3"/>
    <w:rsid w:val="002009CA"/>
    <w:rsid w:val="00200A08"/>
    <w:rsid w:val="00201E11"/>
    <w:rsid w:val="00202C37"/>
    <w:rsid w:val="00203118"/>
    <w:rsid w:val="002040B5"/>
    <w:rsid w:val="0020440A"/>
    <w:rsid w:val="0020481D"/>
    <w:rsid w:val="00204C41"/>
    <w:rsid w:val="00204C9D"/>
    <w:rsid w:val="00205ADC"/>
    <w:rsid w:val="00205E21"/>
    <w:rsid w:val="00206575"/>
    <w:rsid w:val="00206821"/>
    <w:rsid w:val="00206894"/>
    <w:rsid w:val="00206E6D"/>
    <w:rsid w:val="00207492"/>
    <w:rsid w:val="002075E4"/>
    <w:rsid w:val="00207705"/>
    <w:rsid w:val="00207CB1"/>
    <w:rsid w:val="0021085D"/>
    <w:rsid w:val="00210EE7"/>
    <w:rsid w:val="00211095"/>
    <w:rsid w:val="00211789"/>
    <w:rsid w:val="00211DEB"/>
    <w:rsid w:val="00212232"/>
    <w:rsid w:val="00212480"/>
    <w:rsid w:val="00212D42"/>
    <w:rsid w:val="00212DF3"/>
    <w:rsid w:val="00213D24"/>
    <w:rsid w:val="00213E18"/>
    <w:rsid w:val="002143A3"/>
    <w:rsid w:val="002149F4"/>
    <w:rsid w:val="002165F4"/>
    <w:rsid w:val="002165FB"/>
    <w:rsid w:val="002167BA"/>
    <w:rsid w:val="00216C39"/>
    <w:rsid w:val="00216E68"/>
    <w:rsid w:val="00217096"/>
    <w:rsid w:val="00220178"/>
    <w:rsid w:val="00220BE6"/>
    <w:rsid w:val="0022197B"/>
    <w:rsid w:val="00221A7C"/>
    <w:rsid w:val="002223EA"/>
    <w:rsid w:val="002235BA"/>
    <w:rsid w:val="0022373C"/>
    <w:rsid w:val="00223DD9"/>
    <w:rsid w:val="00224213"/>
    <w:rsid w:val="0022442F"/>
    <w:rsid w:val="00224DCB"/>
    <w:rsid w:val="00225155"/>
    <w:rsid w:val="00225964"/>
    <w:rsid w:val="00225A4C"/>
    <w:rsid w:val="002260D0"/>
    <w:rsid w:val="002262B2"/>
    <w:rsid w:val="0022655D"/>
    <w:rsid w:val="002301CE"/>
    <w:rsid w:val="00230316"/>
    <w:rsid w:val="002303F4"/>
    <w:rsid w:val="00231BA4"/>
    <w:rsid w:val="002328A2"/>
    <w:rsid w:val="00232CAA"/>
    <w:rsid w:val="00232EEF"/>
    <w:rsid w:val="0023334A"/>
    <w:rsid w:val="00233436"/>
    <w:rsid w:val="002339A9"/>
    <w:rsid w:val="00233B1F"/>
    <w:rsid w:val="002341E4"/>
    <w:rsid w:val="00234446"/>
    <w:rsid w:val="00234D9F"/>
    <w:rsid w:val="00235746"/>
    <w:rsid w:val="00235A70"/>
    <w:rsid w:val="00235D64"/>
    <w:rsid w:val="002363FE"/>
    <w:rsid w:val="00236513"/>
    <w:rsid w:val="002367E6"/>
    <w:rsid w:val="00237135"/>
    <w:rsid w:val="002372CA"/>
    <w:rsid w:val="00237D85"/>
    <w:rsid w:val="00237EB7"/>
    <w:rsid w:val="00240719"/>
    <w:rsid w:val="00240EF5"/>
    <w:rsid w:val="00241041"/>
    <w:rsid w:val="00241193"/>
    <w:rsid w:val="00241C0D"/>
    <w:rsid w:val="00242A07"/>
    <w:rsid w:val="00242CC2"/>
    <w:rsid w:val="00242DEA"/>
    <w:rsid w:val="00243A50"/>
    <w:rsid w:val="00243B88"/>
    <w:rsid w:val="002443C3"/>
    <w:rsid w:val="00244FF8"/>
    <w:rsid w:val="00245545"/>
    <w:rsid w:val="002457C0"/>
    <w:rsid w:val="00245973"/>
    <w:rsid w:val="00245B0C"/>
    <w:rsid w:val="002464B4"/>
    <w:rsid w:val="0024696C"/>
    <w:rsid w:val="0024786E"/>
    <w:rsid w:val="002506D2"/>
    <w:rsid w:val="00250EE5"/>
    <w:rsid w:val="002516AE"/>
    <w:rsid w:val="0025184C"/>
    <w:rsid w:val="002523E3"/>
    <w:rsid w:val="0025256E"/>
    <w:rsid w:val="00253420"/>
    <w:rsid w:val="00253B37"/>
    <w:rsid w:val="002542C7"/>
    <w:rsid w:val="002544DA"/>
    <w:rsid w:val="002545F7"/>
    <w:rsid w:val="00254938"/>
    <w:rsid w:val="00254D05"/>
    <w:rsid w:val="00254FF7"/>
    <w:rsid w:val="002559E9"/>
    <w:rsid w:val="00255C4A"/>
    <w:rsid w:val="0025678D"/>
    <w:rsid w:val="002567BA"/>
    <w:rsid w:val="002619BF"/>
    <w:rsid w:val="00261C94"/>
    <w:rsid w:val="0026238D"/>
    <w:rsid w:val="0026269B"/>
    <w:rsid w:val="00262C11"/>
    <w:rsid w:val="002652BE"/>
    <w:rsid w:val="00265679"/>
    <w:rsid w:val="00265A44"/>
    <w:rsid w:val="00266030"/>
    <w:rsid w:val="002661F2"/>
    <w:rsid w:val="002663BF"/>
    <w:rsid w:val="002665B3"/>
    <w:rsid w:val="00266815"/>
    <w:rsid w:val="00266E27"/>
    <w:rsid w:val="00266E37"/>
    <w:rsid w:val="002674C2"/>
    <w:rsid w:val="002679F1"/>
    <w:rsid w:val="00267EA1"/>
    <w:rsid w:val="00270936"/>
    <w:rsid w:val="0027222B"/>
    <w:rsid w:val="0027299C"/>
    <w:rsid w:val="002733D4"/>
    <w:rsid w:val="00273899"/>
    <w:rsid w:val="0027395E"/>
    <w:rsid w:val="00274118"/>
    <w:rsid w:val="002748B8"/>
    <w:rsid w:val="00274A7F"/>
    <w:rsid w:val="00275D86"/>
    <w:rsid w:val="00275DB7"/>
    <w:rsid w:val="0027707B"/>
    <w:rsid w:val="00277232"/>
    <w:rsid w:val="002779D5"/>
    <w:rsid w:val="00277BA8"/>
    <w:rsid w:val="002802B6"/>
    <w:rsid w:val="00280951"/>
    <w:rsid w:val="00281BBB"/>
    <w:rsid w:val="00282D88"/>
    <w:rsid w:val="00282E5C"/>
    <w:rsid w:val="0028408A"/>
    <w:rsid w:val="00284777"/>
    <w:rsid w:val="0028655D"/>
    <w:rsid w:val="0028666E"/>
    <w:rsid w:val="00286CFD"/>
    <w:rsid w:val="00286D67"/>
    <w:rsid w:val="002874A4"/>
    <w:rsid w:val="0029079B"/>
    <w:rsid w:val="002908C4"/>
    <w:rsid w:val="00290C83"/>
    <w:rsid w:val="00290DD9"/>
    <w:rsid w:val="00290F7D"/>
    <w:rsid w:val="00291086"/>
    <w:rsid w:val="002912EA"/>
    <w:rsid w:val="00291F22"/>
    <w:rsid w:val="0029410E"/>
    <w:rsid w:val="00294C30"/>
    <w:rsid w:val="00294E10"/>
    <w:rsid w:val="00295DB2"/>
    <w:rsid w:val="00295E1B"/>
    <w:rsid w:val="00296BBE"/>
    <w:rsid w:val="00296E31"/>
    <w:rsid w:val="00297642"/>
    <w:rsid w:val="00297919"/>
    <w:rsid w:val="00297E3B"/>
    <w:rsid w:val="00297E75"/>
    <w:rsid w:val="002A0126"/>
    <w:rsid w:val="002A05BB"/>
    <w:rsid w:val="002A0602"/>
    <w:rsid w:val="002A1173"/>
    <w:rsid w:val="002A1D22"/>
    <w:rsid w:val="002A3F00"/>
    <w:rsid w:val="002A43F7"/>
    <w:rsid w:val="002A452A"/>
    <w:rsid w:val="002A517D"/>
    <w:rsid w:val="002A51F2"/>
    <w:rsid w:val="002A7744"/>
    <w:rsid w:val="002B0BC8"/>
    <w:rsid w:val="002B11D8"/>
    <w:rsid w:val="002B1355"/>
    <w:rsid w:val="002B22CA"/>
    <w:rsid w:val="002B25A1"/>
    <w:rsid w:val="002B30C8"/>
    <w:rsid w:val="002B4743"/>
    <w:rsid w:val="002B55A5"/>
    <w:rsid w:val="002B5CEC"/>
    <w:rsid w:val="002B6513"/>
    <w:rsid w:val="002B6C99"/>
    <w:rsid w:val="002C0B9E"/>
    <w:rsid w:val="002C161B"/>
    <w:rsid w:val="002C18D0"/>
    <w:rsid w:val="002C223A"/>
    <w:rsid w:val="002C23A8"/>
    <w:rsid w:val="002C295D"/>
    <w:rsid w:val="002C36B9"/>
    <w:rsid w:val="002C3FAB"/>
    <w:rsid w:val="002C41BA"/>
    <w:rsid w:val="002C439E"/>
    <w:rsid w:val="002C503D"/>
    <w:rsid w:val="002C5D83"/>
    <w:rsid w:val="002C6B53"/>
    <w:rsid w:val="002C7168"/>
    <w:rsid w:val="002C762E"/>
    <w:rsid w:val="002D0614"/>
    <w:rsid w:val="002D0677"/>
    <w:rsid w:val="002D0CC2"/>
    <w:rsid w:val="002D0F28"/>
    <w:rsid w:val="002D108E"/>
    <w:rsid w:val="002D140B"/>
    <w:rsid w:val="002D2495"/>
    <w:rsid w:val="002D2746"/>
    <w:rsid w:val="002D2B9C"/>
    <w:rsid w:val="002D2CE2"/>
    <w:rsid w:val="002D30EE"/>
    <w:rsid w:val="002D3264"/>
    <w:rsid w:val="002D481A"/>
    <w:rsid w:val="002D4CA9"/>
    <w:rsid w:val="002D4D26"/>
    <w:rsid w:val="002D4EC0"/>
    <w:rsid w:val="002D64CC"/>
    <w:rsid w:val="002D6A01"/>
    <w:rsid w:val="002D6B1A"/>
    <w:rsid w:val="002D7110"/>
    <w:rsid w:val="002D7193"/>
    <w:rsid w:val="002E1E60"/>
    <w:rsid w:val="002E206B"/>
    <w:rsid w:val="002E2176"/>
    <w:rsid w:val="002E277F"/>
    <w:rsid w:val="002E2C8C"/>
    <w:rsid w:val="002E342D"/>
    <w:rsid w:val="002E3F2B"/>
    <w:rsid w:val="002E441A"/>
    <w:rsid w:val="002E49AA"/>
    <w:rsid w:val="002E4E2A"/>
    <w:rsid w:val="002E5382"/>
    <w:rsid w:val="002E5A15"/>
    <w:rsid w:val="002E6D2E"/>
    <w:rsid w:val="002E748C"/>
    <w:rsid w:val="002E7543"/>
    <w:rsid w:val="002F00FE"/>
    <w:rsid w:val="002F0960"/>
    <w:rsid w:val="002F385C"/>
    <w:rsid w:val="002F3A43"/>
    <w:rsid w:val="002F3F40"/>
    <w:rsid w:val="002F42A5"/>
    <w:rsid w:val="002F5D8F"/>
    <w:rsid w:val="002F6F6C"/>
    <w:rsid w:val="002F728F"/>
    <w:rsid w:val="002F766B"/>
    <w:rsid w:val="003003DE"/>
    <w:rsid w:val="00300B5F"/>
    <w:rsid w:val="00300BDF"/>
    <w:rsid w:val="00301EDB"/>
    <w:rsid w:val="003022C0"/>
    <w:rsid w:val="003048D2"/>
    <w:rsid w:val="00305000"/>
    <w:rsid w:val="003050CE"/>
    <w:rsid w:val="003057F3"/>
    <w:rsid w:val="003058A7"/>
    <w:rsid w:val="003058B1"/>
    <w:rsid w:val="00307227"/>
    <w:rsid w:val="00307F03"/>
    <w:rsid w:val="0031095A"/>
    <w:rsid w:val="00310A77"/>
    <w:rsid w:val="00310E89"/>
    <w:rsid w:val="00310ED5"/>
    <w:rsid w:val="003122F4"/>
    <w:rsid w:val="0031398D"/>
    <w:rsid w:val="00313E7C"/>
    <w:rsid w:val="0031407D"/>
    <w:rsid w:val="003143C0"/>
    <w:rsid w:val="00314AA9"/>
    <w:rsid w:val="00314E40"/>
    <w:rsid w:val="00315943"/>
    <w:rsid w:val="00315D92"/>
    <w:rsid w:val="00316770"/>
    <w:rsid w:val="003168DE"/>
    <w:rsid w:val="003207AD"/>
    <w:rsid w:val="00320A17"/>
    <w:rsid w:val="00320F85"/>
    <w:rsid w:val="00323442"/>
    <w:rsid w:val="00323AAA"/>
    <w:rsid w:val="00323F77"/>
    <w:rsid w:val="00324F9E"/>
    <w:rsid w:val="00325F55"/>
    <w:rsid w:val="003268F7"/>
    <w:rsid w:val="00326A02"/>
    <w:rsid w:val="00326B43"/>
    <w:rsid w:val="00326DA2"/>
    <w:rsid w:val="00327921"/>
    <w:rsid w:val="00327FAD"/>
    <w:rsid w:val="003300FF"/>
    <w:rsid w:val="00330379"/>
    <w:rsid w:val="00330817"/>
    <w:rsid w:val="0033081C"/>
    <w:rsid w:val="00330870"/>
    <w:rsid w:val="003308F6"/>
    <w:rsid w:val="00330C6C"/>
    <w:rsid w:val="00330DA9"/>
    <w:rsid w:val="003324C6"/>
    <w:rsid w:val="00332826"/>
    <w:rsid w:val="00333C2D"/>
    <w:rsid w:val="00333D44"/>
    <w:rsid w:val="003343B6"/>
    <w:rsid w:val="00334DFB"/>
    <w:rsid w:val="00334EAC"/>
    <w:rsid w:val="003352E1"/>
    <w:rsid w:val="00335344"/>
    <w:rsid w:val="00335AC4"/>
    <w:rsid w:val="00336320"/>
    <w:rsid w:val="0033698C"/>
    <w:rsid w:val="003378A3"/>
    <w:rsid w:val="003403F4"/>
    <w:rsid w:val="0034126A"/>
    <w:rsid w:val="003414C4"/>
    <w:rsid w:val="00341B32"/>
    <w:rsid w:val="0034383F"/>
    <w:rsid w:val="00343C98"/>
    <w:rsid w:val="00343D75"/>
    <w:rsid w:val="00343FBF"/>
    <w:rsid w:val="00344EEA"/>
    <w:rsid w:val="00346138"/>
    <w:rsid w:val="003469A4"/>
    <w:rsid w:val="00346B64"/>
    <w:rsid w:val="00347113"/>
    <w:rsid w:val="003501EE"/>
    <w:rsid w:val="00350ADA"/>
    <w:rsid w:val="00350CE9"/>
    <w:rsid w:val="00350DA6"/>
    <w:rsid w:val="00351BBF"/>
    <w:rsid w:val="00352140"/>
    <w:rsid w:val="00352E5A"/>
    <w:rsid w:val="00353B88"/>
    <w:rsid w:val="0035463E"/>
    <w:rsid w:val="003550C2"/>
    <w:rsid w:val="0035535E"/>
    <w:rsid w:val="0035629C"/>
    <w:rsid w:val="003572BF"/>
    <w:rsid w:val="00357776"/>
    <w:rsid w:val="00357DD6"/>
    <w:rsid w:val="003609F5"/>
    <w:rsid w:val="00360E79"/>
    <w:rsid w:val="00360FAA"/>
    <w:rsid w:val="003610C8"/>
    <w:rsid w:val="00361302"/>
    <w:rsid w:val="00361DFD"/>
    <w:rsid w:val="00361EAB"/>
    <w:rsid w:val="0036213E"/>
    <w:rsid w:val="00362B3F"/>
    <w:rsid w:val="0036323E"/>
    <w:rsid w:val="0036355C"/>
    <w:rsid w:val="00363957"/>
    <w:rsid w:val="0036509C"/>
    <w:rsid w:val="003653EB"/>
    <w:rsid w:val="00365A56"/>
    <w:rsid w:val="00365E6D"/>
    <w:rsid w:val="00366649"/>
    <w:rsid w:val="0036689E"/>
    <w:rsid w:val="00366BC4"/>
    <w:rsid w:val="0036714F"/>
    <w:rsid w:val="003679F2"/>
    <w:rsid w:val="00370448"/>
    <w:rsid w:val="00370A8F"/>
    <w:rsid w:val="003711DD"/>
    <w:rsid w:val="00371B1C"/>
    <w:rsid w:val="00371F71"/>
    <w:rsid w:val="00372430"/>
    <w:rsid w:val="003725F9"/>
    <w:rsid w:val="00373122"/>
    <w:rsid w:val="003731FA"/>
    <w:rsid w:val="00373F09"/>
    <w:rsid w:val="003754E7"/>
    <w:rsid w:val="0037586A"/>
    <w:rsid w:val="00375A2F"/>
    <w:rsid w:val="0037612F"/>
    <w:rsid w:val="003766A7"/>
    <w:rsid w:val="00377391"/>
    <w:rsid w:val="00377CF2"/>
    <w:rsid w:val="00380218"/>
    <w:rsid w:val="0038147E"/>
    <w:rsid w:val="00381969"/>
    <w:rsid w:val="00381F3B"/>
    <w:rsid w:val="003822AB"/>
    <w:rsid w:val="003822D6"/>
    <w:rsid w:val="00382410"/>
    <w:rsid w:val="00383510"/>
    <w:rsid w:val="00383631"/>
    <w:rsid w:val="00383AAC"/>
    <w:rsid w:val="00383E55"/>
    <w:rsid w:val="003846C5"/>
    <w:rsid w:val="00384BAE"/>
    <w:rsid w:val="00384D67"/>
    <w:rsid w:val="00384F20"/>
    <w:rsid w:val="003853FC"/>
    <w:rsid w:val="003868CA"/>
    <w:rsid w:val="003868CF"/>
    <w:rsid w:val="00386ABB"/>
    <w:rsid w:val="0038722D"/>
    <w:rsid w:val="003873C4"/>
    <w:rsid w:val="00387B21"/>
    <w:rsid w:val="0039123A"/>
    <w:rsid w:val="00391DEF"/>
    <w:rsid w:val="0039240E"/>
    <w:rsid w:val="00392848"/>
    <w:rsid w:val="0039471D"/>
    <w:rsid w:val="00396853"/>
    <w:rsid w:val="00396A91"/>
    <w:rsid w:val="0039793A"/>
    <w:rsid w:val="003A14C0"/>
    <w:rsid w:val="003A199E"/>
    <w:rsid w:val="003A1E59"/>
    <w:rsid w:val="003A2790"/>
    <w:rsid w:val="003A33C9"/>
    <w:rsid w:val="003A4496"/>
    <w:rsid w:val="003A553A"/>
    <w:rsid w:val="003A5A8A"/>
    <w:rsid w:val="003A65FA"/>
    <w:rsid w:val="003A67CD"/>
    <w:rsid w:val="003A7D79"/>
    <w:rsid w:val="003A7FA3"/>
    <w:rsid w:val="003B0011"/>
    <w:rsid w:val="003B002B"/>
    <w:rsid w:val="003B0E3F"/>
    <w:rsid w:val="003B114A"/>
    <w:rsid w:val="003B19A0"/>
    <w:rsid w:val="003B2BF8"/>
    <w:rsid w:val="003B2F02"/>
    <w:rsid w:val="003B37C5"/>
    <w:rsid w:val="003B3E0F"/>
    <w:rsid w:val="003B40AE"/>
    <w:rsid w:val="003B43F0"/>
    <w:rsid w:val="003B5BBC"/>
    <w:rsid w:val="003B684A"/>
    <w:rsid w:val="003B6B4B"/>
    <w:rsid w:val="003B6C2F"/>
    <w:rsid w:val="003B6E42"/>
    <w:rsid w:val="003B7A94"/>
    <w:rsid w:val="003C055F"/>
    <w:rsid w:val="003C06CB"/>
    <w:rsid w:val="003C0FEC"/>
    <w:rsid w:val="003C2AD7"/>
    <w:rsid w:val="003C3340"/>
    <w:rsid w:val="003C4331"/>
    <w:rsid w:val="003C4384"/>
    <w:rsid w:val="003C48E2"/>
    <w:rsid w:val="003C565D"/>
    <w:rsid w:val="003C5C45"/>
    <w:rsid w:val="003C72D8"/>
    <w:rsid w:val="003C7B93"/>
    <w:rsid w:val="003C7BFC"/>
    <w:rsid w:val="003C7C77"/>
    <w:rsid w:val="003C7FF3"/>
    <w:rsid w:val="003D067B"/>
    <w:rsid w:val="003D0AC8"/>
    <w:rsid w:val="003D0F0B"/>
    <w:rsid w:val="003D0F57"/>
    <w:rsid w:val="003D11E3"/>
    <w:rsid w:val="003D1261"/>
    <w:rsid w:val="003D1F6A"/>
    <w:rsid w:val="003D2152"/>
    <w:rsid w:val="003D266F"/>
    <w:rsid w:val="003D28BA"/>
    <w:rsid w:val="003D2B61"/>
    <w:rsid w:val="003D3F10"/>
    <w:rsid w:val="003D4AB7"/>
    <w:rsid w:val="003D4ADA"/>
    <w:rsid w:val="003D4C5D"/>
    <w:rsid w:val="003D4ECA"/>
    <w:rsid w:val="003D584C"/>
    <w:rsid w:val="003D667A"/>
    <w:rsid w:val="003D7492"/>
    <w:rsid w:val="003D7DDF"/>
    <w:rsid w:val="003E0817"/>
    <w:rsid w:val="003E0A13"/>
    <w:rsid w:val="003E1B93"/>
    <w:rsid w:val="003E2DEC"/>
    <w:rsid w:val="003E3453"/>
    <w:rsid w:val="003E4264"/>
    <w:rsid w:val="003E51C8"/>
    <w:rsid w:val="003E63F9"/>
    <w:rsid w:val="003E7DEF"/>
    <w:rsid w:val="003F012C"/>
    <w:rsid w:val="003F0362"/>
    <w:rsid w:val="003F0D32"/>
    <w:rsid w:val="003F10E4"/>
    <w:rsid w:val="003F118C"/>
    <w:rsid w:val="003F2A96"/>
    <w:rsid w:val="003F3BEA"/>
    <w:rsid w:val="003F3F8E"/>
    <w:rsid w:val="003F3F9F"/>
    <w:rsid w:val="003F4E9F"/>
    <w:rsid w:val="003F5307"/>
    <w:rsid w:val="003F7558"/>
    <w:rsid w:val="003F7CA1"/>
    <w:rsid w:val="00401C20"/>
    <w:rsid w:val="00401E50"/>
    <w:rsid w:val="00401E8E"/>
    <w:rsid w:val="00402542"/>
    <w:rsid w:val="004025C0"/>
    <w:rsid w:val="00404006"/>
    <w:rsid w:val="00404122"/>
    <w:rsid w:val="00404C96"/>
    <w:rsid w:val="00404F77"/>
    <w:rsid w:val="00406407"/>
    <w:rsid w:val="0040668D"/>
    <w:rsid w:val="004070E9"/>
    <w:rsid w:val="004072D0"/>
    <w:rsid w:val="00407525"/>
    <w:rsid w:val="00407E08"/>
    <w:rsid w:val="00410948"/>
    <w:rsid w:val="00410D57"/>
    <w:rsid w:val="00411581"/>
    <w:rsid w:val="00411AA7"/>
    <w:rsid w:val="00412559"/>
    <w:rsid w:val="00412732"/>
    <w:rsid w:val="0041293B"/>
    <w:rsid w:val="00412DC3"/>
    <w:rsid w:val="00413BCA"/>
    <w:rsid w:val="00414B82"/>
    <w:rsid w:val="00414C0B"/>
    <w:rsid w:val="00414D54"/>
    <w:rsid w:val="0041543A"/>
    <w:rsid w:val="00415F5D"/>
    <w:rsid w:val="00416931"/>
    <w:rsid w:val="00416C01"/>
    <w:rsid w:val="0041737A"/>
    <w:rsid w:val="004177E1"/>
    <w:rsid w:val="00417F39"/>
    <w:rsid w:val="0042044E"/>
    <w:rsid w:val="00420C93"/>
    <w:rsid w:val="00421889"/>
    <w:rsid w:val="00421B04"/>
    <w:rsid w:val="00421DF8"/>
    <w:rsid w:val="00421F98"/>
    <w:rsid w:val="00422910"/>
    <w:rsid w:val="00422E9B"/>
    <w:rsid w:val="004230C7"/>
    <w:rsid w:val="004234F4"/>
    <w:rsid w:val="00423AA3"/>
    <w:rsid w:val="00423B31"/>
    <w:rsid w:val="00423D84"/>
    <w:rsid w:val="004242A1"/>
    <w:rsid w:val="00424B76"/>
    <w:rsid w:val="0042547B"/>
    <w:rsid w:val="004258DC"/>
    <w:rsid w:val="004259AD"/>
    <w:rsid w:val="00425F6C"/>
    <w:rsid w:val="004260BB"/>
    <w:rsid w:val="00426465"/>
    <w:rsid w:val="004264E4"/>
    <w:rsid w:val="00426A4A"/>
    <w:rsid w:val="0042758F"/>
    <w:rsid w:val="00427809"/>
    <w:rsid w:val="00431D57"/>
    <w:rsid w:val="00431E3C"/>
    <w:rsid w:val="004320A6"/>
    <w:rsid w:val="00432847"/>
    <w:rsid w:val="00432C62"/>
    <w:rsid w:val="00432E0D"/>
    <w:rsid w:val="00432E97"/>
    <w:rsid w:val="004339AC"/>
    <w:rsid w:val="00434040"/>
    <w:rsid w:val="00436AFB"/>
    <w:rsid w:val="00436E1B"/>
    <w:rsid w:val="00437105"/>
    <w:rsid w:val="004374C6"/>
    <w:rsid w:val="00437C1C"/>
    <w:rsid w:val="004403C2"/>
    <w:rsid w:val="004405F3"/>
    <w:rsid w:val="00440879"/>
    <w:rsid w:val="00440E13"/>
    <w:rsid w:val="0044181B"/>
    <w:rsid w:val="00441C46"/>
    <w:rsid w:val="004425FB"/>
    <w:rsid w:val="00442650"/>
    <w:rsid w:val="004434A2"/>
    <w:rsid w:val="004440BE"/>
    <w:rsid w:val="0044460D"/>
    <w:rsid w:val="00444948"/>
    <w:rsid w:val="0044730D"/>
    <w:rsid w:val="004479D9"/>
    <w:rsid w:val="00447A5E"/>
    <w:rsid w:val="00447AAB"/>
    <w:rsid w:val="00447AFF"/>
    <w:rsid w:val="0045013E"/>
    <w:rsid w:val="00450F6F"/>
    <w:rsid w:val="00451F11"/>
    <w:rsid w:val="004527C7"/>
    <w:rsid w:val="00453A07"/>
    <w:rsid w:val="00453ABF"/>
    <w:rsid w:val="00453B17"/>
    <w:rsid w:val="00454689"/>
    <w:rsid w:val="0045495E"/>
    <w:rsid w:val="00454964"/>
    <w:rsid w:val="00454EF8"/>
    <w:rsid w:val="00454FCE"/>
    <w:rsid w:val="0045512D"/>
    <w:rsid w:val="004551B4"/>
    <w:rsid w:val="004557B9"/>
    <w:rsid w:val="00456D11"/>
    <w:rsid w:val="004578B0"/>
    <w:rsid w:val="00457AA3"/>
    <w:rsid w:val="004603B2"/>
    <w:rsid w:val="004608CA"/>
    <w:rsid w:val="00460938"/>
    <w:rsid w:val="004612F6"/>
    <w:rsid w:val="00461696"/>
    <w:rsid w:val="00461C68"/>
    <w:rsid w:val="00461CD5"/>
    <w:rsid w:val="00462FD4"/>
    <w:rsid w:val="00463160"/>
    <w:rsid w:val="004642C2"/>
    <w:rsid w:val="00466169"/>
    <w:rsid w:val="004671F2"/>
    <w:rsid w:val="0046735A"/>
    <w:rsid w:val="004674A6"/>
    <w:rsid w:val="0046789D"/>
    <w:rsid w:val="004678A7"/>
    <w:rsid w:val="0047051F"/>
    <w:rsid w:val="00470FBE"/>
    <w:rsid w:val="0047103A"/>
    <w:rsid w:val="004712D7"/>
    <w:rsid w:val="0047130B"/>
    <w:rsid w:val="004713C4"/>
    <w:rsid w:val="004713EF"/>
    <w:rsid w:val="00471DB5"/>
    <w:rsid w:val="00472D78"/>
    <w:rsid w:val="00473AE7"/>
    <w:rsid w:val="00474B05"/>
    <w:rsid w:val="00475049"/>
    <w:rsid w:val="00475BAE"/>
    <w:rsid w:val="00475BDD"/>
    <w:rsid w:val="00475C98"/>
    <w:rsid w:val="00475CA6"/>
    <w:rsid w:val="00475CE1"/>
    <w:rsid w:val="004764DC"/>
    <w:rsid w:val="00476672"/>
    <w:rsid w:val="00477DFC"/>
    <w:rsid w:val="00480936"/>
    <w:rsid w:val="0048133B"/>
    <w:rsid w:val="004816B4"/>
    <w:rsid w:val="004833C0"/>
    <w:rsid w:val="00483537"/>
    <w:rsid w:val="00483754"/>
    <w:rsid w:val="00484FAE"/>
    <w:rsid w:val="00485488"/>
    <w:rsid w:val="00486C5A"/>
    <w:rsid w:val="00487011"/>
    <w:rsid w:val="004903BC"/>
    <w:rsid w:val="004909CF"/>
    <w:rsid w:val="00490E19"/>
    <w:rsid w:val="00491174"/>
    <w:rsid w:val="00491357"/>
    <w:rsid w:val="00491877"/>
    <w:rsid w:val="00492646"/>
    <w:rsid w:val="004929EA"/>
    <w:rsid w:val="00492C21"/>
    <w:rsid w:val="0049393D"/>
    <w:rsid w:val="00495D9B"/>
    <w:rsid w:val="00495DEB"/>
    <w:rsid w:val="004969AE"/>
    <w:rsid w:val="004970F0"/>
    <w:rsid w:val="00497372"/>
    <w:rsid w:val="0049777A"/>
    <w:rsid w:val="0049784E"/>
    <w:rsid w:val="004A0658"/>
    <w:rsid w:val="004A0829"/>
    <w:rsid w:val="004A0949"/>
    <w:rsid w:val="004A0A31"/>
    <w:rsid w:val="004A102D"/>
    <w:rsid w:val="004A199A"/>
    <w:rsid w:val="004A3267"/>
    <w:rsid w:val="004A3828"/>
    <w:rsid w:val="004A403E"/>
    <w:rsid w:val="004A489D"/>
    <w:rsid w:val="004A4DDF"/>
    <w:rsid w:val="004A4DE3"/>
    <w:rsid w:val="004A4ECD"/>
    <w:rsid w:val="004A63CE"/>
    <w:rsid w:val="004A6911"/>
    <w:rsid w:val="004A6992"/>
    <w:rsid w:val="004A69C4"/>
    <w:rsid w:val="004A75E7"/>
    <w:rsid w:val="004A77AA"/>
    <w:rsid w:val="004B01D0"/>
    <w:rsid w:val="004B1536"/>
    <w:rsid w:val="004B1BA8"/>
    <w:rsid w:val="004B2201"/>
    <w:rsid w:val="004B2631"/>
    <w:rsid w:val="004B2872"/>
    <w:rsid w:val="004B32B4"/>
    <w:rsid w:val="004B34F2"/>
    <w:rsid w:val="004B3867"/>
    <w:rsid w:val="004B39D7"/>
    <w:rsid w:val="004B3FB8"/>
    <w:rsid w:val="004B47DB"/>
    <w:rsid w:val="004B4A3A"/>
    <w:rsid w:val="004B58E3"/>
    <w:rsid w:val="004B5958"/>
    <w:rsid w:val="004B674E"/>
    <w:rsid w:val="004B67A5"/>
    <w:rsid w:val="004B6F40"/>
    <w:rsid w:val="004B7F8E"/>
    <w:rsid w:val="004C0FE5"/>
    <w:rsid w:val="004C149C"/>
    <w:rsid w:val="004C1E88"/>
    <w:rsid w:val="004C2061"/>
    <w:rsid w:val="004C41CB"/>
    <w:rsid w:val="004C4D6D"/>
    <w:rsid w:val="004C4E5F"/>
    <w:rsid w:val="004C5CFF"/>
    <w:rsid w:val="004C6081"/>
    <w:rsid w:val="004C6E31"/>
    <w:rsid w:val="004C6F79"/>
    <w:rsid w:val="004C7102"/>
    <w:rsid w:val="004C7691"/>
    <w:rsid w:val="004C7C8C"/>
    <w:rsid w:val="004C7F93"/>
    <w:rsid w:val="004D03E4"/>
    <w:rsid w:val="004D066B"/>
    <w:rsid w:val="004D1B73"/>
    <w:rsid w:val="004D1CAD"/>
    <w:rsid w:val="004D2054"/>
    <w:rsid w:val="004D20D9"/>
    <w:rsid w:val="004D21DF"/>
    <w:rsid w:val="004D2C78"/>
    <w:rsid w:val="004D335B"/>
    <w:rsid w:val="004D3376"/>
    <w:rsid w:val="004D3B72"/>
    <w:rsid w:val="004D5D68"/>
    <w:rsid w:val="004D5E6D"/>
    <w:rsid w:val="004D6DFE"/>
    <w:rsid w:val="004D74F7"/>
    <w:rsid w:val="004D7F63"/>
    <w:rsid w:val="004E01A4"/>
    <w:rsid w:val="004E038A"/>
    <w:rsid w:val="004E103C"/>
    <w:rsid w:val="004E1326"/>
    <w:rsid w:val="004E173A"/>
    <w:rsid w:val="004E2548"/>
    <w:rsid w:val="004E25C3"/>
    <w:rsid w:val="004E280E"/>
    <w:rsid w:val="004E2FF0"/>
    <w:rsid w:val="004E3714"/>
    <w:rsid w:val="004E39AB"/>
    <w:rsid w:val="004E3B67"/>
    <w:rsid w:val="004E3EEE"/>
    <w:rsid w:val="004E51D1"/>
    <w:rsid w:val="004E5309"/>
    <w:rsid w:val="004E6305"/>
    <w:rsid w:val="004E7DCA"/>
    <w:rsid w:val="004F0481"/>
    <w:rsid w:val="004F08D8"/>
    <w:rsid w:val="004F1856"/>
    <w:rsid w:val="004F1E24"/>
    <w:rsid w:val="004F23D2"/>
    <w:rsid w:val="004F2651"/>
    <w:rsid w:val="004F296A"/>
    <w:rsid w:val="004F2BE6"/>
    <w:rsid w:val="004F2C94"/>
    <w:rsid w:val="004F2D02"/>
    <w:rsid w:val="004F31BB"/>
    <w:rsid w:val="004F35D2"/>
    <w:rsid w:val="004F3827"/>
    <w:rsid w:val="004F38F4"/>
    <w:rsid w:val="004F418E"/>
    <w:rsid w:val="004F42B2"/>
    <w:rsid w:val="004F48CB"/>
    <w:rsid w:val="004F4E00"/>
    <w:rsid w:val="004F4FFE"/>
    <w:rsid w:val="004F51B2"/>
    <w:rsid w:val="004F54DA"/>
    <w:rsid w:val="004F5E7C"/>
    <w:rsid w:val="004F5FF6"/>
    <w:rsid w:val="004F605C"/>
    <w:rsid w:val="004F6448"/>
    <w:rsid w:val="004F7025"/>
    <w:rsid w:val="004F7881"/>
    <w:rsid w:val="005001C3"/>
    <w:rsid w:val="0050086F"/>
    <w:rsid w:val="00501668"/>
    <w:rsid w:val="005019CC"/>
    <w:rsid w:val="00501A21"/>
    <w:rsid w:val="00501D51"/>
    <w:rsid w:val="00501F6C"/>
    <w:rsid w:val="00502AEB"/>
    <w:rsid w:val="00502C02"/>
    <w:rsid w:val="005033B4"/>
    <w:rsid w:val="00504654"/>
    <w:rsid w:val="005049E7"/>
    <w:rsid w:val="00505781"/>
    <w:rsid w:val="00505C40"/>
    <w:rsid w:val="00505D05"/>
    <w:rsid w:val="0050632C"/>
    <w:rsid w:val="005073A9"/>
    <w:rsid w:val="0050773A"/>
    <w:rsid w:val="005078CC"/>
    <w:rsid w:val="00507EB4"/>
    <w:rsid w:val="00507F58"/>
    <w:rsid w:val="00510178"/>
    <w:rsid w:val="00510792"/>
    <w:rsid w:val="00510BBD"/>
    <w:rsid w:val="00511580"/>
    <w:rsid w:val="00511B03"/>
    <w:rsid w:val="00511B1E"/>
    <w:rsid w:val="00511D0C"/>
    <w:rsid w:val="005123D5"/>
    <w:rsid w:val="005126FF"/>
    <w:rsid w:val="00512E63"/>
    <w:rsid w:val="005132F3"/>
    <w:rsid w:val="00513DE3"/>
    <w:rsid w:val="0051447F"/>
    <w:rsid w:val="00514974"/>
    <w:rsid w:val="00514AED"/>
    <w:rsid w:val="00515A79"/>
    <w:rsid w:val="00515BB3"/>
    <w:rsid w:val="00515F35"/>
    <w:rsid w:val="00516339"/>
    <w:rsid w:val="00516BE4"/>
    <w:rsid w:val="005177BB"/>
    <w:rsid w:val="00517AC0"/>
    <w:rsid w:val="00520A03"/>
    <w:rsid w:val="00521636"/>
    <w:rsid w:val="005216DF"/>
    <w:rsid w:val="0052185E"/>
    <w:rsid w:val="00521E9F"/>
    <w:rsid w:val="00521F23"/>
    <w:rsid w:val="0052426E"/>
    <w:rsid w:val="0052497C"/>
    <w:rsid w:val="005267EC"/>
    <w:rsid w:val="00527BA4"/>
    <w:rsid w:val="005302A5"/>
    <w:rsid w:val="00530705"/>
    <w:rsid w:val="005308EE"/>
    <w:rsid w:val="00533A18"/>
    <w:rsid w:val="0053474E"/>
    <w:rsid w:val="00534912"/>
    <w:rsid w:val="00534D0D"/>
    <w:rsid w:val="00534F0C"/>
    <w:rsid w:val="00535166"/>
    <w:rsid w:val="00535A7F"/>
    <w:rsid w:val="005363C4"/>
    <w:rsid w:val="00536567"/>
    <w:rsid w:val="00536824"/>
    <w:rsid w:val="00536E2F"/>
    <w:rsid w:val="005403A5"/>
    <w:rsid w:val="00542FF0"/>
    <w:rsid w:val="00544849"/>
    <w:rsid w:val="00544B7D"/>
    <w:rsid w:val="005453C4"/>
    <w:rsid w:val="00545773"/>
    <w:rsid w:val="005459E3"/>
    <w:rsid w:val="00547E7C"/>
    <w:rsid w:val="00547FE1"/>
    <w:rsid w:val="00550E70"/>
    <w:rsid w:val="00552515"/>
    <w:rsid w:val="00552C69"/>
    <w:rsid w:val="00552EF7"/>
    <w:rsid w:val="00552F80"/>
    <w:rsid w:val="00553201"/>
    <w:rsid w:val="0055383C"/>
    <w:rsid w:val="005541D0"/>
    <w:rsid w:val="005543BB"/>
    <w:rsid w:val="00554B61"/>
    <w:rsid w:val="00554C8F"/>
    <w:rsid w:val="00554EF6"/>
    <w:rsid w:val="00555049"/>
    <w:rsid w:val="00555482"/>
    <w:rsid w:val="00555ACA"/>
    <w:rsid w:val="00555D77"/>
    <w:rsid w:val="00555F37"/>
    <w:rsid w:val="005560FC"/>
    <w:rsid w:val="00556201"/>
    <w:rsid w:val="0055628B"/>
    <w:rsid w:val="00556A2D"/>
    <w:rsid w:val="005574A7"/>
    <w:rsid w:val="00557B8B"/>
    <w:rsid w:val="00560F08"/>
    <w:rsid w:val="005613EF"/>
    <w:rsid w:val="00562925"/>
    <w:rsid w:val="00562986"/>
    <w:rsid w:val="00563078"/>
    <w:rsid w:val="00563083"/>
    <w:rsid w:val="0056345B"/>
    <w:rsid w:val="00563FBE"/>
    <w:rsid w:val="00564165"/>
    <w:rsid w:val="0056488D"/>
    <w:rsid w:val="00564D31"/>
    <w:rsid w:val="005656B7"/>
    <w:rsid w:val="00565946"/>
    <w:rsid w:val="00565AF2"/>
    <w:rsid w:val="00566100"/>
    <w:rsid w:val="00566128"/>
    <w:rsid w:val="00566175"/>
    <w:rsid w:val="00566730"/>
    <w:rsid w:val="00566816"/>
    <w:rsid w:val="00566CCE"/>
    <w:rsid w:val="00566DE5"/>
    <w:rsid w:val="00566F99"/>
    <w:rsid w:val="005670A1"/>
    <w:rsid w:val="005674D9"/>
    <w:rsid w:val="00567C55"/>
    <w:rsid w:val="005724E7"/>
    <w:rsid w:val="00572896"/>
    <w:rsid w:val="00572B6D"/>
    <w:rsid w:val="005736B1"/>
    <w:rsid w:val="005736B5"/>
    <w:rsid w:val="005741B1"/>
    <w:rsid w:val="00574214"/>
    <w:rsid w:val="005744C8"/>
    <w:rsid w:val="005750D2"/>
    <w:rsid w:val="00575226"/>
    <w:rsid w:val="0057555E"/>
    <w:rsid w:val="00575669"/>
    <w:rsid w:val="005756A9"/>
    <w:rsid w:val="0057654E"/>
    <w:rsid w:val="005766BE"/>
    <w:rsid w:val="00577399"/>
    <w:rsid w:val="00577414"/>
    <w:rsid w:val="0057768F"/>
    <w:rsid w:val="0057771D"/>
    <w:rsid w:val="005778CB"/>
    <w:rsid w:val="00577E6E"/>
    <w:rsid w:val="00580766"/>
    <w:rsid w:val="005815B5"/>
    <w:rsid w:val="00581715"/>
    <w:rsid w:val="00581B6B"/>
    <w:rsid w:val="00581C2E"/>
    <w:rsid w:val="005821D2"/>
    <w:rsid w:val="00582FEC"/>
    <w:rsid w:val="005832C5"/>
    <w:rsid w:val="00583D5E"/>
    <w:rsid w:val="00585581"/>
    <w:rsid w:val="00585AFD"/>
    <w:rsid w:val="00585C74"/>
    <w:rsid w:val="00587A98"/>
    <w:rsid w:val="00590855"/>
    <w:rsid w:val="00590BA9"/>
    <w:rsid w:val="00590D75"/>
    <w:rsid w:val="00591029"/>
    <w:rsid w:val="005913B2"/>
    <w:rsid w:val="00591A77"/>
    <w:rsid w:val="00591D15"/>
    <w:rsid w:val="0059255E"/>
    <w:rsid w:val="005925DC"/>
    <w:rsid w:val="005938D6"/>
    <w:rsid w:val="0059408B"/>
    <w:rsid w:val="00594970"/>
    <w:rsid w:val="00594E0D"/>
    <w:rsid w:val="00595855"/>
    <w:rsid w:val="00596006"/>
    <w:rsid w:val="0059676F"/>
    <w:rsid w:val="005971D8"/>
    <w:rsid w:val="005972A5"/>
    <w:rsid w:val="005A007A"/>
    <w:rsid w:val="005A03A7"/>
    <w:rsid w:val="005A03D0"/>
    <w:rsid w:val="005A0A42"/>
    <w:rsid w:val="005A0BE3"/>
    <w:rsid w:val="005A1AF7"/>
    <w:rsid w:val="005A1F15"/>
    <w:rsid w:val="005A2CF2"/>
    <w:rsid w:val="005A3AA6"/>
    <w:rsid w:val="005A451C"/>
    <w:rsid w:val="005A453D"/>
    <w:rsid w:val="005A4826"/>
    <w:rsid w:val="005A4B6F"/>
    <w:rsid w:val="005A4BCD"/>
    <w:rsid w:val="005A4BE4"/>
    <w:rsid w:val="005A512D"/>
    <w:rsid w:val="005A6854"/>
    <w:rsid w:val="005A6D4B"/>
    <w:rsid w:val="005A73F7"/>
    <w:rsid w:val="005A74E6"/>
    <w:rsid w:val="005B02AE"/>
    <w:rsid w:val="005B0A7B"/>
    <w:rsid w:val="005B1FD9"/>
    <w:rsid w:val="005B22AA"/>
    <w:rsid w:val="005B2E96"/>
    <w:rsid w:val="005B309B"/>
    <w:rsid w:val="005B3452"/>
    <w:rsid w:val="005B345D"/>
    <w:rsid w:val="005B37D2"/>
    <w:rsid w:val="005B51AD"/>
    <w:rsid w:val="005B54CA"/>
    <w:rsid w:val="005B5AF9"/>
    <w:rsid w:val="005C0093"/>
    <w:rsid w:val="005C0A08"/>
    <w:rsid w:val="005C11F5"/>
    <w:rsid w:val="005C1232"/>
    <w:rsid w:val="005C1835"/>
    <w:rsid w:val="005C1B48"/>
    <w:rsid w:val="005C2076"/>
    <w:rsid w:val="005C21DC"/>
    <w:rsid w:val="005C37CF"/>
    <w:rsid w:val="005C4586"/>
    <w:rsid w:val="005C505E"/>
    <w:rsid w:val="005C6076"/>
    <w:rsid w:val="005C6CCB"/>
    <w:rsid w:val="005D070B"/>
    <w:rsid w:val="005D0A16"/>
    <w:rsid w:val="005D0C35"/>
    <w:rsid w:val="005D0F65"/>
    <w:rsid w:val="005D2383"/>
    <w:rsid w:val="005D2E2A"/>
    <w:rsid w:val="005D2EF5"/>
    <w:rsid w:val="005D3739"/>
    <w:rsid w:val="005D4029"/>
    <w:rsid w:val="005D41A9"/>
    <w:rsid w:val="005D42C8"/>
    <w:rsid w:val="005D42CD"/>
    <w:rsid w:val="005D49D8"/>
    <w:rsid w:val="005D4EEF"/>
    <w:rsid w:val="005D50C7"/>
    <w:rsid w:val="005D5503"/>
    <w:rsid w:val="005D5835"/>
    <w:rsid w:val="005D61DA"/>
    <w:rsid w:val="005D64AD"/>
    <w:rsid w:val="005D64D8"/>
    <w:rsid w:val="005D707F"/>
    <w:rsid w:val="005D7396"/>
    <w:rsid w:val="005D75A6"/>
    <w:rsid w:val="005D78D7"/>
    <w:rsid w:val="005D7A08"/>
    <w:rsid w:val="005D7E04"/>
    <w:rsid w:val="005E0321"/>
    <w:rsid w:val="005E04D9"/>
    <w:rsid w:val="005E1885"/>
    <w:rsid w:val="005E1E36"/>
    <w:rsid w:val="005E1F46"/>
    <w:rsid w:val="005E2262"/>
    <w:rsid w:val="005E2626"/>
    <w:rsid w:val="005E3986"/>
    <w:rsid w:val="005E4834"/>
    <w:rsid w:val="005E50D1"/>
    <w:rsid w:val="005E52D7"/>
    <w:rsid w:val="005E533E"/>
    <w:rsid w:val="005E561E"/>
    <w:rsid w:val="005E62A9"/>
    <w:rsid w:val="005E6B8A"/>
    <w:rsid w:val="005E7CC6"/>
    <w:rsid w:val="005F11A6"/>
    <w:rsid w:val="005F2086"/>
    <w:rsid w:val="005F2146"/>
    <w:rsid w:val="005F26D2"/>
    <w:rsid w:val="005F2C1F"/>
    <w:rsid w:val="005F43A6"/>
    <w:rsid w:val="005F449B"/>
    <w:rsid w:val="005F4DA7"/>
    <w:rsid w:val="005F556C"/>
    <w:rsid w:val="005F58F0"/>
    <w:rsid w:val="005F6E36"/>
    <w:rsid w:val="005F7865"/>
    <w:rsid w:val="006002C2"/>
    <w:rsid w:val="00600AC0"/>
    <w:rsid w:val="006015D0"/>
    <w:rsid w:val="006015EE"/>
    <w:rsid w:val="00601A09"/>
    <w:rsid w:val="00601A54"/>
    <w:rsid w:val="00601D46"/>
    <w:rsid w:val="00602AC4"/>
    <w:rsid w:val="00602C00"/>
    <w:rsid w:val="00603D7C"/>
    <w:rsid w:val="00604E0C"/>
    <w:rsid w:val="00604EFC"/>
    <w:rsid w:val="006051A3"/>
    <w:rsid w:val="00605244"/>
    <w:rsid w:val="006053B6"/>
    <w:rsid w:val="00605404"/>
    <w:rsid w:val="00607688"/>
    <w:rsid w:val="006079B0"/>
    <w:rsid w:val="00607C45"/>
    <w:rsid w:val="00612E37"/>
    <w:rsid w:val="00613461"/>
    <w:rsid w:val="00613572"/>
    <w:rsid w:val="00614025"/>
    <w:rsid w:val="0061413B"/>
    <w:rsid w:val="00614CCF"/>
    <w:rsid w:val="00614FC6"/>
    <w:rsid w:val="00615EBE"/>
    <w:rsid w:val="00616BC2"/>
    <w:rsid w:val="00617272"/>
    <w:rsid w:val="00620FF5"/>
    <w:rsid w:val="00621F5D"/>
    <w:rsid w:val="00622510"/>
    <w:rsid w:val="00622AEC"/>
    <w:rsid w:val="00622B5D"/>
    <w:rsid w:val="00622D6C"/>
    <w:rsid w:val="00622E0E"/>
    <w:rsid w:val="0062397D"/>
    <w:rsid w:val="00623C16"/>
    <w:rsid w:val="00624CC8"/>
    <w:rsid w:val="0062637D"/>
    <w:rsid w:val="00626A61"/>
    <w:rsid w:val="00626ACD"/>
    <w:rsid w:val="00627421"/>
    <w:rsid w:val="00630482"/>
    <w:rsid w:val="00630692"/>
    <w:rsid w:val="00631746"/>
    <w:rsid w:val="00632CC0"/>
    <w:rsid w:val="00633336"/>
    <w:rsid w:val="00633C31"/>
    <w:rsid w:val="00634824"/>
    <w:rsid w:val="0063492B"/>
    <w:rsid w:val="00634F47"/>
    <w:rsid w:val="00634FF6"/>
    <w:rsid w:val="0063505D"/>
    <w:rsid w:val="00635CD8"/>
    <w:rsid w:val="00636739"/>
    <w:rsid w:val="00636F90"/>
    <w:rsid w:val="00637235"/>
    <w:rsid w:val="006374E7"/>
    <w:rsid w:val="00637744"/>
    <w:rsid w:val="00637956"/>
    <w:rsid w:val="00640E9E"/>
    <w:rsid w:val="00640F74"/>
    <w:rsid w:val="00641901"/>
    <w:rsid w:val="00641D48"/>
    <w:rsid w:val="006420D3"/>
    <w:rsid w:val="006434FF"/>
    <w:rsid w:val="00643519"/>
    <w:rsid w:val="00644891"/>
    <w:rsid w:val="00644E9A"/>
    <w:rsid w:val="00645C88"/>
    <w:rsid w:val="006460B8"/>
    <w:rsid w:val="00646191"/>
    <w:rsid w:val="00646605"/>
    <w:rsid w:val="00647EC4"/>
    <w:rsid w:val="0065069F"/>
    <w:rsid w:val="00650BF7"/>
    <w:rsid w:val="00650CAE"/>
    <w:rsid w:val="00651730"/>
    <w:rsid w:val="00652D91"/>
    <w:rsid w:val="00653811"/>
    <w:rsid w:val="00653FDD"/>
    <w:rsid w:val="0065466B"/>
    <w:rsid w:val="00654BE7"/>
    <w:rsid w:val="006551DD"/>
    <w:rsid w:val="00656121"/>
    <w:rsid w:val="00656236"/>
    <w:rsid w:val="006564DE"/>
    <w:rsid w:val="00656703"/>
    <w:rsid w:val="006573FD"/>
    <w:rsid w:val="006578CC"/>
    <w:rsid w:val="00657B5F"/>
    <w:rsid w:val="00660AE6"/>
    <w:rsid w:val="00661577"/>
    <w:rsid w:val="00661A57"/>
    <w:rsid w:val="006635F2"/>
    <w:rsid w:val="0066363B"/>
    <w:rsid w:val="00663727"/>
    <w:rsid w:val="00663C54"/>
    <w:rsid w:val="00663F7A"/>
    <w:rsid w:val="006640A7"/>
    <w:rsid w:val="006647EC"/>
    <w:rsid w:val="00664B37"/>
    <w:rsid w:val="006653B1"/>
    <w:rsid w:val="006665F4"/>
    <w:rsid w:val="0066690E"/>
    <w:rsid w:val="00666F4B"/>
    <w:rsid w:val="006670E8"/>
    <w:rsid w:val="0067117C"/>
    <w:rsid w:val="00671238"/>
    <w:rsid w:val="00671D9E"/>
    <w:rsid w:val="006721FA"/>
    <w:rsid w:val="006722F3"/>
    <w:rsid w:val="006723FA"/>
    <w:rsid w:val="00672915"/>
    <w:rsid w:val="00672F5B"/>
    <w:rsid w:val="006732C7"/>
    <w:rsid w:val="00673AC2"/>
    <w:rsid w:val="00675C9C"/>
    <w:rsid w:val="006764AA"/>
    <w:rsid w:val="00676844"/>
    <w:rsid w:val="00676BEF"/>
    <w:rsid w:val="00677552"/>
    <w:rsid w:val="006808AA"/>
    <w:rsid w:val="00680BDB"/>
    <w:rsid w:val="00680D8A"/>
    <w:rsid w:val="00680FE0"/>
    <w:rsid w:val="006811C9"/>
    <w:rsid w:val="0068157A"/>
    <w:rsid w:val="00681FEE"/>
    <w:rsid w:val="006820D9"/>
    <w:rsid w:val="00682385"/>
    <w:rsid w:val="006824C3"/>
    <w:rsid w:val="006828AF"/>
    <w:rsid w:val="00682D7D"/>
    <w:rsid w:val="0068372A"/>
    <w:rsid w:val="00683CA9"/>
    <w:rsid w:val="006842EC"/>
    <w:rsid w:val="00685865"/>
    <w:rsid w:val="00685C34"/>
    <w:rsid w:val="0068608A"/>
    <w:rsid w:val="006861E7"/>
    <w:rsid w:val="006862A1"/>
    <w:rsid w:val="006876B5"/>
    <w:rsid w:val="00687A43"/>
    <w:rsid w:val="00690DD7"/>
    <w:rsid w:val="006919F5"/>
    <w:rsid w:val="00691DB4"/>
    <w:rsid w:val="00692CC8"/>
    <w:rsid w:val="00692E3E"/>
    <w:rsid w:val="00693268"/>
    <w:rsid w:val="0069359D"/>
    <w:rsid w:val="006946F0"/>
    <w:rsid w:val="0069498D"/>
    <w:rsid w:val="00694DBC"/>
    <w:rsid w:val="0069516C"/>
    <w:rsid w:val="00695194"/>
    <w:rsid w:val="00695DC8"/>
    <w:rsid w:val="00696907"/>
    <w:rsid w:val="00696DAC"/>
    <w:rsid w:val="0069730E"/>
    <w:rsid w:val="006A0065"/>
    <w:rsid w:val="006A0291"/>
    <w:rsid w:val="006A12B1"/>
    <w:rsid w:val="006A1555"/>
    <w:rsid w:val="006A19D3"/>
    <w:rsid w:val="006A1A81"/>
    <w:rsid w:val="006A1CC0"/>
    <w:rsid w:val="006A1DBD"/>
    <w:rsid w:val="006A207D"/>
    <w:rsid w:val="006A2096"/>
    <w:rsid w:val="006A2CFD"/>
    <w:rsid w:val="006A2D14"/>
    <w:rsid w:val="006A2F66"/>
    <w:rsid w:val="006A3455"/>
    <w:rsid w:val="006A38AE"/>
    <w:rsid w:val="006A39F3"/>
    <w:rsid w:val="006A478B"/>
    <w:rsid w:val="006A4A79"/>
    <w:rsid w:val="006A54BC"/>
    <w:rsid w:val="006A5871"/>
    <w:rsid w:val="006A5AA8"/>
    <w:rsid w:val="006A61CB"/>
    <w:rsid w:val="006A6988"/>
    <w:rsid w:val="006A72ED"/>
    <w:rsid w:val="006B0C00"/>
    <w:rsid w:val="006B293F"/>
    <w:rsid w:val="006B32CA"/>
    <w:rsid w:val="006B35EC"/>
    <w:rsid w:val="006B3B6B"/>
    <w:rsid w:val="006B3D7D"/>
    <w:rsid w:val="006B3E55"/>
    <w:rsid w:val="006B458B"/>
    <w:rsid w:val="006B6573"/>
    <w:rsid w:val="006B65C4"/>
    <w:rsid w:val="006C0A87"/>
    <w:rsid w:val="006C0AD4"/>
    <w:rsid w:val="006C1118"/>
    <w:rsid w:val="006C15D6"/>
    <w:rsid w:val="006C2A2A"/>
    <w:rsid w:val="006C2A4A"/>
    <w:rsid w:val="006C3792"/>
    <w:rsid w:val="006C3FCE"/>
    <w:rsid w:val="006C49A7"/>
    <w:rsid w:val="006C553A"/>
    <w:rsid w:val="006C5828"/>
    <w:rsid w:val="006C5F88"/>
    <w:rsid w:val="006C6267"/>
    <w:rsid w:val="006C699B"/>
    <w:rsid w:val="006C6BCC"/>
    <w:rsid w:val="006C7CB3"/>
    <w:rsid w:val="006D03B5"/>
    <w:rsid w:val="006D0C79"/>
    <w:rsid w:val="006D1497"/>
    <w:rsid w:val="006D17C4"/>
    <w:rsid w:val="006D1E61"/>
    <w:rsid w:val="006D218B"/>
    <w:rsid w:val="006D30D1"/>
    <w:rsid w:val="006D36B8"/>
    <w:rsid w:val="006D4A30"/>
    <w:rsid w:val="006D4ABB"/>
    <w:rsid w:val="006D4FDA"/>
    <w:rsid w:val="006D5BAC"/>
    <w:rsid w:val="006D612F"/>
    <w:rsid w:val="006D623F"/>
    <w:rsid w:val="006D678B"/>
    <w:rsid w:val="006D75A1"/>
    <w:rsid w:val="006D7AF5"/>
    <w:rsid w:val="006E079B"/>
    <w:rsid w:val="006E090E"/>
    <w:rsid w:val="006E0FEC"/>
    <w:rsid w:val="006E16E4"/>
    <w:rsid w:val="006E19A1"/>
    <w:rsid w:val="006E1A37"/>
    <w:rsid w:val="006E37EA"/>
    <w:rsid w:val="006E44C1"/>
    <w:rsid w:val="006E459B"/>
    <w:rsid w:val="006E53F2"/>
    <w:rsid w:val="006E542D"/>
    <w:rsid w:val="006E6593"/>
    <w:rsid w:val="006E6E5F"/>
    <w:rsid w:val="006E7857"/>
    <w:rsid w:val="006F0FEE"/>
    <w:rsid w:val="006F1819"/>
    <w:rsid w:val="006F181E"/>
    <w:rsid w:val="006F2275"/>
    <w:rsid w:val="006F23E8"/>
    <w:rsid w:val="006F2F78"/>
    <w:rsid w:val="006F3468"/>
    <w:rsid w:val="006F37FE"/>
    <w:rsid w:val="006F3DA3"/>
    <w:rsid w:val="006F400C"/>
    <w:rsid w:val="006F4616"/>
    <w:rsid w:val="006F486D"/>
    <w:rsid w:val="006F52C4"/>
    <w:rsid w:val="006F5310"/>
    <w:rsid w:val="006F5CD4"/>
    <w:rsid w:val="006F629E"/>
    <w:rsid w:val="006F63C3"/>
    <w:rsid w:val="006F6A38"/>
    <w:rsid w:val="006F6E2B"/>
    <w:rsid w:val="006F6F44"/>
    <w:rsid w:val="006F7088"/>
    <w:rsid w:val="006F7FC0"/>
    <w:rsid w:val="00700949"/>
    <w:rsid w:val="00700A85"/>
    <w:rsid w:val="007012B5"/>
    <w:rsid w:val="00701346"/>
    <w:rsid w:val="007020E2"/>
    <w:rsid w:val="00702194"/>
    <w:rsid w:val="007025A3"/>
    <w:rsid w:val="0070281D"/>
    <w:rsid w:val="00702E78"/>
    <w:rsid w:val="007033B7"/>
    <w:rsid w:val="00703580"/>
    <w:rsid w:val="007040E7"/>
    <w:rsid w:val="0070428F"/>
    <w:rsid w:val="0070577B"/>
    <w:rsid w:val="007058D6"/>
    <w:rsid w:val="007059C5"/>
    <w:rsid w:val="00705CAA"/>
    <w:rsid w:val="007060E6"/>
    <w:rsid w:val="00706782"/>
    <w:rsid w:val="00706C4F"/>
    <w:rsid w:val="00707434"/>
    <w:rsid w:val="007075C9"/>
    <w:rsid w:val="0070778A"/>
    <w:rsid w:val="00707B6E"/>
    <w:rsid w:val="0071047C"/>
    <w:rsid w:val="007105E4"/>
    <w:rsid w:val="00710ABA"/>
    <w:rsid w:val="00710CA4"/>
    <w:rsid w:val="0071170E"/>
    <w:rsid w:val="00711760"/>
    <w:rsid w:val="00711966"/>
    <w:rsid w:val="00711BE3"/>
    <w:rsid w:val="007125D7"/>
    <w:rsid w:val="00712BBF"/>
    <w:rsid w:val="00712C43"/>
    <w:rsid w:val="00712EA5"/>
    <w:rsid w:val="00713B15"/>
    <w:rsid w:val="007144A8"/>
    <w:rsid w:val="00715565"/>
    <w:rsid w:val="00715990"/>
    <w:rsid w:val="00715B38"/>
    <w:rsid w:val="007162D5"/>
    <w:rsid w:val="0071746A"/>
    <w:rsid w:val="00717DFF"/>
    <w:rsid w:val="007222E3"/>
    <w:rsid w:val="00722AFA"/>
    <w:rsid w:val="00722FE1"/>
    <w:rsid w:val="007232BA"/>
    <w:rsid w:val="00723EE5"/>
    <w:rsid w:val="007245BB"/>
    <w:rsid w:val="007264EC"/>
    <w:rsid w:val="0072663E"/>
    <w:rsid w:val="00726A9D"/>
    <w:rsid w:val="00726DE0"/>
    <w:rsid w:val="00727CCA"/>
    <w:rsid w:val="00730ABC"/>
    <w:rsid w:val="00730B58"/>
    <w:rsid w:val="00731195"/>
    <w:rsid w:val="00731E73"/>
    <w:rsid w:val="007337E1"/>
    <w:rsid w:val="00733972"/>
    <w:rsid w:val="00733A91"/>
    <w:rsid w:val="00734518"/>
    <w:rsid w:val="007347B3"/>
    <w:rsid w:val="00734964"/>
    <w:rsid w:val="00734B1B"/>
    <w:rsid w:val="007353A1"/>
    <w:rsid w:val="00736576"/>
    <w:rsid w:val="00736ADF"/>
    <w:rsid w:val="007372FE"/>
    <w:rsid w:val="00737808"/>
    <w:rsid w:val="00737B7C"/>
    <w:rsid w:val="00740573"/>
    <w:rsid w:val="00740A6D"/>
    <w:rsid w:val="00740C67"/>
    <w:rsid w:val="00740E18"/>
    <w:rsid w:val="00741818"/>
    <w:rsid w:val="0074189D"/>
    <w:rsid w:val="00741BC8"/>
    <w:rsid w:val="00741F06"/>
    <w:rsid w:val="007422D6"/>
    <w:rsid w:val="00742CBB"/>
    <w:rsid w:val="00742D9F"/>
    <w:rsid w:val="00742FF9"/>
    <w:rsid w:val="00743217"/>
    <w:rsid w:val="00743595"/>
    <w:rsid w:val="007445A1"/>
    <w:rsid w:val="00744AED"/>
    <w:rsid w:val="007450B1"/>
    <w:rsid w:val="0074553E"/>
    <w:rsid w:val="00745760"/>
    <w:rsid w:val="00747046"/>
    <w:rsid w:val="0075080A"/>
    <w:rsid w:val="007525ED"/>
    <w:rsid w:val="00752ABB"/>
    <w:rsid w:val="00752E77"/>
    <w:rsid w:val="007531B2"/>
    <w:rsid w:val="00753C58"/>
    <w:rsid w:val="00754675"/>
    <w:rsid w:val="00755A37"/>
    <w:rsid w:val="007564E1"/>
    <w:rsid w:val="007569B9"/>
    <w:rsid w:val="0076076E"/>
    <w:rsid w:val="0076149F"/>
    <w:rsid w:val="00761757"/>
    <w:rsid w:val="00761D92"/>
    <w:rsid w:val="00761DE0"/>
    <w:rsid w:val="0076203C"/>
    <w:rsid w:val="00762127"/>
    <w:rsid w:val="007642EE"/>
    <w:rsid w:val="007644D1"/>
    <w:rsid w:val="00764667"/>
    <w:rsid w:val="00764BC1"/>
    <w:rsid w:val="0076501C"/>
    <w:rsid w:val="007657D0"/>
    <w:rsid w:val="00765939"/>
    <w:rsid w:val="00765C7D"/>
    <w:rsid w:val="00765F3B"/>
    <w:rsid w:val="00766F48"/>
    <w:rsid w:val="0076746C"/>
    <w:rsid w:val="0076778A"/>
    <w:rsid w:val="00767BCF"/>
    <w:rsid w:val="00767C2C"/>
    <w:rsid w:val="00770DE7"/>
    <w:rsid w:val="00771F70"/>
    <w:rsid w:val="00772953"/>
    <w:rsid w:val="00772ECE"/>
    <w:rsid w:val="00773C70"/>
    <w:rsid w:val="00773F9E"/>
    <w:rsid w:val="0077472B"/>
    <w:rsid w:val="007749C0"/>
    <w:rsid w:val="007750EC"/>
    <w:rsid w:val="007751DD"/>
    <w:rsid w:val="0077530A"/>
    <w:rsid w:val="0077560B"/>
    <w:rsid w:val="00775687"/>
    <w:rsid w:val="00775B18"/>
    <w:rsid w:val="00777AFB"/>
    <w:rsid w:val="00777CD5"/>
    <w:rsid w:val="00777E45"/>
    <w:rsid w:val="00777FC9"/>
    <w:rsid w:val="0078063B"/>
    <w:rsid w:val="00781537"/>
    <w:rsid w:val="0078254D"/>
    <w:rsid w:val="007828B4"/>
    <w:rsid w:val="007830BD"/>
    <w:rsid w:val="0078318D"/>
    <w:rsid w:val="0078459E"/>
    <w:rsid w:val="007855BA"/>
    <w:rsid w:val="00785836"/>
    <w:rsid w:val="0078657E"/>
    <w:rsid w:val="00787355"/>
    <w:rsid w:val="007876B6"/>
    <w:rsid w:val="0078770F"/>
    <w:rsid w:val="00787B63"/>
    <w:rsid w:val="00791847"/>
    <w:rsid w:val="00791B66"/>
    <w:rsid w:val="007927CA"/>
    <w:rsid w:val="0079375C"/>
    <w:rsid w:val="00793C42"/>
    <w:rsid w:val="007957AD"/>
    <w:rsid w:val="007963D9"/>
    <w:rsid w:val="00796896"/>
    <w:rsid w:val="007A0AC0"/>
    <w:rsid w:val="007A0CC0"/>
    <w:rsid w:val="007A0E61"/>
    <w:rsid w:val="007A145C"/>
    <w:rsid w:val="007A1874"/>
    <w:rsid w:val="007A2CFC"/>
    <w:rsid w:val="007A423D"/>
    <w:rsid w:val="007A49A5"/>
    <w:rsid w:val="007A4C19"/>
    <w:rsid w:val="007A5CAB"/>
    <w:rsid w:val="007A6327"/>
    <w:rsid w:val="007A6CA7"/>
    <w:rsid w:val="007B0A1E"/>
    <w:rsid w:val="007B0D97"/>
    <w:rsid w:val="007B0E2B"/>
    <w:rsid w:val="007B19D3"/>
    <w:rsid w:val="007B1B50"/>
    <w:rsid w:val="007B1BDB"/>
    <w:rsid w:val="007B225C"/>
    <w:rsid w:val="007B2326"/>
    <w:rsid w:val="007B27C9"/>
    <w:rsid w:val="007B2DC2"/>
    <w:rsid w:val="007B321B"/>
    <w:rsid w:val="007B3DF0"/>
    <w:rsid w:val="007B4A6D"/>
    <w:rsid w:val="007B504A"/>
    <w:rsid w:val="007B5195"/>
    <w:rsid w:val="007B5790"/>
    <w:rsid w:val="007B5FEB"/>
    <w:rsid w:val="007B712C"/>
    <w:rsid w:val="007B7C0E"/>
    <w:rsid w:val="007C0AE2"/>
    <w:rsid w:val="007C0DDA"/>
    <w:rsid w:val="007C13FA"/>
    <w:rsid w:val="007C1560"/>
    <w:rsid w:val="007C1B80"/>
    <w:rsid w:val="007C1D7C"/>
    <w:rsid w:val="007C1EE6"/>
    <w:rsid w:val="007C2A13"/>
    <w:rsid w:val="007C3B88"/>
    <w:rsid w:val="007C50A9"/>
    <w:rsid w:val="007C53FB"/>
    <w:rsid w:val="007C5C28"/>
    <w:rsid w:val="007C6D35"/>
    <w:rsid w:val="007C6F7F"/>
    <w:rsid w:val="007C73C4"/>
    <w:rsid w:val="007C7909"/>
    <w:rsid w:val="007C7EFC"/>
    <w:rsid w:val="007D0B67"/>
    <w:rsid w:val="007D0EAD"/>
    <w:rsid w:val="007D15D1"/>
    <w:rsid w:val="007D1637"/>
    <w:rsid w:val="007D2307"/>
    <w:rsid w:val="007D290E"/>
    <w:rsid w:val="007D2D91"/>
    <w:rsid w:val="007D45E5"/>
    <w:rsid w:val="007D4868"/>
    <w:rsid w:val="007D4EEB"/>
    <w:rsid w:val="007D5187"/>
    <w:rsid w:val="007D5D3D"/>
    <w:rsid w:val="007D61DC"/>
    <w:rsid w:val="007D6431"/>
    <w:rsid w:val="007D677E"/>
    <w:rsid w:val="007D6956"/>
    <w:rsid w:val="007D6B0C"/>
    <w:rsid w:val="007D7966"/>
    <w:rsid w:val="007D79C4"/>
    <w:rsid w:val="007D7C6E"/>
    <w:rsid w:val="007E2E31"/>
    <w:rsid w:val="007E3E04"/>
    <w:rsid w:val="007E4080"/>
    <w:rsid w:val="007E46F5"/>
    <w:rsid w:val="007E4F3F"/>
    <w:rsid w:val="007E5143"/>
    <w:rsid w:val="007E522F"/>
    <w:rsid w:val="007E53F5"/>
    <w:rsid w:val="007E5FF8"/>
    <w:rsid w:val="007E62CF"/>
    <w:rsid w:val="007E6427"/>
    <w:rsid w:val="007E74EA"/>
    <w:rsid w:val="007E7D34"/>
    <w:rsid w:val="007E7DB4"/>
    <w:rsid w:val="007E7F6F"/>
    <w:rsid w:val="007F16F4"/>
    <w:rsid w:val="007F19F8"/>
    <w:rsid w:val="007F1A43"/>
    <w:rsid w:val="007F1AAC"/>
    <w:rsid w:val="007F253C"/>
    <w:rsid w:val="007F2D56"/>
    <w:rsid w:val="007F30A2"/>
    <w:rsid w:val="007F3107"/>
    <w:rsid w:val="007F31CC"/>
    <w:rsid w:val="007F3B0C"/>
    <w:rsid w:val="007F6038"/>
    <w:rsid w:val="007F6CFF"/>
    <w:rsid w:val="007F7D1E"/>
    <w:rsid w:val="008009A4"/>
    <w:rsid w:val="00800D80"/>
    <w:rsid w:val="00800E34"/>
    <w:rsid w:val="008015A0"/>
    <w:rsid w:val="00801F71"/>
    <w:rsid w:val="0080266C"/>
    <w:rsid w:val="00802E7D"/>
    <w:rsid w:val="008030EC"/>
    <w:rsid w:val="00804623"/>
    <w:rsid w:val="0080489F"/>
    <w:rsid w:val="008048DF"/>
    <w:rsid w:val="00805600"/>
    <w:rsid w:val="00805DD2"/>
    <w:rsid w:val="00806139"/>
    <w:rsid w:val="00806FCA"/>
    <w:rsid w:val="00807237"/>
    <w:rsid w:val="008073DE"/>
    <w:rsid w:val="0080743B"/>
    <w:rsid w:val="008075FF"/>
    <w:rsid w:val="00807F8A"/>
    <w:rsid w:val="008101F8"/>
    <w:rsid w:val="00810390"/>
    <w:rsid w:val="008105A0"/>
    <w:rsid w:val="00810B58"/>
    <w:rsid w:val="00811689"/>
    <w:rsid w:val="00811954"/>
    <w:rsid w:val="00811CD8"/>
    <w:rsid w:val="00813A2E"/>
    <w:rsid w:val="00814B1A"/>
    <w:rsid w:val="00814E08"/>
    <w:rsid w:val="008156AA"/>
    <w:rsid w:val="00815A26"/>
    <w:rsid w:val="00815CD8"/>
    <w:rsid w:val="0081640C"/>
    <w:rsid w:val="00816945"/>
    <w:rsid w:val="0081704D"/>
    <w:rsid w:val="008176E2"/>
    <w:rsid w:val="0082015B"/>
    <w:rsid w:val="008207DE"/>
    <w:rsid w:val="00820B80"/>
    <w:rsid w:val="00820E00"/>
    <w:rsid w:val="00821259"/>
    <w:rsid w:val="008215E1"/>
    <w:rsid w:val="008225A6"/>
    <w:rsid w:val="00822A0C"/>
    <w:rsid w:val="008244CB"/>
    <w:rsid w:val="00824712"/>
    <w:rsid w:val="008249C0"/>
    <w:rsid w:val="00824F5C"/>
    <w:rsid w:val="00825015"/>
    <w:rsid w:val="00825033"/>
    <w:rsid w:val="00825153"/>
    <w:rsid w:val="00825CA1"/>
    <w:rsid w:val="00826A1B"/>
    <w:rsid w:val="0082787C"/>
    <w:rsid w:val="00827D10"/>
    <w:rsid w:val="00830243"/>
    <w:rsid w:val="00830413"/>
    <w:rsid w:val="0083041C"/>
    <w:rsid w:val="00830B08"/>
    <w:rsid w:val="008311E4"/>
    <w:rsid w:val="0083144C"/>
    <w:rsid w:val="00831455"/>
    <w:rsid w:val="008316FD"/>
    <w:rsid w:val="008318C5"/>
    <w:rsid w:val="008319A0"/>
    <w:rsid w:val="0083235F"/>
    <w:rsid w:val="00832485"/>
    <w:rsid w:val="00832BB1"/>
    <w:rsid w:val="00832E17"/>
    <w:rsid w:val="008332DB"/>
    <w:rsid w:val="00833B47"/>
    <w:rsid w:val="00833C2B"/>
    <w:rsid w:val="00833EAA"/>
    <w:rsid w:val="00834153"/>
    <w:rsid w:val="00834487"/>
    <w:rsid w:val="008349EF"/>
    <w:rsid w:val="008361B7"/>
    <w:rsid w:val="008375F0"/>
    <w:rsid w:val="00837D19"/>
    <w:rsid w:val="00840187"/>
    <w:rsid w:val="00840AD0"/>
    <w:rsid w:val="00840CAA"/>
    <w:rsid w:val="00840E2C"/>
    <w:rsid w:val="00841A19"/>
    <w:rsid w:val="00841C2F"/>
    <w:rsid w:val="008420FA"/>
    <w:rsid w:val="00842797"/>
    <w:rsid w:val="00842F0A"/>
    <w:rsid w:val="0084341D"/>
    <w:rsid w:val="008438B2"/>
    <w:rsid w:val="00843A61"/>
    <w:rsid w:val="00843EAE"/>
    <w:rsid w:val="00844535"/>
    <w:rsid w:val="0084481E"/>
    <w:rsid w:val="00844EDA"/>
    <w:rsid w:val="00844F35"/>
    <w:rsid w:val="008458F9"/>
    <w:rsid w:val="0084608C"/>
    <w:rsid w:val="00846410"/>
    <w:rsid w:val="008465D1"/>
    <w:rsid w:val="00847DE6"/>
    <w:rsid w:val="008515B1"/>
    <w:rsid w:val="008520AE"/>
    <w:rsid w:val="0085265C"/>
    <w:rsid w:val="00853187"/>
    <w:rsid w:val="008542FE"/>
    <w:rsid w:val="008549EF"/>
    <w:rsid w:val="00855091"/>
    <w:rsid w:val="00855819"/>
    <w:rsid w:val="00855927"/>
    <w:rsid w:val="00856909"/>
    <w:rsid w:val="00856CCE"/>
    <w:rsid w:val="00856F6B"/>
    <w:rsid w:val="008570A1"/>
    <w:rsid w:val="008574B1"/>
    <w:rsid w:val="008574D8"/>
    <w:rsid w:val="00857AA0"/>
    <w:rsid w:val="00857FE8"/>
    <w:rsid w:val="008629BD"/>
    <w:rsid w:val="0086379A"/>
    <w:rsid w:val="00863D6A"/>
    <w:rsid w:val="00863D71"/>
    <w:rsid w:val="00864ECB"/>
    <w:rsid w:val="008651A8"/>
    <w:rsid w:val="0086583B"/>
    <w:rsid w:val="00865FA1"/>
    <w:rsid w:val="008663B8"/>
    <w:rsid w:val="008670D6"/>
    <w:rsid w:val="0086781C"/>
    <w:rsid w:val="00867E7C"/>
    <w:rsid w:val="00867E7D"/>
    <w:rsid w:val="008704D2"/>
    <w:rsid w:val="008704E8"/>
    <w:rsid w:val="008708C2"/>
    <w:rsid w:val="00870A5B"/>
    <w:rsid w:val="00870D63"/>
    <w:rsid w:val="00870F70"/>
    <w:rsid w:val="008711D3"/>
    <w:rsid w:val="008723BD"/>
    <w:rsid w:val="00872B60"/>
    <w:rsid w:val="00872E06"/>
    <w:rsid w:val="00873C93"/>
    <w:rsid w:val="00874016"/>
    <w:rsid w:val="00874C0A"/>
    <w:rsid w:val="00874CAE"/>
    <w:rsid w:val="00874DFD"/>
    <w:rsid w:val="00874F73"/>
    <w:rsid w:val="00875185"/>
    <w:rsid w:val="00880E61"/>
    <w:rsid w:val="008819A5"/>
    <w:rsid w:val="008819B2"/>
    <w:rsid w:val="00882EDA"/>
    <w:rsid w:val="00883699"/>
    <w:rsid w:val="00883799"/>
    <w:rsid w:val="00883A28"/>
    <w:rsid w:val="00883DF0"/>
    <w:rsid w:val="008840F7"/>
    <w:rsid w:val="0088473B"/>
    <w:rsid w:val="008854DA"/>
    <w:rsid w:val="00885653"/>
    <w:rsid w:val="00885CAA"/>
    <w:rsid w:val="00887828"/>
    <w:rsid w:val="008901D0"/>
    <w:rsid w:val="00890746"/>
    <w:rsid w:val="0089083A"/>
    <w:rsid w:val="00890D69"/>
    <w:rsid w:val="00890FB9"/>
    <w:rsid w:val="0089167C"/>
    <w:rsid w:val="008918B6"/>
    <w:rsid w:val="008919F4"/>
    <w:rsid w:val="008923EA"/>
    <w:rsid w:val="008924A1"/>
    <w:rsid w:val="00892A32"/>
    <w:rsid w:val="00892C30"/>
    <w:rsid w:val="00893AAE"/>
    <w:rsid w:val="00894092"/>
    <w:rsid w:val="008941B8"/>
    <w:rsid w:val="0089474E"/>
    <w:rsid w:val="00894C05"/>
    <w:rsid w:val="00894FC1"/>
    <w:rsid w:val="00894FC9"/>
    <w:rsid w:val="00895F85"/>
    <w:rsid w:val="00895FCD"/>
    <w:rsid w:val="00896225"/>
    <w:rsid w:val="00897317"/>
    <w:rsid w:val="008974F5"/>
    <w:rsid w:val="00897A6E"/>
    <w:rsid w:val="00897DF1"/>
    <w:rsid w:val="008A0762"/>
    <w:rsid w:val="008A123D"/>
    <w:rsid w:val="008A164F"/>
    <w:rsid w:val="008A34F7"/>
    <w:rsid w:val="008A3D2C"/>
    <w:rsid w:val="008A4F26"/>
    <w:rsid w:val="008A545D"/>
    <w:rsid w:val="008A5741"/>
    <w:rsid w:val="008A5935"/>
    <w:rsid w:val="008A594A"/>
    <w:rsid w:val="008A692E"/>
    <w:rsid w:val="008A7DF9"/>
    <w:rsid w:val="008B080E"/>
    <w:rsid w:val="008B0908"/>
    <w:rsid w:val="008B0E04"/>
    <w:rsid w:val="008B0FE9"/>
    <w:rsid w:val="008B19A3"/>
    <w:rsid w:val="008B2311"/>
    <w:rsid w:val="008B24C0"/>
    <w:rsid w:val="008B2621"/>
    <w:rsid w:val="008B3029"/>
    <w:rsid w:val="008B316B"/>
    <w:rsid w:val="008B3F5B"/>
    <w:rsid w:val="008B4CAB"/>
    <w:rsid w:val="008B53A1"/>
    <w:rsid w:val="008B59DF"/>
    <w:rsid w:val="008B5BA3"/>
    <w:rsid w:val="008B615F"/>
    <w:rsid w:val="008B65D9"/>
    <w:rsid w:val="008B6C36"/>
    <w:rsid w:val="008B7047"/>
    <w:rsid w:val="008B73EF"/>
    <w:rsid w:val="008B7A01"/>
    <w:rsid w:val="008C0AA8"/>
    <w:rsid w:val="008C0DD3"/>
    <w:rsid w:val="008C0EAD"/>
    <w:rsid w:val="008C1BA3"/>
    <w:rsid w:val="008C2EFF"/>
    <w:rsid w:val="008C357E"/>
    <w:rsid w:val="008C3893"/>
    <w:rsid w:val="008C3C8A"/>
    <w:rsid w:val="008C3F66"/>
    <w:rsid w:val="008C413C"/>
    <w:rsid w:val="008C489B"/>
    <w:rsid w:val="008C5896"/>
    <w:rsid w:val="008C5B2E"/>
    <w:rsid w:val="008C601C"/>
    <w:rsid w:val="008C6179"/>
    <w:rsid w:val="008C65CB"/>
    <w:rsid w:val="008C676B"/>
    <w:rsid w:val="008D2CFA"/>
    <w:rsid w:val="008D2E08"/>
    <w:rsid w:val="008D3D35"/>
    <w:rsid w:val="008D4184"/>
    <w:rsid w:val="008D41EB"/>
    <w:rsid w:val="008D5561"/>
    <w:rsid w:val="008D55E1"/>
    <w:rsid w:val="008D5674"/>
    <w:rsid w:val="008D6692"/>
    <w:rsid w:val="008E0673"/>
    <w:rsid w:val="008E07AB"/>
    <w:rsid w:val="008E1271"/>
    <w:rsid w:val="008E1641"/>
    <w:rsid w:val="008E1688"/>
    <w:rsid w:val="008E1D21"/>
    <w:rsid w:val="008E34BE"/>
    <w:rsid w:val="008E35C4"/>
    <w:rsid w:val="008E368D"/>
    <w:rsid w:val="008E428F"/>
    <w:rsid w:val="008E42C6"/>
    <w:rsid w:val="008E4335"/>
    <w:rsid w:val="008E494F"/>
    <w:rsid w:val="008E4A48"/>
    <w:rsid w:val="008E5855"/>
    <w:rsid w:val="008E69F5"/>
    <w:rsid w:val="008E6C59"/>
    <w:rsid w:val="008E6F17"/>
    <w:rsid w:val="008F0342"/>
    <w:rsid w:val="008F0AF9"/>
    <w:rsid w:val="008F0F88"/>
    <w:rsid w:val="008F33C9"/>
    <w:rsid w:val="008F35E5"/>
    <w:rsid w:val="008F4BC8"/>
    <w:rsid w:val="008F574E"/>
    <w:rsid w:val="008F6924"/>
    <w:rsid w:val="008F7097"/>
    <w:rsid w:val="008F7664"/>
    <w:rsid w:val="00901651"/>
    <w:rsid w:val="009021EB"/>
    <w:rsid w:val="00902A04"/>
    <w:rsid w:val="00902BF8"/>
    <w:rsid w:val="00902E36"/>
    <w:rsid w:val="0090457E"/>
    <w:rsid w:val="0090632A"/>
    <w:rsid w:val="00906AF3"/>
    <w:rsid w:val="00906D16"/>
    <w:rsid w:val="00906EF2"/>
    <w:rsid w:val="00907026"/>
    <w:rsid w:val="0090770C"/>
    <w:rsid w:val="00907EAB"/>
    <w:rsid w:val="00907FFC"/>
    <w:rsid w:val="009100CA"/>
    <w:rsid w:val="00910DCA"/>
    <w:rsid w:val="009118A8"/>
    <w:rsid w:val="00912539"/>
    <w:rsid w:val="00912604"/>
    <w:rsid w:val="00912FD6"/>
    <w:rsid w:val="00913C4F"/>
    <w:rsid w:val="0091404C"/>
    <w:rsid w:val="009143EE"/>
    <w:rsid w:val="0091441C"/>
    <w:rsid w:val="00914C73"/>
    <w:rsid w:val="00915435"/>
    <w:rsid w:val="00915721"/>
    <w:rsid w:val="00915DAD"/>
    <w:rsid w:val="0091715F"/>
    <w:rsid w:val="009172DC"/>
    <w:rsid w:val="009200ED"/>
    <w:rsid w:val="00920597"/>
    <w:rsid w:val="00920E80"/>
    <w:rsid w:val="0092172B"/>
    <w:rsid w:val="0092183B"/>
    <w:rsid w:val="00921BD7"/>
    <w:rsid w:val="0092263C"/>
    <w:rsid w:val="00922C55"/>
    <w:rsid w:val="009236F4"/>
    <w:rsid w:val="0092488A"/>
    <w:rsid w:val="00925746"/>
    <w:rsid w:val="00925BAB"/>
    <w:rsid w:val="00926652"/>
    <w:rsid w:val="0092767B"/>
    <w:rsid w:val="00927AD4"/>
    <w:rsid w:val="00930968"/>
    <w:rsid w:val="00930A98"/>
    <w:rsid w:val="00931716"/>
    <w:rsid w:val="009318ED"/>
    <w:rsid w:val="00932359"/>
    <w:rsid w:val="0093240D"/>
    <w:rsid w:val="00932F38"/>
    <w:rsid w:val="0093361D"/>
    <w:rsid w:val="009345FE"/>
    <w:rsid w:val="00934ED1"/>
    <w:rsid w:val="009352F1"/>
    <w:rsid w:val="0093541B"/>
    <w:rsid w:val="00935EC3"/>
    <w:rsid w:val="00935FA4"/>
    <w:rsid w:val="00936EDE"/>
    <w:rsid w:val="009378EA"/>
    <w:rsid w:val="00937DEB"/>
    <w:rsid w:val="009410C3"/>
    <w:rsid w:val="0094219D"/>
    <w:rsid w:val="00943A79"/>
    <w:rsid w:val="00943C1A"/>
    <w:rsid w:val="00943DC9"/>
    <w:rsid w:val="009440ED"/>
    <w:rsid w:val="00944409"/>
    <w:rsid w:val="00944A98"/>
    <w:rsid w:val="00945926"/>
    <w:rsid w:val="00945D89"/>
    <w:rsid w:val="00945DAF"/>
    <w:rsid w:val="00945E8E"/>
    <w:rsid w:val="0094639F"/>
    <w:rsid w:val="0094667F"/>
    <w:rsid w:val="0094674B"/>
    <w:rsid w:val="00946A03"/>
    <w:rsid w:val="00946B95"/>
    <w:rsid w:val="00946E50"/>
    <w:rsid w:val="00946F18"/>
    <w:rsid w:val="009471E1"/>
    <w:rsid w:val="0094728F"/>
    <w:rsid w:val="00950440"/>
    <w:rsid w:val="00950FDE"/>
    <w:rsid w:val="00951534"/>
    <w:rsid w:val="00951B92"/>
    <w:rsid w:val="00951D7F"/>
    <w:rsid w:val="00952090"/>
    <w:rsid w:val="009526E2"/>
    <w:rsid w:val="00953BE3"/>
    <w:rsid w:val="00954861"/>
    <w:rsid w:val="0095550D"/>
    <w:rsid w:val="00956087"/>
    <w:rsid w:val="00956D4F"/>
    <w:rsid w:val="009573E3"/>
    <w:rsid w:val="00960051"/>
    <w:rsid w:val="009609C4"/>
    <w:rsid w:val="009615B8"/>
    <w:rsid w:val="00961680"/>
    <w:rsid w:val="00961D1F"/>
    <w:rsid w:val="00963086"/>
    <w:rsid w:val="00963B17"/>
    <w:rsid w:val="00963FA9"/>
    <w:rsid w:val="00964703"/>
    <w:rsid w:val="009648DA"/>
    <w:rsid w:val="00964B2F"/>
    <w:rsid w:val="00964DA9"/>
    <w:rsid w:val="0096551A"/>
    <w:rsid w:val="00965C00"/>
    <w:rsid w:val="009662CE"/>
    <w:rsid w:val="0096661E"/>
    <w:rsid w:val="00967F2D"/>
    <w:rsid w:val="009706FF"/>
    <w:rsid w:val="00970742"/>
    <w:rsid w:val="009710B4"/>
    <w:rsid w:val="00971BEF"/>
    <w:rsid w:val="00971C59"/>
    <w:rsid w:val="00972EF4"/>
    <w:rsid w:val="009730C3"/>
    <w:rsid w:val="00973269"/>
    <w:rsid w:val="009737A8"/>
    <w:rsid w:val="0097441B"/>
    <w:rsid w:val="009750D6"/>
    <w:rsid w:val="0097673B"/>
    <w:rsid w:val="00976A17"/>
    <w:rsid w:val="00976ACD"/>
    <w:rsid w:val="00976B46"/>
    <w:rsid w:val="00976D1D"/>
    <w:rsid w:val="00977035"/>
    <w:rsid w:val="00977868"/>
    <w:rsid w:val="009779A0"/>
    <w:rsid w:val="009807FA"/>
    <w:rsid w:val="00980867"/>
    <w:rsid w:val="0098133D"/>
    <w:rsid w:val="00981481"/>
    <w:rsid w:val="00981C7D"/>
    <w:rsid w:val="00982581"/>
    <w:rsid w:val="0098310E"/>
    <w:rsid w:val="009845D2"/>
    <w:rsid w:val="00984BC8"/>
    <w:rsid w:val="0098677C"/>
    <w:rsid w:val="00987B89"/>
    <w:rsid w:val="00987EED"/>
    <w:rsid w:val="0099012A"/>
    <w:rsid w:val="00990694"/>
    <w:rsid w:val="0099070C"/>
    <w:rsid w:val="00990AF6"/>
    <w:rsid w:val="0099146A"/>
    <w:rsid w:val="00991A1B"/>
    <w:rsid w:val="00991B78"/>
    <w:rsid w:val="009920F4"/>
    <w:rsid w:val="009922CB"/>
    <w:rsid w:val="0099297A"/>
    <w:rsid w:val="0099316B"/>
    <w:rsid w:val="0099318D"/>
    <w:rsid w:val="0099394B"/>
    <w:rsid w:val="00993A72"/>
    <w:rsid w:val="00995551"/>
    <w:rsid w:val="00995F14"/>
    <w:rsid w:val="009963A9"/>
    <w:rsid w:val="00997B90"/>
    <w:rsid w:val="009A07EA"/>
    <w:rsid w:val="009A0A8D"/>
    <w:rsid w:val="009A0C19"/>
    <w:rsid w:val="009A12DC"/>
    <w:rsid w:val="009A177B"/>
    <w:rsid w:val="009A1D67"/>
    <w:rsid w:val="009A2251"/>
    <w:rsid w:val="009A25FB"/>
    <w:rsid w:val="009A2A39"/>
    <w:rsid w:val="009A2DF5"/>
    <w:rsid w:val="009A3104"/>
    <w:rsid w:val="009A318E"/>
    <w:rsid w:val="009A3881"/>
    <w:rsid w:val="009A4299"/>
    <w:rsid w:val="009A437A"/>
    <w:rsid w:val="009A48A2"/>
    <w:rsid w:val="009A4D23"/>
    <w:rsid w:val="009A524A"/>
    <w:rsid w:val="009A54F8"/>
    <w:rsid w:val="009A5B1E"/>
    <w:rsid w:val="009B0CD2"/>
    <w:rsid w:val="009B0F70"/>
    <w:rsid w:val="009B11F0"/>
    <w:rsid w:val="009B15E9"/>
    <w:rsid w:val="009B183C"/>
    <w:rsid w:val="009B211F"/>
    <w:rsid w:val="009B2882"/>
    <w:rsid w:val="009B2C1D"/>
    <w:rsid w:val="009B2FCF"/>
    <w:rsid w:val="009B46B8"/>
    <w:rsid w:val="009B47E3"/>
    <w:rsid w:val="009B4C40"/>
    <w:rsid w:val="009B4DC5"/>
    <w:rsid w:val="009B571F"/>
    <w:rsid w:val="009B5888"/>
    <w:rsid w:val="009B5ACD"/>
    <w:rsid w:val="009B5CE0"/>
    <w:rsid w:val="009B6137"/>
    <w:rsid w:val="009B64F4"/>
    <w:rsid w:val="009B6704"/>
    <w:rsid w:val="009B6C6E"/>
    <w:rsid w:val="009C085F"/>
    <w:rsid w:val="009C1AAD"/>
    <w:rsid w:val="009C1E29"/>
    <w:rsid w:val="009C29CD"/>
    <w:rsid w:val="009C32D9"/>
    <w:rsid w:val="009C3DDD"/>
    <w:rsid w:val="009C51EB"/>
    <w:rsid w:val="009C5290"/>
    <w:rsid w:val="009C52A0"/>
    <w:rsid w:val="009C5495"/>
    <w:rsid w:val="009C5E3C"/>
    <w:rsid w:val="009C60DF"/>
    <w:rsid w:val="009C63BE"/>
    <w:rsid w:val="009C6739"/>
    <w:rsid w:val="009D04D5"/>
    <w:rsid w:val="009D0D19"/>
    <w:rsid w:val="009D0E05"/>
    <w:rsid w:val="009D12D9"/>
    <w:rsid w:val="009D281A"/>
    <w:rsid w:val="009D2BB5"/>
    <w:rsid w:val="009D35F8"/>
    <w:rsid w:val="009D3EB1"/>
    <w:rsid w:val="009D579B"/>
    <w:rsid w:val="009D5AA8"/>
    <w:rsid w:val="009D68BF"/>
    <w:rsid w:val="009D6E38"/>
    <w:rsid w:val="009D7852"/>
    <w:rsid w:val="009D7DC8"/>
    <w:rsid w:val="009E01F5"/>
    <w:rsid w:val="009E031D"/>
    <w:rsid w:val="009E0564"/>
    <w:rsid w:val="009E1C96"/>
    <w:rsid w:val="009E38AC"/>
    <w:rsid w:val="009E3E09"/>
    <w:rsid w:val="009E4264"/>
    <w:rsid w:val="009E4322"/>
    <w:rsid w:val="009E4765"/>
    <w:rsid w:val="009E503A"/>
    <w:rsid w:val="009E524F"/>
    <w:rsid w:val="009E572F"/>
    <w:rsid w:val="009E5980"/>
    <w:rsid w:val="009E6578"/>
    <w:rsid w:val="009E751E"/>
    <w:rsid w:val="009E77E6"/>
    <w:rsid w:val="009E7923"/>
    <w:rsid w:val="009E7BC1"/>
    <w:rsid w:val="009F187C"/>
    <w:rsid w:val="009F1C41"/>
    <w:rsid w:val="009F1FD8"/>
    <w:rsid w:val="009F21E1"/>
    <w:rsid w:val="009F229B"/>
    <w:rsid w:val="009F2919"/>
    <w:rsid w:val="009F45B9"/>
    <w:rsid w:val="009F4CC5"/>
    <w:rsid w:val="009F4CCB"/>
    <w:rsid w:val="009F4EA8"/>
    <w:rsid w:val="009F5748"/>
    <w:rsid w:val="009F5C95"/>
    <w:rsid w:val="009F5EF4"/>
    <w:rsid w:val="009F5EF8"/>
    <w:rsid w:val="009F6E12"/>
    <w:rsid w:val="009F75D3"/>
    <w:rsid w:val="009F7F63"/>
    <w:rsid w:val="00A003DD"/>
    <w:rsid w:val="00A00619"/>
    <w:rsid w:val="00A00628"/>
    <w:rsid w:val="00A00D71"/>
    <w:rsid w:val="00A00F0C"/>
    <w:rsid w:val="00A0101C"/>
    <w:rsid w:val="00A01D93"/>
    <w:rsid w:val="00A021AE"/>
    <w:rsid w:val="00A025ED"/>
    <w:rsid w:val="00A02824"/>
    <w:rsid w:val="00A02A7D"/>
    <w:rsid w:val="00A02C00"/>
    <w:rsid w:val="00A02C0B"/>
    <w:rsid w:val="00A03688"/>
    <w:rsid w:val="00A03A09"/>
    <w:rsid w:val="00A046ED"/>
    <w:rsid w:val="00A04BF7"/>
    <w:rsid w:val="00A06A60"/>
    <w:rsid w:val="00A06FDC"/>
    <w:rsid w:val="00A07A97"/>
    <w:rsid w:val="00A07AF8"/>
    <w:rsid w:val="00A07C29"/>
    <w:rsid w:val="00A07D5B"/>
    <w:rsid w:val="00A102BB"/>
    <w:rsid w:val="00A10CC2"/>
    <w:rsid w:val="00A10FE7"/>
    <w:rsid w:val="00A1151A"/>
    <w:rsid w:val="00A11987"/>
    <w:rsid w:val="00A11D96"/>
    <w:rsid w:val="00A11F9A"/>
    <w:rsid w:val="00A12716"/>
    <w:rsid w:val="00A1304B"/>
    <w:rsid w:val="00A13237"/>
    <w:rsid w:val="00A13241"/>
    <w:rsid w:val="00A135FE"/>
    <w:rsid w:val="00A13CC4"/>
    <w:rsid w:val="00A15E9F"/>
    <w:rsid w:val="00A167C3"/>
    <w:rsid w:val="00A16CC9"/>
    <w:rsid w:val="00A1708E"/>
    <w:rsid w:val="00A1717E"/>
    <w:rsid w:val="00A1719E"/>
    <w:rsid w:val="00A17945"/>
    <w:rsid w:val="00A17B23"/>
    <w:rsid w:val="00A17E6C"/>
    <w:rsid w:val="00A211DD"/>
    <w:rsid w:val="00A21D2E"/>
    <w:rsid w:val="00A22082"/>
    <w:rsid w:val="00A225C1"/>
    <w:rsid w:val="00A22AF1"/>
    <w:rsid w:val="00A22F9E"/>
    <w:rsid w:val="00A22FE4"/>
    <w:rsid w:val="00A23447"/>
    <w:rsid w:val="00A237A1"/>
    <w:rsid w:val="00A23933"/>
    <w:rsid w:val="00A23FEC"/>
    <w:rsid w:val="00A24270"/>
    <w:rsid w:val="00A24AF4"/>
    <w:rsid w:val="00A255D2"/>
    <w:rsid w:val="00A26847"/>
    <w:rsid w:val="00A26921"/>
    <w:rsid w:val="00A26DE8"/>
    <w:rsid w:val="00A27625"/>
    <w:rsid w:val="00A27742"/>
    <w:rsid w:val="00A27A6B"/>
    <w:rsid w:val="00A27D98"/>
    <w:rsid w:val="00A27E8E"/>
    <w:rsid w:val="00A3019F"/>
    <w:rsid w:val="00A301B4"/>
    <w:rsid w:val="00A3021E"/>
    <w:rsid w:val="00A3094E"/>
    <w:rsid w:val="00A32A7A"/>
    <w:rsid w:val="00A33C21"/>
    <w:rsid w:val="00A3477D"/>
    <w:rsid w:val="00A348BE"/>
    <w:rsid w:val="00A3513F"/>
    <w:rsid w:val="00A35E89"/>
    <w:rsid w:val="00A36189"/>
    <w:rsid w:val="00A366E6"/>
    <w:rsid w:val="00A37043"/>
    <w:rsid w:val="00A37199"/>
    <w:rsid w:val="00A3756F"/>
    <w:rsid w:val="00A406E3"/>
    <w:rsid w:val="00A4072A"/>
    <w:rsid w:val="00A40B81"/>
    <w:rsid w:val="00A40B84"/>
    <w:rsid w:val="00A43CFE"/>
    <w:rsid w:val="00A44303"/>
    <w:rsid w:val="00A4440E"/>
    <w:rsid w:val="00A445C4"/>
    <w:rsid w:val="00A44A3B"/>
    <w:rsid w:val="00A44AA0"/>
    <w:rsid w:val="00A44EC6"/>
    <w:rsid w:val="00A44FBB"/>
    <w:rsid w:val="00A45107"/>
    <w:rsid w:val="00A45C57"/>
    <w:rsid w:val="00A46327"/>
    <w:rsid w:val="00A46875"/>
    <w:rsid w:val="00A46A62"/>
    <w:rsid w:val="00A46BF9"/>
    <w:rsid w:val="00A50C0E"/>
    <w:rsid w:val="00A5160F"/>
    <w:rsid w:val="00A51DF6"/>
    <w:rsid w:val="00A526A8"/>
    <w:rsid w:val="00A52CB1"/>
    <w:rsid w:val="00A5348D"/>
    <w:rsid w:val="00A53EA2"/>
    <w:rsid w:val="00A5464A"/>
    <w:rsid w:val="00A54C59"/>
    <w:rsid w:val="00A54FFE"/>
    <w:rsid w:val="00A55036"/>
    <w:rsid w:val="00A55420"/>
    <w:rsid w:val="00A556E7"/>
    <w:rsid w:val="00A562C9"/>
    <w:rsid w:val="00A57374"/>
    <w:rsid w:val="00A577FF"/>
    <w:rsid w:val="00A57F3C"/>
    <w:rsid w:val="00A60013"/>
    <w:rsid w:val="00A6133B"/>
    <w:rsid w:val="00A61C53"/>
    <w:rsid w:val="00A61F2F"/>
    <w:rsid w:val="00A621D0"/>
    <w:rsid w:val="00A62416"/>
    <w:rsid w:val="00A63A5E"/>
    <w:rsid w:val="00A6423F"/>
    <w:rsid w:val="00A64D78"/>
    <w:rsid w:val="00A65B12"/>
    <w:rsid w:val="00A65B52"/>
    <w:rsid w:val="00A672FA"/>
    <w:rsid w:val="00A673C1"/>
    <w:rsid w:val="00A674C2"/>
    <w:rsid w:val="00A700A9"/>
    <w:rsid w:val="00A70497"/>
    <w:rsid w:val="00A704A5"/>
    <w:rsid w:val="00A7071A"/>
    <w:rsid w:val="00A7114E"/>
    <w:rsid w:val="00A72349"/>
    <w:rsid w:val="00A72816"/>
    <w:rsid w:val="00A72D79"/>
    <w:rsid w:val="00A7387F"/>
    <w:rsid w:val="00A73A2C"/>
    <w:rsid w:val="00A75910"/>
    <w:rsid w:val="00A75BB3"/>
    <w:rsid w:val="00A77B98"/>
    <w:rsid w:val="00A77E8E"/>
    <w:rsid w:val="00A806F0"/>
    <w:rsid w:val="00A80D3E"/>
    <w:rsid w:val="00A81895"/>
    <w:rsid w:val="00A82483"/>
    <w:rsid w:val="00A8380D"/>
    <w:rsid w:val="00A83BB4"/>
    <w:rsid w:val="00A85404"/>
    <w:rsid w:val="00A8609C"/>
    <w:rsid w:val="00A8660B"/>
    <w:rsid w:val="00A87391"/>
    <w:rsid w:val="00A87C07"/>
    <w:rsid w:val="00A903DE"/>
    <w:rsid w:val="00A904BC"/>
    <w:rsid w:val="00A904EB"/>
    <w:rsid w:val="00A90716"/>
    <w:rsid w:val="00A90D47"/>
    <w:rsid w:val="00A91ED3"/>
    <w:rsid w:val="00A92970"/>
    <w:rsid w:val="00A92C11"/>
    <w:rsid w:val="00A939BE"/>
    <w:rsid w:val="00A93F98"/>
    <w:rsid w:val="00A941BD"/>
    <w:rsid w:val="00A94D6C"/>
    <w:rsid w:val="00A95E31"/>
    <w:rsid w:val="00A961D9"/>
    <w:rsid w:val="00A96747"/>
    <w:rsid w:val="00A96E17"/>
    <w:rsid w:val="00A973E4"/>
    <w:rsid w:val="00A9773E"/>
    <w:rsid w:val="00AA00F4"/>
    <w:rsid w:val="00AA01E2"/>
    <w:rsid w:val="00AA04A9"/>
    <w:rsid w:val="00AA07D4"/>
    <w:rsid w:val="00AA0D9D"/>
    <w:rsid w:val="00AA1ED1"/>
    <w:rsid w:val="00AA264C"/>
    <w:rsid w:val="00AA28F4"/>
    <w:rsid w:val="00AA40BC"/>
    <w:rsid w:val="00AA48E9"/>
    <w:rsid w:val="00AA5B76"/>
    <w:rsid w:val="00AA5CD5"/>
    <w:rsid w:val="00AA6667"/>
    <w:rsid w:val="00AA7137"/>
    <w:rsid w:val="00AA7579"/>
    <w:rsid w:val="00AA7817"/>
    <w:rsid w:val="00AB0D54"/>
    <w:rsid w:val="00AB0E5B"/>
    <w:rsid w:val="00AB0ED2"/>
    <w:rsid w:val="00AB2A45"/>
    <w:rsid w:val="00AB3288"/>
    <w:rsid w:val="00AB362C"/>
    <w:rsid w:val="00AB45B4"/>
    <w:rsid w:val="00AB4718"/>
    <w:rsid w:val="00AB53BA"/>
    <w:rsid w:val="00AB5CFD"/>
    <w:rsid w:val="00AB5F13"/>
    <w:rsid w:val="00AB5F8D"/>
    <w:rsid w:val="00AB660C"/>
    <w:rsid w:val="00AB67F6"/>
    <w:rsid w:val="00AB7486"/>
    <w:rsid w:val="00AC00CB"/>
    <w:rsid w:val="00AC04E8"/>
    <w:rsid w:val="00AC0A5F"/>
    <w:rsid w:val="00AC1863"/>
    <w:rsid w:val="00AC18CC"/>
    <w:rsid w:val="00AC18D5"/>
    <w:rsid w:val="00AC224B"/>
    <w:rsid w:val="00AC25DB"/>
    <w:rsid w:val="00AC35BB"/>
    <w:rsid w:val="00AC36C8"/>
    <w:rsid w:val="00AC3BF4"/>
    <w:rsid w:val="00AC3CEA"/>
    <w:rsid w:val="00AC4557"/>
    <w:rsid w:val="00AC52FE"/>
    <w:rsid w:val="00AC5342"/>
    <w:rsid w:val="00AC5DA4"/>
    <w:rsid w:val="00AC6EE8"/>
    <w:rsid w:val="00AC75FF"/>
    <w:rsid w:val="00AC7C83"/>
    <w:rsid w:val="00AC7D23"/>
    <w:rsid w:val="00AC7D93"/>
    <w:rsid w:val="00AD0637"/>
    <w:rsid w:val="00AD16F0"/>
    <w:rsid w:val="00AD2369"/>
    <w:rsid w:val="00AD279B"/>
    <w:rsid w:val="00AD296E"/>
    <w:rsid w:val="00AD303B"/>
    <w:rsid w:val="00AD355B"/>
    <w:rsid w:val="00AD35C8"/>
    <w:rsid w:val="00AD3639"/>
    <w:rsid w:val="00AD3746"/>
    <w:rsid w:val="00AD3B13"/>
    <w:rsid w:val="00AD4516"/>
    <w:rsid w:val="00AD5100"/>
    <w:rsid w:val="00AD51CC"/>
    <w:rsid w:val="00AD51CE"/>
    <w:rsid w:val="00AD5DBD"/>
    <w:rsid w:val="00AD7A39"/>
    <w:rsid w:val="00AE1077"/>
    <w:rsid w:val="00AE1862"/>
    <w:rsid w:val="00AE3250"/>
    <w:rsid w:val="00AE34C8"/>
    <w:rsid w:val="00AE3729"/>
    <w:rsid w:val="00AE447C"/>
    <w:rsid w:val="00AE4CE3"/>
    <w:rsid w:val="00AE5436"/>
    <w:rsid w:val="00AE5724"/>
    <w:rsid w:val="00AE57C0"/>
    <w:rsid w:val="00AE5C0C"/>
    <w:rsid w:val="00AE6D01"/>
    <w:rsid w:val="00AE6E74"/>
    <w:rsid w:val="00AE7129"/>
    <w:rsid w:val="00AF04D7"/>
    <w:rsid w:val="00AF0CB8"/>
    <w:rsid w:val="00AF0E9E"/>
    <w:rsid w:val="00AF11BD"/>
    <w:rsid w:val="00AF1411"/>
    <w:rsid w:val="00AF1D1D"/>
    <w:rsid w:val="00AF3083"/>
    <w:rsid w:val="00AF31A7"/>
    <w:rsid w:val="00AF3860"/>
    <w:rsid w:val="00AF553B"/>
    <w:rsid w:val="00AF5728"/>
    <w:rsid w:val="00AF6094"/>
    <w:rsid w:val="00AF670B"/>
    <w:rsid w:val="00AF6F84"/>
    <w:rsid w:val="00AF77AE"/>
    <w:rsid w:val="00B004B8"/>
    <w:rsid w:val="00B0101C"/>
    <w:rsid w:val="00B01C97"/>
    <w:rsid w:val="00B03093"/>
    <w:rsid w:val="00B033FD"/>
    <w:rsid w:val="00B03576"/>
    <w:rsid w:val="00B03641"/>
    <w:rsid w:val="00B04931"/>
    <w:rsid w:val="00B06F19"/>
    <w:rsid w:val="00B07505"/>
    <w:rsid w:val="00B07AA8"/>
    <w:rsid w:val="00B07BAE"/>
    <w:rsid w:val="00B10FBE"/>
    <w:rsid w:val="00B11DF5"/>
    <w:rsid w:val="00B12AD9"/>
    <w:rsid w:val="00B1377F"/>
    <w:rsid w:val="00B13CB4"/>
    <w:rsid w:val="00B13E7F"/>
    <w:rsid w:val="00B141F2"/>
    <w:rsid w:val="00B146BA"/>
    <w:rsid w:val="00B14F60"/>
    <w:rsid w:val="00B15796"/>
    <w:rsid w:val="00B16641"/>
    <w:rsid w:val="00B17A1F"/>
    <w:rsid w:val="00B20DC1"/>
    <w:rsid w:val="00B2157D"/>
    <w:rsid w:val="00B22781"/>
    <w:rsid w:val="00B22B4C"/>
    <w:rsid w:val="00B230E1"/>
    <w:rsid w:val="00B24160"/>
    <w:rsid w:val="00B2526B"/>
    <w:rsid w:val="00B254EA"/>
    <w:rsid w:val="00B25FC1"/>
    <w:rsid w:val="00B26A3C"/>
    <w:rsid w:val="00B27661"/>
    <w:rsid w:val="00B27CF9"/>
    <w:rsid w:val="00B30B74"/>
    <w:rsid w:val="00B30C33"/>
    <w:rsid w:val="00B30DA0"/>
    <w:rsid w:val="00B30F1D"/>
    <w:rsid w:val="00B31318"/>
    <w:rsid w:val="00B31439"/>
    <w:rsid w:val="00B314F0"/>
    <w:rsid w:val="00B3154D"/>
    <w:rsid w:val="00B31945"/>
    <w:rsid w:val="00B32E8A"/>
    <w:rsid w:val="00B341F9"/>
    <w:rsid w:val="00B346BD"/>
    <w:rsid w:val="00B34771"/>
    <w:rsid w:val="00B34AA8"/>
    <w:rsid w:val="00B34CE5"/>
    <w:rsid w:val="00B352E2"/>
    <w:rsid w:val="00B35B01"/>
    <w:rsid w:val="00B36930"/>
    <w:rsid w:val="00B400D8"/>
    <w:rsid w:val="00B40D0C"/>
    <w:rsid w:val="00B41A12"/>
    <w:rsid w:val="00B41D7F"/>
    <w:rsid w:val="00B427F5"/>
    <w:rsid w:val="00B42C3F"/>
    <w:rsid w:val="00B43361"/>
    <w:rsid w:val="00B43C1E"/>
    <w:rsid w:val="00B44018"/>
    <w:rsid w:val="00B44215"/>
    <w:rsid w:val="00B442E6"/>
    <w:rsid w:val="00B447B9"/>
    <w:rsid w:val="00B44AEE"/>
    <w:rsid w:val="00B44F42"/>
    <w:rsid w:val="00B44F78"/>
    <w:rsid w:val="00B45034"/>
    <w:rsid w:val="00B4617D"/>
    <w:rsid w:val="00B4644B"/>
    <w:rsid w:val="00B4695F"/>
    <w:rsid w:val="00B46BB5"/>
    <w:rsid w:val="00B4709B"/>
    <w:rsid w:val="00B50486"/>
    <w:rsid w:val="00B5058B"/>
    <w:rsid w:val="00B506BD"/>
    <w:rsid w:val="00B51169"/>
    <w:rsid w:val="00B5167F"/>
    <w:rsid w:val="00B51AB3"/>
    <w:rsid w:val="00B527A4"/>
    <w:rsid w:val="00B53FAD"/>
    <w:rsid w:val="00B545D0"/>
    <w:rsid w:val="00B54B50"/>
    <w:rsid w:val="00B54BAE"/>
    <w:rsid w:val="00B559E1"/>
    <w:rsid w:val="00B55D8F"/>
    <w:rsid w:val="00B55FD6"/>
    <w:rsid w:val="00B5630F"/>
    <w:rsid w:val="00B5673C"/>
    <w:rsid w:val="00B56CED"/>
    <w:rsid w:val="00B56D90"/>
    <w:rsid w:val="00B57C89"/>
    <w:rsid w:val="00B57FC8"/>
    <w:rsid w:val="00B60A53"/>
    <w:rsid w:val="00B613ED"/>
    <w:rsid w:val="00B6147F"/>
    <w:rsid w:val="00B61A57"/>
    <w:rsid w:val="00B61F6B"/>
    <w:rsid w:val="00B6374F"/>
    <w:rsid w:val="00B63AD1"/>
    <w:rsid w:val="00B63F53"/>
    <w:rsid w:val="00B64252"/>
    <w:rsid w:val="00B668AC"/>
    <w:rsid w:val="00B70005"/>
    <w:rsid w:val="00B710EE"/>
    <w:rsid w:val="00B71E8C"/>
    <w:rsid w:val="00B72A26"/>
    <w:rsid w:val="00B72A93"/>
    <w:rsid w:val="00B7342A"/>
    <w:rsid w:val="00B7345A"/>
    <w:rsid w:val="00B7363D"/>
    <w:rsid w:val="00B73A5E"/>
    <w:rsid w:val="00B73FDD"/>
    <w:rsid w:val="00B7405A"/>
    <w:rsid w:val="00B74A4C"/>
    <w:rsid w:val="00B74FD2"/>
    <w:rsid w:val="00B75E73"/>
    <w:rsid w:val="00B76330"/>
    <w:rsid w:val="00B7660C"/>
    <w:rsid w:val="00B8083C"/>
    <w:rsid w:val="00B80E1E"/>
    <w:rsid w:val="00B81603"/>
    <w:rsid w:val="00B81865"/>
    <w:rsid w:val="00B82798"/>
    <w:rsid w:val="00B83C0F"/>
    <w:rsid w:val="00B84708"/>
    <w:rsid w:val="00B84D43"/>
    <w:rsid w:val="00B859D4"/>
    <w:rsid w:val="00B86925"/>
    <w:rsid w:val="00B87F8A"/>
    <w:rsid w:val="00B9171E"/>
    <w:rsid w:val="00B91AF8"/>
    <w:rsid w:val="00B91D81"/>
    <w:rsid w:val="00B9248C"/>
    <w:rsid w:val="00B92EA7"/>
    <w:rsid w:val="00B92EAE"/>
    <w:rsid w:val="00B9368F"/>
    <w:rsid w:val="00B94126"/>
    <w:rsid w:val="00B94248"/>
    <w:rsid w:val="00B945B8"/>
    <w:rsid w:val="00B957E8"/>
    <w:rsid w:val="00B96443"/>
    <w:rsid w:val="00B96735"/>
    <w:rsid w:val="00B9735C"/>
    <w:rsid w:val="00B975CD"/>
    <w:rsid w:val="00BA0462"/>
    <w:rsid w:val="00BA05C5"/>
    <w:rsid w:val="00BA06C0"/>
    <w:rsid w:val="00BA10D8"/>
    <w:rsid w:val="00BA30E1"/>
    <w:rsid w:val="00BA3175"/>
    <w:rsid w:val="00BA3C92"/>
    <w:rsid w:val="00BA4DC3"/>
    <w:rsid w:val="00BA5E4A"/>
    <w:rsid w:val="00BA5EE0"/>
    <w:rsid w:val="00BA7452"/>
    <w:rsid w:val="00BB0652"/>
    <w:rsid w:val="00BB0901"/>
    <w:rsid w:val="00BB0F34"/>
    <w:rsid w:val="00BB130E"/>
    <w:rsid w:val="00BB137E"/>
    <w:rsid w:val="00BB2119"/>
    <w:rsid w:val="00BB24E6"/>
    <w:rsid w:val="00BB2820"/>
    <w:rsid w:val="00BB2C39"/>
    <w:rsid w:val="00BB2DFF"/>
    <w:rsid w:val="00BB3166"/>
    <w:rsid w:val="00BB4EEA"/>
    <w:rsid w:val="00BB5060"/>
    <w:rsid w:val="00BB57FE"/>
    <w:rsid w:val="00BB61D2"/>
    <w:rsid w:val="00BB7A29"/>
    <w:rsid w:val="00BC0DDD"/>
    <w:rsid w:val="00BC17C5"/>
    <w:rsid w:val="00BC1B8B"/>
    <w:rsid w:val="00BC1BDA"/>
    <w:rsid w:val="00BC23A2"/>
    <w:rsid w:val="00BC2544"/>
    <w:rsid w:val="00BC2EC0"/>
    <w:rsid w:val="00BC3229"/>
    <w:rsid w:val="00BC36AC"/>
    <w:rsid w:val="00BC36CE"/>
    <w:rsid w:val="00BC4481"/>
    <w:rsid w:val="00BC5D83"/>
    <w:rsid w:val="00BC65E7"/>
    <w:rsid w:val="00BC7072"/>
    <w:rsid w:val="00BC7656"/>
    <w:rsid w:val="00BD02E2"/>
    <w:rsid w:val="00BD0EB3"/>
    <w:rsid w:val="00BD1BBB"/>
    <w:rsid w:val="00BD1F97"/>
    <w:rsid w:val="00BD20B4"/>
    <w:rsid w:val="00BD25B7"/>
    <w:rsid w:val="00BD4D91"/>
    <w:rsid w:val="00BD5693"/>
    <w:rsid w:val="00BD5DE5"/>
    <w:rsid w:val="00BD7ADF"/>
    <w:rsid w:val="00BE089B"/>
    <w:rsid w:val="00BE0E3C"/>
    <w:rsid w:val="00BE1FCB"/>
    <w:rsid w:val="00BE25E3"/>
    <w:rsid w:val="00BE2610"/>
    <w:rsid w:val="00BE311B"/>
    <w:rsid w:val="00BE3556"/>
    <w:rsid w:val="00BE3C9E"/>
    <w:rsid w:val="00BE428D"/>
    <w:rsid w:val="00BE52E5"/>
    <w:rsid w:val="00BE568A"/>
    <w:rsid w:val="00BE5BB8"/>
    <w:rsid w:val="00BE6546"/>
    <w:rsid w:val="00BE7BAD"/>
    <w:rsid w:val="00BF0527"/>
    <w:rsid w:val="00BF056E"/>
    <w:rsid w:val="00BF062D"/>
    <w:rsid w:val="00BF0F71"/>
    <w:rsid w:val="00BF1D88"/>
    <w:rsid w:val="00BF32DC"/>
    <w:rsid w:val="00BF4658"/>
    <w:rsid w:val="00BF4A7E"/>
    <w:rsid w:val="00BF5C59"/>
    <w:rsid w:val="00BF5EA5"/>
    <w:rsid w:val="00BF63C6"/>
    <w:rsid w:val="00BF6559"/>
    <w:rsid w:val="00BF69EF"/>
    <w:rsid w:val="00BF74AD"/>
    <w:rsid w:val="00BF76DC"/>
    <w:rsid w:val="00BF770C"/>
    <w:rsid w:val="00BF7B2F"/>
    <w:rsid w:val="00BF7F0E"/>
    <w:rsid w:val="00C00056"/>
    <w:rsid w:val="00C00AFA"/>
    <w:rsid w:val="00C00B81"/>
    <w:rsid w:val="00C01467"/>
    <w:rsid w:val="00C01F94"/>
    <w:rsid w:val="00C0207E"/>
    <w:rsid w:val="00C034F4"/>
    <w:rsid w:val="00C03587"/>
    <w:rsid w:val="00C03BFA"/>
    <w:rsid w:val="00C049A6"/>
    <w:rsid w:val="00C04ED4"/>
    <w:rsid w:val="00C0518B"/>
    <w:rsid w:val="00C05B0E"/>
    <w:rsid w:val="00C068AB"/>
    <w:rsid w:val="00C06E7D"/>
    <w:rsid w:val="00C074B1"/>
    <w:rsid w:val="00C1056B"/>
    <w:rsid w:val="00C10739"/>
    <w:rsid w:val="00C10D4C"/>
    <w:rsid w:val="00C1123B"/>
    <w:rsid w:val="00C11BDD"/>
    <w:rsid w:val="00C11E39"/>
    <w:rsid w:val="00C1205C"/>
    <w:rsid w:val="00C12AA9"/>
    <w:rsid w:val="00C12AF4"/>
    <w:rsid w:val="00C12DFC"/>
    <w:rsid w:val="00C13C7A"/>
    <w:rsid w:val="00C13D8B"/>
    <w:rsid w:val="00C14B95"/>
    <w:rsid w:val="00C14E69"/>
    <w:rsid w:val="00C16E6F"/>
    <w:rsid w:val="00C1762D"/>
    <w:rsid w:val="00C17EFB"/>
    <w:rsid w:val="00C202C8"/>
    <w:rsid w:val="00C20817"/>
    <w:rsid w:val="00C20D13"/>
    <w:rsid w:val="00C20D3D"/>
    <w:rsid w:val="00C2126C"/>
    <w:rsid w:val="00C222F9"/>
    <w:rsid w:val="00C2239F"/>
    <w:rsid w:val="00C22598"/>
    <w:rsid w:val="00C22C71"/>
    <w:rsid w:val="00C231BC"/>
    <w:rsid w:val="00C232D4"/>
    <w:rsid w:val="00C2339D"/>
    <w:rsid w:val="00C2378F"/>
    <w:rsid w:val="00C244AC"/>
    <w:rsid w:val="00C24659"/>
    <w:rsid w:val="00C2473A"/>
    <w:rsid w:val="00C24BF0"/>
    <w:rsid w:val="00C252CF"/>
    <w:rsid w:val="00C25BB3"/>
    <w:rsid w:val="00C26010"/>
    <w:rsid w:val="00C2606A"/>
    <w:rsid w:val="00C2701A"/>
    <w:rsid w:val="00C27BE8"/>
    <w:rsid w:val="00C30541"/>
    <w:rsid w:val="00C30686"/>
    <w:rsid w:val="00C30747"/>
    <w:rsid w:val="00C30AD5"/>
    <w:rsid w:val="00C30FD7"/>
    <w:rsid w:val="00C31420"/>
    <w:rsid w:val="00C31BCC"/>
    <w:rsid w:val="00C325CD"/>
    <w:rsid w:val="00C32CAE"/>
    <w:rsid w:val="00C32E0E"/>
    <w:rsid w:val="00C33659"/>
    <w:rsid w:val="00C34868"/>
    <w:rsid w:val="00C34BBE"/>
    <w:rsid w:val="00C35EC6"/>
    <w:rsid w:val="00C3619B"/>
    <w:rsid w:val="00C363A1"/>
    <w:rsid w:val="00C36536"/>
    <w:rsid w:val="00C3674F"/>
    <w:rsid w:val="00C36756"/>
    <w:rsid w:val="00C36EAE"/>
    <w:rsid w:val="00C37841"/>
    <w:rsid w:val="00C37A1D"/>
    <w:rsid w:val="00C37ED2"/>
    <w:rsid w:val="00C403C4"/>
    <w:rsid w:val="00C420F8"/>
    <w:rsid w:val="00C42B8F"/>
    <w:rsid w:val="00C42F88"/>
    <w:rsid w:val="00C4303F"/>
    <w:rsid w:val="00C43974"/>
    <w:rsid w:val="00C4467B"/>
    <w:rsid w:val="00C449DB"/>
    <w:rsid w:val="00C44A81"/>
    <w:rsid w:val="00C4599F"/>
    <w:rsid w:val="00C45DF7"/>
    <w:rsid w:val="00C45F02"/>
    <w:rsid w:val="00C47946"/>
    <w:rsid w:val="00C537F7"/>
    <w:rsid w:val="00C55F37"/>
    <w:rsid w:val="00C56091"/>
    <w:rsid w:val="00C561C0"/>
    <w:rsid w:val="00C56297"/>
    <w:rsid w:val="00C569BA"/>
    <w:rsid w:val="00C56F81"/>
    <w:rsid w:val="00C57D72"/>
    <w:rsid w:val="00C57FC2"/>
    <w:rsid w:val="00C60C36"/>
    <w:rsid w:val="00C61449"/>
    <w:rsid w:val="00C61913"/>
    <w:rsid w:val="00C61D86"/>
    <w:rsid w:val="00C633EA"/>
    <w:rsid w:val="00C6394B"/>
    <w:rsid w:val="00C64645"/>
    <w:rsid w:val="00C64AC5"/>
    <w:rsid w:val="00C64E0D"/>
    <w:rsid w:val="00C6517C"/>
    <w:rsid w:val="00C651A3"/>
    <w:rsid w:val="00C65B7A"/>
    <w:rsid w:val="00C65CDF"/>
    <w:rsid w:val="00C66001"/>
    <w:rsid w:val="00C66555"/>
    <w:rsid w:val="00C66A56"/>
    <w:rsid w:val="00C6724B"/>
    <w:rsid w:val="00C710BC"/>
    <w:rsid w:val="00C7159F"/>
    <w:rsid w:val="00C71A3C"/>
    <w:rsid w:val="00C73460"/>
    <w:rsid w:val="00C74237"/>
    <w:rsid w:val="00C74315"/>
    <w:rsid w:val="00C745A9"/>
    <w:rsid w:val="00C74D5E"/>
    <w:rsid w:val="00C75465"/>
    <w:rsid w:val="00C75D33"/>
    <w:rsid w:val="00C76B7F"/>
    <w:rsid w:val="00C76FCB"/>
    <w:rsid w:val="00C770BA"/>
    <w:rsid w:val="00C77255"/>
    <w:rsid w:val="00C775AA"/>
    <w:rsid w:val="00C7772B"/>
    <w:rsid w:val="00C7773B"/>
    <w:rsid w:val="00C7777B"/>
    <w:rsid w:val="00C77CC9"/>
    <w:rsid w:val="00C8039A"/>
    <w:rsid w:val="00C803E9"/>
    <w:rsid w:val="00C8044E"/>
    <w:rsid w:val="00C813B8"/>
    <w:rsid w:val="00C819D2"/>
    <w:rsid w:val="00C8241D"/>
    <w:rsid w:val="00C8377F"/>
    <w:rsid w:val="00C838A1"/>
    <w:rsid w:val="00C839F5"/>
    <w:rsid w:val="00C83CD3"/>
    <w:rsid w:val="00C83FAD"/>
    <w:rsid w:val="00C84A50"/>
    <w:rsid w:val="00C84C68"/>
    <w:rsid w:val="00C84FD8"/>
    <w:rsid w:val="00C85AC0"/>
    <w:rsid w:val="00C86013"/>
    <w:rsid w:val="00C9014F"/>
    <w:rsid w:val="00C901B7"/>
    <w:rsid w:val="00C90315"/>
    <w:rsid w:val="00C909AD"/>
    <w:rsid w:val="00C917B6"/>
    <w:rsid w:val="00C917EF"/>
    <w:rsid w:val="00C91F6F"/>
    <w:rsid w:val="00C92948"/>
    <w:rsid w:val="00C92A3A"/>
    <w:rsid w:val="00C93034"/>
    <w:rsid w:val="00C93641"/>
    <w:rsid w:val="00C93BC6"/>
    <w:rsid w:val="00C9442B"/>
    <w:rsid w:val="00C94B10"/>
    <w:rsid w:val="00C973F7"/>
    <w:rsid w:val="00C97EC9"/>
    <w:rsid w:val="00CA0F39"/>
    <w:rsid w:val="00CA1125"/>
    <w:rsid w:val="00CA1500"/>
    <w:rsid w:val="00CA1AC9"/>
    <w:rsid w:val="00CA1D40"/>
    <w:rsid w:val="00CA214C"/>
    <w:rsid w:val="00CA2376"/>
    <w:rsid w:val="00CA3058"/>
    <w:rsid w:val="00CA37CF"/>
    <w:rsid w:val="00CA4921"/>
    <w:rsid w:val="00CA4C92"/>
    <w:rsid w:val="00CA4F35"/>
    <w:rsid w:val="00CA6744"/>
    <w:rsid w:val="00CA6A79"/>
    <w:rsid w:val="00CA78BF"/>
    <w:rsid w:val="00CA7FBF"/>
    <w:rsid w:val="00CB008E"/>
    <w:rsid w:val="00CB09AA"/>
    <w:rsid w:val="00CB0B41"/>
    <w:rsid w:val="00CB14D4"/>
    <w:rsid w:val="00CB20B9"/>
    <w:rsid w:val="00CB223A"/>
    <w:rsid w:val="00CB242E"/>
    <w:rsid w:val="00CB2A3D"/>
    <w:rsid w:val="00CB2C35"/>
    <w:rsid w:val="00CB324A"/>
    <w:rsid w:val="00CB37FD"/>
    <w:rsid w:val="00CB3EAA"/>
    <w:rsid w:val="00CB423D"/>
    <w:rsid w:val="00CB42EB"/>
    <w:rsid w:val="00CB5280"/>
    <w:rsid w:val="00CB5BE8"/>
    <w:rsid w:val="00CB5D15"/>
    <w:rsid w:val="00CB7436"/>
    <w:rsid w:val="00CC0558"/>
    <w:rsid w:val="00CC0CC9"/>
    <w:rsid w:val="00CC274F"/>
    <w:rsid w:val="00CC2823"/>
    <w:rsid w:val="00CC2E81"/>
    <w:rsid w:val="00CC301D"/>
    <w:rsid w:val="00CC3865"/>
    <w:rsid w:val="00CC40D9"/>
    <w:rsid w:val="00CC425A"/>
    <w:rsid w:val="00CC498E"/>
    <w:rsid w:val="00CC4A97"/>
    <w:rsid w:val="00CC4AD3"/>
    <w:rsid w:val="00CC5AD6"/>
    <w:rsid w:val="00CC6031"/>
    <w:rsid w:val="00CC6896"/>
    <w:rsid w:val="00CC71BE"/>
    <w:rsid w:val="00CC754C"/>
    <w:rsid w:val="00CC779B"/>
    <w:rsid w:val="00CD177F"/>
    <w:rsid w:val="00CD209E"/>
    <w:rsid w:val="00CD34A9"/>
    <w:rsid w:val="00CD3E8A"/>
    <w:rsid w:val="00CD4048"/>
    <w:rsid w:val="00CD4478"/>
    <w:rsid w:val="00CD49DA"/>
    <w:rsid w:val="00CD50F6"/>
    <w:rsid w:val="00CD68A8"/>
    <w:rsid w:val="00CD6C6B"/>
    <w:rsid w:val="00CD73B7"/>
    <w:rsid w:val="00CD774A"/>
    <w:rsid w:val="00CD77CB"/>
    <w:rsid w:val="00CD78A6"/>
    <w:rsid w:val="00CD7D83"/>
    <w:rsid w:val="00CE0287"/>
    <w:rsid w:val="00CE0B91"/>
    <w:rsid w:val="00CE0CF0"/>
    <w:rsid w:val="00CE1E66"/>
    <w:rsid w:val="00CE2193"/>
    <w:rsid w:val="00CE29CC"/>
    <w:rsid w:val="00CE3BC2"/>
    <w:rsid w:val="00CE3CC0"/>
    <w:rsid w:val="00CE4BA3"/>
    <w:rsid w:val="00CE5BEB"/>
    <w:rsid w:val="00CE6FDC"/>
    <w:rsid w:val="00CE77D1"/>
    <w:rsid w:val="00CE7B07"/>
    <w:rsid w:val="00CE7C42"/>
    <w:rsid w:val="00CE7D64"/>
    <w:rsid w:val="00CF0F3D"/>
    <w:rsid w:val="00CF1B79"/>
    <w:rsid w:val="00CF1EC1"/>
    <w:rsid w:val="00CF28E2"/>
    <w:rsid w:val="00CF2A94"/>
    <w:rsid w:val="00CF41B5"/>
    <w:rsid w:val="00CF4A59"/>
    <w:rsid w:val="00CF4B8C"/>
    <w:rsid w:val="00CF4BA6"/>
    <w:rsid w:val="00CF5E9A"/>
    <w:rsid w:val="00CF6196"/>
    <w:rsid w:val="00CF676F"/>
    <w:rsid w:val="00CF69CF"/>
    <w:rsid w:val="00CF7947"/>
    <w:rsid w:val="00D00581"/>
    <w:rsid w:val="00D00858"/>
    <w:rsid w:val="00D01B7F"/>
    <w:rsid w:val="00D02FBC"/>
    <w:rsid w:val="00D04632"/>
    <w:rsid w:val="00D046BD"/>
    <w:rsid w:val="00D05136"/>
    <w:rsid w:val="00D0583C"/>
    <w:rsid w:val="00D05C8D"/>
    <w:rsid w:val="00D05EAB"/>
    <w:rsid w:val="00D0736F"/>
    <w:rsid w:val="00D0765F"/>
    <w:rsid w:val="00D07933"/>
    <w:rsid w:val="00D10A75"/>
    <w:rsid w:val="00D11220"/>
    <w:rsid w:val="00D11647"/>
    <w:rsid w:val="00D11C23"/>
    <w:rsid w:val="00D12383"/>
    <w:rsid w:val="00D12716"/>
    <w:rsid w:val="00D129A6"/>
    <w:rsid w:val="00D131E7"/>
    <w:rsid w:val="00D13731"/>
    <w:rsid w:val="00D13E1D"/>
    <w:rsid w:val="00D141C0"/>
    <w:rsid w:val="00D14957"/>
    <w:rsid w:val="00D14DEF"/>
    <w:rsid w:val="00D15B91"/>
    <w:rsid w:val="00D17D65"/>
    <w:rsid w:val="00D17E16"/>
    <w:rsid w:val="00D200E2"/>
    <w:rsid w:val="00D201D9"/>
    <w:rsid w:val="00D208D8"/>
    <w:rsid w:val="00D20B05"/>
    <w:rsid w:val="00D20BD8"/>
    <w:rsid w:val="00D20F1F"/>
    <w:rsid w:val="00D210DB"/>
    <w:rsid w:val="00D2195B"/>
    <w:rsid w:val="00D21B8B"/>
    <w:rsid w:val="00D21CC7"/>
    <w:rsid w:val="00D220FD"/>
    <w:rsid w:val="00D22253"/>
    <w:rsid w:val="00D24D6B"/>
    <w:rsid w:val="00D2684F"/>
    <w:rsid w:val="00D26EAB"/>
    <w:rsid w:val="00D26F0D"/>
    <w:rsid w:val="00D2730E"/>
    <w:rsid w:val="00D27969"/>
    <w:rsid w:val="00D27BA0"/>
    <w:rsid w:val="00D312F0"/>
    <w:rsid w:val="00D31467"/>
    <w:rsid w:val="00D31D3B"/>
    <w:rsid w:val="00D31F6E"/>
    <w:rsid w:val="00D32120"/>
    <w:rsid w:val="00D323A9"/>
    <w:rsid w:val="00D3335A"/>
    <w:rsid w:val="00D3345D"/>
    <w:rsid w:val="00D33524"/>
    <w:rsid w:val="00D33BAE"/>
    <w:rsid w:val="00D340D3"/>
    <w:rsid w:val="00D3430A"/>
    <w:rsid w:val="00D35834"/>
    <w:rsid w:val="00D359AD"/>
    <w:rsid w:val="00D40218"/>
    <w:rsid w:val="00D40375"/>
    <w:rsid w:val="00D4044C"/>
    <w:rsid w:val="00D40476"/>
    <w:rsid w:val="00D4146C"/>
    <w:rsid w:val="00D42BB4"/>
    <w:rsid w:val="00D43025"/>
    <w:rsid w:val="00D43731"/>
    <w:rsid w:val="00D441E1"/>
    <w:rsid w:val="00D442B9"/>
    <w:rsid w:val="00D460EE"/>
    <w:rsid w:val="00D46589"/>
    <w:rsid w:val="00D4658B"/>
    <w:rsid w:val="00D46E4B"/>
    <w:rsid w:val="00D474CA"/>
    <w:rsid w:val="00D4750F"/>
    <w:rsid w:val="00D5028F"/>
    <w:rsid w:val="00D51EFC"/>
    <w:rsid w:val="00D52131"/>
    <w:rsid w:val="00D528AE"/>
    <w:rsid w:val="00D52D84"/>
    <w:rsid w:val="00D54117"/>
    <w:rsid w:val="00D55375"/>
    <w:rsid w:val="00D559E3"/>
    <w:rsid w:val="00D55B46"/>
    <w:rsid w:val="00D561E8"/>
    <w:rsid w:val="00D56BC9"/>
    <w:rsid w:val="00D57C54"/>
    <w:rsid w:val="00D6083B"/>
    <w:rsid w:val="00D60FCF"/>
    <w:rsid w:val="00D613A5"/>
    <w:rsid w:val="00D6227E"/>
    <w:rsid w:val="00D64098"/>
    <w:rsid w:val="00D641A1"/>
    <w:rsid w:val="00D642AE"/>
    <w:rsid w:val="00D646E3"/>
    <w:rsid w:val="00D64858"/>
    <w:rsid w:val="00D64A41"/>
    <w:rsid w:val="00D6502F"/>
    <w:rsid w:val="00D66167"/>
    <w:rsid w:val="00D666DE"/>
    <w:rsid w:val="00D66C48"/>
    <w:rsid w:val="00D6716A"/>
    <w:rsid w:val="00D67B62"/>
    <w:rsid w:val="00D70293"/>
    <w:rsid w:val="00D705AC"/>
    <w:rsid w:val="00D705AE"/>
    <w:rsid w:val="00D722F5"/>
    <w:rsid w:val="00D727F4"/>
    <w:rsid w:val="00D72A33"/>
    <w:rsid w:val="00D7346E"/>
    <w:rsid w:val="00D738D3"/>
    <w:rsid w:val="00D7399F"/>
    <w:rsid w:val="00D74A94"/>
    <w:rsid w:val="00D74AB9"/>
    <w:rsid w:val="00D75227"/>
    <w:rsid w:val="00D75716"/>
    <w:rsid w:val="00D75E29"/>
    <w:rsid w:val="00D75E31"/>
    <w:rsid w:val="00D7610F"/>
    <w:rsid w:val="00D7686F"/>
    <w:rsid w:val="00D77489"/>
    <w:rsid w:val="00D774C4"/>
    <w:rsid w:val="00D8045C"/>
    <w:rsid w:val="00D805EE"/>
    <w:rsid w:val="00D809F6"/>
    <w:rsid w:val="00D80AEB"/>
    <w:rsid w:val="00D81F3D"/>
    <w:rsid w:val="00D8346D"/>
    <w:rsid w:val="00D83558"/>
    <w:rsid w:val="00D855BB"/>
    <w:rsid w:val="00D85634"/>
    <w:rsid w:val="00D856D0"/>
    <w:rsid w:val="00D86B94"/>
    <w:rsid w:val="00D87809"/>
    <w:rsid w:val="00D90075"/>
    <w:rsid w:val="00D901FC"/>
    <w:rsid w:val="00D90AE7"/>
    <w:rsid w:val="00D90BA2"/>
    <w:rsid w:val="00D92247"/>
    <w:rsid w:val="00D9237E"/>
    <w:rsid w:val="00D92A31"/>
    <w:rsid w:val="00D93D31"/>
    <w:rsid w:val="00D94096"/>
    <w:rsid w:val="00D94516"/>
    <w:rsid w:val="00D94746"/>
    <w:rsid w:val="00D948A6"/>
    <w:rsid w:val="00D94966"/>
    <w:rsid w:val="00D9572F"/>
    <w:rsid w:val="00D95EA9"/>
    <w:rsid w:val="00D969C1"/>
    <w:rsid w:val="00D978C5"/>
    <w:rsid w:val="00D97C30"/>
    <w:rsid w:val="00DA025D"/>
    <w:rsid w:val="00DA0544"/>
    <w:rsid w:val="00DA06CF"/>
    <w:rsid w:val="00DA1180"/>
    <w:rsid w:val="00DA1423"/>
    <w:rsid w:val="00DA2BA8"/>
    <w:rsid w:val="00DA398A"/>
    <w:rsid w:val="00DA44AD"/>
    <w:rsid w:val="00DA4ABE"/>
    <w:rsid w:val="00DA4E62"/>
    <w:rsid w:val="00DA609B"/>
    <w:rsid w:val="00DA6106"/>
    <w:rsid w:val="00DA62EC"/>
    <w:rsid w:val="00DA656D"/>
    <w:rsid w:val="00DA6A4D"/>
    <w:rsid w:val="00DA74BC"/>
    <w:rsid w:val="00DA762F"/>
    <w:rsid w:val="00DA7DE5"/>
    <w:rsid w:val="00DA7E2F"/>
    <w:rsid w:val="00DB0428"/>
    <w:rsid w:val="00DB04BE"/>
    <w:rsid w:val="00DB06F6"/>
    <w:rsid w:val="00DB0D90"/>
    <w:rsid w:val="00DB1269"/>
    <w:rsid w:val="00DB1FB4"/>
    <w:rsid w:val="00DB26A9"/>
    <w:rsid w:val="00DB2CB1"/>
    <w:rsid w:val="00DB2FB4"/>
    <w:rsid w:val="00DB3289"/>
    <w:rsid w:val="00DB3566"/>
    <w:rsid w:val="00DB38C6"/>
    <w:rsid w:val="00DB3C37"/>
    <w:rsid w:val="00DB4283"/>
    <w:rsid w:val="00DB45EE"/>
    <w:rsid w:val="00DB4922"/>
    <w:rsid w:val="00DB527C"/>
    <w:rsid w:val="00DB5A4B"/>
    <w:rsid w:val="00DB61D8"/>
    <w:rsid w:val="00DC0014"/>
    <w:rsid w:val="00DC1119"/>
    <w:rsid w:val="00DC11A1"/>
    <w:rsid w:val="00DC1C0B"/>
    <w:rsid w:val="00DC226E"/>
    <w:rsid w:val="00DC2348"/>
    <w:rsid w:val="00DC264E"/>
    <w:rsid w:val="00DC38AB"/>
    <w:rsid w:val="00DC46D7"/>
    <w:rsid w:val="00DC4A22"/>
    <w:rsid w:val="00DC4E46"/>
    <w:rsid w:val="00DC5562"/>
    <w:rsid w:val="00DC5D5B"/>
    <w:rsid w:val="00DC5DFE"/>
    <w:rsid w:val="00DC633D"/>
    <w:rsid w:val="00DC7D96"/>
    <w:rsid w:val="00DD0BC6"/>
    <w:rsid w:val="00DD10F4"/>
    <w:rsid w:val="00DD156C"/>
    <w:rsid w:val="00DD18C4"/>
    <w:rsid w:val="00DD30FD"/>
    <w:rsid w:val="00DD4D4C"/>
    <w:rsid w:val="00DD5019"/>
    <w:rsid w:val="00DD58B9"/>
    <w:rsid w:val="00DD5C24"/>
    <w:rsid w:val="00DD5C8B"/>
    <w:rsid w:val="00DD6389"/>
    <w:rsid w:val="00DD66CE"/>
    <w:rsid w:val="00DD6B91"/>
    <w:rsid w:val="00DD7917"/>
    <w:rsid w:val="00DE07FF"/>
    <w:rsid w:val="00DE0BC1"/>
    <w:rsid w:val="00DE0C1F"/>
    <w:rsid w:val="00DE1A06"/>
    <w:rsid w:val="00DE1A6B"/>
    <w:rsid w:val="00DE1D08"/>
    <w:rsid w:val="00DE27A9"/>
    <w:rsid w:val="00DE2D57"/>
    <w:rsid w:val="00DE3DC1"/>
    <w:rsid w:val="00DE54B1"/>
    <w:rsid w:val="00DE5762"/>
    <w:rsid w:val="00DE5B4B"/>
    <w:rsid w:val="00DE5BDB"/>
    <w:rsid w:val="00DE5C98"/>
    <w:rsid w:val="00DE656D"/>
    <w:rsid w:val="00DE6676"/>
    <w:rsid w:val="00DE6863"/>
    <w:rsid w:val="00DE6BBE"/>
    <w:rsid w:val="00DE6EB4"/>
    <w:rsid w:val="00DE7309"/>
    <w:rsid w:val="00DE7651"/>
    <w:rsid w:val="00DE775D"/>
    <w:rsid w:val="00DE79B6"/>
    <w:rsid w:val="00DE7C4B"/>
    <w:rsid w:val="00DE7FB9"/>
    <w:rsid w:val="00DF005A"/>
    <w:rsid w:val="00DF015B"/>
    <w:rsid w:val="00DF0A1E"/>
    <w:rsid w:val="00DF1B49"/>
    <w:rsid w:val="00DF21C6"/>
    <w:rsid w:val="00DF22FF"/>
    <w:rsid w:val="00DF25DE"/>
    <w:rsid w:val="00DF40FB"/>
    <w:rsid w:val="00DF4F61"/>
    <w:rsid w:val="00DF5677"/>
    <w:rsid w:val="00DF5A3A"/>
    <w:rsid w:val="00DF6D2C"/>
    <w:rsid w:val="00DF716C"/>
    <w:rsid w:val="00DF743A"/>
    <w:rsid w:val="00E001DF"/>
    <w:rsid w:val="00E00294"/>
    <w:rsid w:val="00E00456"/>
    <w:rsid w:val="00E005AA"/>
    <w:rsid w:val="00E01703"/>
    <w:rsid w:val="00E01A76"/>
    <w:rsid w:val="00E020DB"/>
    <w:rsid w:val="00E021EF"/>
    <w:rsid w:val="00E028F7"/>
    <w:rsid w:val="00E0340D"/>
    <w:rsid w:val="00E035F3"/>
    <w:rsid w:val="00E04384"/>
    <w:rsid w:val="00E04C24"/>
    <w:rsid w:val="00E05753"/>
    <w:rsid w:val="00E05A0A"/>
    <w:rsid w:val="00E079F1"/>
    <w:rsid w:val="00E10375"/>
    <w:rsid w:val="00E108C7"/>
    <w:rsid w:val="00E10A42"/>
    <w:rsid w:val="00E10B8A"/>
    <w:rsid w:val="00E10C17"/>
    <w:rsid w:val="00E10DD2"/>
    <w:rsid w:val="00E11435"/>
    <w:rsid w:val="00E11AEB"/>
    <w:rsid w:val="00E1340D"/>
    <w:rsid w:val="00E14730"/>
    <w:rsid w:val="00E14BD7"/>
    <w:rsid w:val="00E14CBD"/>
    <w:rsid w:val="00E15976"/>
    <w:rsid w:val="00E15A38"/>
    <w:rsid w:val="00E15E7A"/>
    <w:rsid w:val="00E15E8D"/>
    <w:rsid w:val="00E17517"/>
    <w:rsid w:val="00E17563"/>
    <w:rsid w:val="00E178B4"/>
    <w:rsid w:val="00E17F76"/>
    <w:rsid w:val="00E17FDA"/>
    <w:rsid w:val="00E20502"/>
    <w:rsid w:val="00E205B7"/>
    <w:rsid w:val="00E20A6A"/>
    <w:rsid w:val="00E20CC0"/>
    <w:rsid w:val="00E21528"/>
    <w:rsid w:val="00E21CB0"/>
    <w:rsid w:val="00E21FE6"/>
    <w:rsid w:val="00E22D70"/>
    <w:rsid w:val="00E23959"/>
    <w:rsid w:val="00E24810"/>
    <w:rsid w:val="00E2590C"/>
    <w:rsid w:val="00E259E1"/>
    <w:rsid w:val="00E25AD2"/>
    <w:rsid w:val="00E26A16"/>
    <w:rsid w:val="00E277F8"/>
    <w:rsid w:val="00E30255"/>
    <w:rsid w:val="00E302C5"/>
    <w:rsid w:val="00E30831"/>
    <w:rsid w:val="00E30AF2"/>
    <w:rsid w:val="00E310AF"/>
    <w:rsid w:val="00E3146E"/>
    <w:rsid w:val="00E31DFA"/>
    <w:rsid w:val="00E33796"/>
    <w:rsid w:val="00E33E7B"/>
    <w:rsid w:val="00E33E86"/>
    <w:rsid w:val="00E340AE"/>
    <w:rsid w:val="00E34181"/>
    <w:rsid w:val="00E34B1A"/>
    <w:rsid w:val="00E35E2B"/>
    <w:rsid w:val="00E36041"/>
    <w:rsid w:val="00E36941"/>
    <w:rsid w:val="00E36D85"/>
    <w:rsid w:val="00E36DD1"/>
    <w:rsid w:val="00E370DF"/>
    <w:rsid w:val="00E37257"/>
    <w:rsid w:val="00E3730C"/>
    <w:rsid w:val="00E37904"/>
    <w:rsid w:val="00E40511"/>
    <w:rsid w:val="00E40B09"/>
    <w:rsid w:val="00E414C5"/>
    <w:rsid w:val="00E41E87"/>
    <w:rsid w:val="00E42CBB"/>
    <w:rsid w:val="00E43311"/>
    <w:rsid w:val="00E43999"/>
    <w:rsid w:val="00E44376"/>
    <w:rsid w:val="00E44726"/>
    <w:rsid w:val="00E44995"/>
    <w:rsid w:val="00E44F4A"/>
    <w:rsid w:val="00E45774"/>
    <w:rsid w:val="00E46060"/>
    <w:rsid w:val="00E463B0"/>
    <w:rsid w:val="00E4694B"/>
    <w:rsid w:val="00E469D0"/>
    <w:rsid w:val="00E47733"/>
    <w:rsid w:val="00E477D4"/>
    <w:rsid w:val="00E47B33"/>
    <w:rsid w:val="00E47F3D"/>
    <w:rsid w:val="00E50855"/>
    <w:rsid w:val="00E50976"/>
    <w:rsid w:val="00E50A77"/>
    <w:rsid w:val="00E51CF6"/>
    <w:rsid w:val="00E5209B"/>
    <w:rsid w:val="00E5231A"/>
    <w:rsid w:val="00E536CB"/>
    <w:rsid w:val="00E53869"/>
    <w:rsid w:val="00E54702"/>
    <w:rsid w:val="00E553BE"/>
    <w:rsid w:val="00E558FE"/>
    <w:rsid w:val="00E55CDB"/>
    <w:rsid w:val="00E567E6"/>
    <w:rsid w:val="00E56880"/>
    <w:rsid w:val="00E56DA0"/>
    <w:rsid w:val="00E57C98"/>
    <w:rsid w:val="00E600EE"/>
    <w:rsid w:val="00E6045A"/>
    <w:rsid w:val="00E6142C"/>
    <w:rsid w:val="00E61A11"/>
    <w:rsid w:val="00E61BBA"/>
    <w:rsid w:val="00E633A3"/>
    <w:rsid w:val="00E637EF"/>
    <w:rsid w:val="00E63885"/>
    <w:rsid w:val="00E63A65"/>
    <w:rsid w:val="00E63D77"/>
    <w:rsid w:val="00E64D3A"/>
    <w:rsid w:val="00E65884"/>
    <w:rsid w:val="00E66E23"/>
    <w:rsid w:val="00E66F7F"/>
    <w:rsid w:val="00E66FEA"/>
    <w:rsid w:val="00E6702B"/>
    <w:rsid w:val="00E6720F"/>
    <w:rsid w:val="00E6761F"/>
    <w:rsid w:val="00E70B53"/>
    <w:rsid w:val="00E73BA0"/>
    <w:rsid w:val="00E73E50"/>
    <w:rsid w:val="00E74590"/>
    <w:rsid w:val="00E74F7E"/>
    <w:rsid w:val="00E76688"/>
    <w:rsid w:val="00E77082"/>
    <w:rsid w:val="00E771D1"/>
    <w:rsid w:val="00E77C3A"/>
    <w:rsid w:val="00E8043E"/>
    <w:rsid w:val="00E804AE"/>
    <w:rsid w:val="00E8059D"/>
    <w:rsid w:val="00E807BA"/>
    <w:rsid w:val="00E80836"/>
    <w:rsid w:val="00E81024"/>
    <w:rsid w:val="00E81218"/>
    <w:rsid w:val="00E82B65"/>
    <w:rsid w:val="00E83FAD"/>
    <w:rsid w:val="00E85216"/>
    <w:rsid w:val="00E857F8"/>
    <w:rsid w:val="00E859BE"/>
    <w:rsid w:val="00E85CD5"/>
    <w:rsid w:val="00E85D76"/>
    <w:rsid w:val="00E86695"/>
    <w:rsid w:val="00E86F46"/>
    <w:rsid w:val="00E874CE"/>
    <w:rsid w:val="00E87FE2"/>
    <w:rsid w:val="00E90081"/>
    <w:rsid w:val="00E91205"/>
    <w:rsid w:val="00E91404"/>
    <w:rsid w:val="00E91584"/>
    <w:rsid w:val="00E915F0"/>
    <w:rsid w:val="00E9279D"/>
    <w:rsid w:val="00E92C3D"/>
    <w:rsid w:val="00E9349E"/>
    <w:rsid w:val="00E9441B"/>
    <w:rsid w:val="00E948C1"/>
    <w:rsid w:val="00E9490F"/>
    <w:rsid w:val="00E94C4A"/>
    <w:rsid w:val="00E955C9"/>
    <w:rsid w:val="00E95688"/>
    <w:rsid w:val="00E977C8"/>
    <w:rsid w:val="00EA06B4"/>
    <w:rsid w:val="00EA078F"/>
    <w:rsid w:val="00EA1AB6"/>
    <w:rsid w:val="00EA292B"/>
    <w:rsid w:val="00EA322E"/>
    <w:rsid w:val="00EA3948"/>
    <w:rsid w:val="00EA3C39"/>
    <w:rsid w:val="00EA3F9E"/>
    <w:rsid w:val="00EA414A"/>
    <w:rsid w:val="00EA46B7"/>
    <w:rsid w:val="00EA4A48"/>
    <w:rsid w:val="00EA4AB6"/>
    <w:rsid w:val="00EA4FE7"/>
    <w:rsid w:val="00EA519D"/>
    <w:rsid w:val="00EA5AC4"/>
    <w:rsid w:val="00EA5E3C"/>
    <w:rsid w:val="00EB031A"/>
    <w:rsid w:val="00EB1112"/>
    <w:rsid w:val="00EB15D6"/>
    <w:rsid w:val="00EB2AF3"/>
    <w:rsid w:val="00EB2E23"/>
    <w:rsid w:val="00EB3075"/>
    <w:rsid w:val="00EB31A8"/>
    <w:rsid w:val="00EB3C9D"/>
    <w:rsid w:val="00EB4164"/>
    <w:rsid w:val="00EB59C6"/>
    <w:rsid w:val="00EB5AAB"/>
    <w:rsid w:val="00EB6C68"/>
    <w:rsid w:val="00EB6F34"/>
    <w:rsid w:val="00EC09C4"/>
    <w:rsid w:val="00EC14E1"/>
    <w:rsid w:val="00EC23A5"/>
    <w:rsid w:val="00EC39F6"/>
    <w:rsid w:val="00EC3B10"/>
    <w:rsid w:val="00EC3BD7"/>
    <w:rsid w:val="00EC403F"/>
    <w:rsid w:val="00EC4297"/>
    <w:rsid w:val="00EC4327"/>
    <w:rsid w:val="00EC4787"/>
    <w:rsid w:val="00EC4D5D"/>
    <w:rsid w:val="00EC6717"/>
    <w:rsid w:val="00EC6A0F"/>
    <w:rsid w:val="00EC6A6A"/>
    <w:rsid w:val="00EC6ED5"/>
    <w:rsid w:val="00EC769B"/>
    <w:rsid w:val="00EC7EA9"/>
    <w:rsid w:val="00ED0737"/>
    <w:rsid w:val="00ED09FC"/>
    <w:rsid w:val="00ED0E23"/>
    <w:rsid w:val="00ED1B5B"/>
    <w:rsid w:val="00ED1D02"/>
    <w:rsid w:val="00ED2017"/>
    <w:rsid w:val="00ED2663"/>
    <w:rsid w:val="00ED2C1B"/>
    <w:rsid w:val="00ED3834"/>
    <w:rsid w:val="00ED3DE4"/>
    <w:rsid w:val="00ED42D4"/>
    <w:rsid w:val="00ED5601"/>
    <w:rsid w:val="00ED5B38"/>
    <w:rsid w:val="00ED6063"/>
    <w:rsid w:val="00ED6272"/>
    <w:rsid w:val="00ED753F"/>
    <w:rsid w:val="00EE076C"/>
    <w:rsid w:val="00EE15BB"/>
    <w:rsid w:val="00EE2545"/>
    <w:rsid w:val="00EE293D"/>
    <w:rsid w:val="00EE299F"/>
    <w:rsid w:val="00EE31DA"/>
    <w:rsid w:val="00EE3690"/>
    <w:rsid w:val="00EE3820"/>
    <w:rsid w:val="00EE3AC2"/>
    <w:rsid w:val="00EE4655"/>
    <w:rsid w:val="00EE50F3"/>
    <w:rsid w:val="00EE577C"/>
    <w:rsid w:val="00EE6769"/>
    <w:rsid w:val="00EE7CC0"/>
    <w:rsid w:val="00EF05D6"/>
    <w:rsid w:val="00EF0E96"/>
    <w:rsid w:val="00EF0EC7"/>
    <w:rsid w:val="00EF0FD4"/>
    <w:rsid w:val="00EF0FEF"/>
    <w:rsid w:val="00EF1A31"/>
    <w:rsid w:val="00EF1F07"/>
    <w:rsid w:val="00EF2255"/>
    <w:rsid w:val="00EF23B1"/>
    <w:rsid w:val="00EF35E7"/>
    <w:rsid w:val="00EF3729"/>
    <w:rsid w:val="00EF3DD4"/>
    <w:rsid w:val="00EF3EC9"/>
    <w:rsid w:val="00EF3FED"/>
    <w:rsid w:val="00EF4096"/>
    <w:rsid w:val="00EF419C"/>
    <w:rsid w:val="00EF4D62"/>
    <w:rsid w:val="00EF4E91"/>
    <w:rsid w:val="00EF5627"/>
    <w:rsid w:val="00EF7463"/>
    <w:rsid w:val="00F000CD"/>
    <w:rsid w:val="00F00D8D"/>
    <w:rsid w:val="00F01224"/>
    <w:rsid w:val="00F013A8"/>
    <w:rsid w:val="00F0158A"/>
    <w:rsid w:val="00F01CC6"/>
    <w:rsid w:val="00F03278"/>
    <w:rsid w:val="00F04C86"/>
    <w:rsid w:val="00F04DD7"/>
    <w:rsid w:val="00F053A3"/>
    <w:rsid w:val="00F05A68"/>
    <w:rsid w:val="00F05FAC"/>
    <w:rsid w:val="00F0638F"/>
    <w:rsid w:val="00F070D3"/>
    <w:rsid w:val="00F07330"/>
    <w:rsid w:val="00F0735D"/>
    <w:rsid w:val="00F10356"/>
    <w:rsid w:val="00F1073E"/>
    <w:rsid w:val="00F10D02"/>
    <w:rsid w:val="00F10DE0"/>
    <w:rsid w:val="00F11146"/>
    <w:rsid w:val="00F1176A"/>
    <w:rsid w:val="00F117D0"/>
    <w:rsid w:val="00F11C2C"/>
    <w:rsid w:val="00F11EC6"/>
    <w:rsid w:val="00F13600"/>
    <w:rsid w:val="00F13EC5"/>
    <w:rsid w:val="00F14658"/>
    <w:rsid w:val="00F153BC"/>
    <w:rsid w:val="00F15B89"/>
    <w:rsid w:val="00F16A81"/>
    <w:rsid w:val="00F16B5B"/>
    <w:rsid w:val="00F17017"/>
    <w:rsid w:val="00F209BE"/>
    <w:rsid w:val="00F20BA7"/>
    <w:rsid w:val="00F21526"/>
    <w:rsid w:val="00F226F7"/>
    <w:rsid w:val="00F23456"/>
    <w:rsid w:val="00F24AF6"/>
    <w:rsid w:val="00F24D22"/>
    <w:rsid w:val="00F265E6"/>
    <w:rsid w:val="00F267B7"/>
    <w:rsid w:val="00F26929"/>
    <w:rsid w:val="00F26F31"/>
    <w:rsid w:val="00F270BF"/>
    <w:rsid w:val="00F271DA"/>
    <w:rsid w:val="00F274BE"/>
    <w:rsid w:val="00F3067B"/>
    <w:rsid w:val="00F30830"/>
    <w:rsid w:val="00F30ABC"/>
    <w:rsid w:val="00F3182D"/>
    <w:rsid w:val="00F31F83"/>
    <w:rsid w:val="00F32918"/>
    <w:rsid w:val="00F3335E"/>
    <w:rsid w:val="00F33460"/>
    <w:rsid w:val="00F33665"/>
    <w:rsid w:val="00F34B28"/>
    <w:rsid w:val="00F34D7D"/>
    <w:rsid w:val="00F34F3C"/>
    <w:rsid w:val="00F35556"/>
    <w:rsid w:val="00F35612"/>
    <w:rsid w:val="00F3576B"/>
    <w:rsid w:val="00F35898"/>
    <w:rsid w:val="00F35997"/>
    <w:rsid w:val="00F35999"/>
    <w:rsid w:val="00F35A80"/>
    <w:rsid w:val="00F35EC0"/>
    <w:rsid w:val="00F3654F"/>
    <w:rsid w:val="00F365B6"/>
    <w:rsid w:val="00F369CB"/>
    <w:rsid w:val="00F36E5D"/>
    <w:rsid w:val="00F40539"/>
    <w:rsid w:val="00F410FB"/>
    <w:rsid w:val="00F4238F"/>
    <w:rsid w:val="00F423E7"/>
    <w:rsid w:val="00F432A4"/>
    <w:rsid w:val="00F432EA"/>
    <w:rsid w:val="00F43D68"/>
    <w:rsid w:val="00F43DD1"/>
    <w:rsid w:val="00F44822"/>
    <w:rsid w:val="00F44D06"/>
    <w:rsid w:val="00F44EAB"/>
    <w:rsid w:val="00F45CAA"/>
    <w:rsid w:val="00F4664A"/>
    <w:rsid w:val="00F46814"/>
    <w:rsid w:val="00F46A48"/>
    <w:rsid w:val="00F46C18"/>
    <w:rsid w:val="00F473AE"/>
    <w:rsid w:val="00F52004"/>
    <w:rsid w:val="00F52175"/>
    <w:rsid w:val="00F52525"/>
    <w:rsid w:val="00F526D3"/>
    <w:rsid w:val="00F52990"/>
    <w:rsid w:val="00F531F5"/>
    <w:rsid w:val="00F553F9"/>
    <w:rsid w:val="00F55B6D"/>
    <w:rsid w:val="00F55CEC"/>
    <w:rsid w:val="00F56C8D"/>
    <w:rsid w:val="00F56D3C"/>
    <w:rsid w:val="00F57695"/>
    <w:rsid w:val="00F61B12"/>
    <w:rsid w:val="00F63167"/>
    <w:rsid w:val="00F63B14"/>
    <w:rsid w:val="00F63B41"/>
    <w:rsid w:val="00F65208"/>
    <w:rsid w:val="00F657D2"/>
    <w:rsid w:val="00F658D1"/>
    <w:rsid w:val="00F66D25"/>
    <w:rsid w:val="00F66D49"/>
    <w:rsid w:val="00F678AF"/>
    <w:rsid w:val="00F7050F"/>
    <w:rsid w:val="00F70727"/>
    <w:rsid w:val="00F70A88"/>
    <w:rsid w:val="00F720AF"/>
    <w:rsid w:val="00F72452"/>
    <w:rsid w:val="00F72F9C"/>
    <w:rsid w:val="00F73473"/>
    <w:rsid w:val="00F745A7"/>
    <w:rsid w:val="00F74770"/>
    <w:rsid w:val="00F74900"/>
    <w:rsid w:val="00F75050"/>
    <w:rsid w:val="00F757C0"/>
    <w:rsid w:val="00F7620C"/>
    <w:rsid w:val="00F769B4"/>
    <w:rsid w:val="00F779C8"/>
    <w:rsid w:val="00F77E8A"/>
    <w:rsid w:val="00F80758"/>
    <w:rsid w:val="00F809A7"/>
    <w:rsid w:val="00F80E7C"/>
    <w:rsid w:val="00F81444"/>
    <w:rsid w:val="00F8227C"/>
    <w:rsid w:val="00F82569"/>
    <w:rsid w:val="00F825D5"/>
    <w:rsid w:val="00F82781"/>
    <w:rsid w:val="00F82BA2"/>
    <w:rsid w:val="00F8314B"/>
    <w:rsid w:val="00F83424"/>
    <w:rsid w:val="00F838CD"/>
    <w:rsid w:val="00F83A18"/>
    <w:rsid w:val="00F84575"/>
    <w:rsid w:val="00F85B6B"/>
    <w:rsid w:val="00F85DC4"/>
    <w:rsid w:val="00F85DFF"/>
    <w:rsid w:val="00F87302"/>
    <w:rsid w:val="00F874FD"/>
    <w:rsid w:val="00F87934"/>
    <w:rsid w:val="00F9077E"/>
    <w:rsid w:val="00F90CB6"/>
    <w:rsid w:val="00F91223"/>
    <w:rsid w:val="00F9250C"/>
    <w:rsid w:val="00F92749"/>
    <w:rsid w:val="00F92A05"/>
    <w:rsid w:val="00F93A1D"/>
    <w:rsid w:val="00F93FEF"/>
    <w:rsid w:val="00F9509D"/>
    <w:rsid w:val="00F957CA"/>
    <w:rsid w:val="00F9666F"/>
    <w:rsid w:val="00F969DA"/>
    <w:rsid w:val="00F9751C"/>
    <w:rsid w:val="00FA0F19"/>
    <w:rsid w:val="00FA2F18"/>
    <w:rsid w:val="00FA3406"/>
    <w:rsid w:val="00FA342C"/>
    <w:rsid w:val="00FA3E43"/>
    <w:rsid w:val="00FA4429"/>
    <w:rsid w:val="00FA57DD"/>
    <w:rsid w:val="00FA5B2A"/>
    <w:rsid w:val="00FA6339"/>
    <w:rsid w:val="00FA6704"/>
    <w:rsid w:val="00FA738D"/>
    <w:rsid w:val="00FA7468"/>
    <w:rsid w:val="00FB068A"/>
    <w:rsid w:val="00FB0877"/>
    <w:rsid w:val="00FB0BDD"/>
    <w:rsid w:val="00FB109D"/>
    <w:rsid w:val="00FB1359"/>
    <w:rsid w:val="00FB13B9"/>
    <w:rsid w:val="00FB2198"/>
    <w:rsid w:val="00FB2254"/>
    <w:rsid w:val="00FB2297"/>
    <w:rsid w:val="00FB2378"/>
    <w:rsid w:val="00FB2887"/>
    <w:rsid w:val="00FB2AAB"/>
    <w:rsid w:val="00FB2B13"/>
    <w:rsid w:val="00FB30C2"/>
    <w:rsid w:val="00FB345B"/>
    <w:rsid w:val="00FB3D40"/>
    <w:rsid w:val="00FB48AE"/>
    <w:rsid w:val="00FB5B97"/>
    <w:rsid w:val="00FB6476"/>
    <w:rsid w:val="00FB6B5A"/>
    <w:rsid w:val="00FB6CDA"/>
    <w:rsid w:val="00FB729D"/>
    <w:rsid w:val="00FB7DC9"/>
    <w:rsid w:val="00FB7DD9"/>
    <w:rsid w:val="00FB7F08"/>
    <w:rsid w:val="00FC09E0"/>
    <w:rsid w:val="00FC1BC5"/>
    <w:rsid w:val="00FC207F"/>
    <w:rsid w:val="00FC28D9"/>
    <w:rsid w:val="00FC2DC2"/>
    <w:rsid w:val="00FC3CFA"/>
    <w:rsid w:val="00FC4108"/>
    <w:rsid w:val="00FC44E3"/>
    <w:rsid w:val="00FC46CD"/>
    <w:rsid w:val="00FC4CA3"/>
    <w:rsid w:val="00FC52AF"/>
    <w:rsid w:val="00FC52D0"/>
    <w:rsid w:val="00FC605F"/>
    <w:rsid w:val="00FC61D0"/>
    <w:rsid w:val="00FC70EC"/>
    <w:rsid w:val="00FC77E8"/>
    <w:rsid w:val="00FC7809"/>
    <w:rsid w:val="00FC78D5"/>
    <w:rsid w:val="00FD07B8"/>
    <w:rsid w:val="00FD09CB"/>
    <w:rsid w:val="00FD113E"/>
    <w:rsid w:val="00FD17F9"/>
    <w:rsid w:val="00FD1A62"/>
    <w:rsid w:val="00FD1AE6"/>
    <w:rsid w:val="00FD1DEF"/>
    <w:rsid w:val="00FD1E92"/>
    <w:rsid w:val="00FD238C"/>
    <w:rsid w:val="00FD28F3"/>
    <w:rsid w:val="00FD29BB"/>
    <w:rsid w:val="00FD35DD"/>
    <w:rsid w:val="00FD3F44"/>
    <w:rsid w:val="00FD4161"/>
    <w:rsid w:val="00FD4615"/>
    <w:rsid w:val="00FD4B0C"/>
    <w:rsid w:val="00FD5066"/>
    <w:rsid w:val="00FD52DE"/>
    <w:rsid w:val="00FD5AD8"/>
    <w:rsid w:val="00FD5DFB"/>
    <w:rsid w:val="00FD6293"/>
    <w:rsid w:val="00FD6444"/>
    <w:rsid w:val="00FD65CA"/>
    <w:rsid w:val="00FD708E"/>
    <w:rsid w:val="00FE0036"/>
    <w:rsid w:val="00FE05D8"/>
    <w:rsid w:val="00FE0BCC"/>
    <w:rsid w:val="00FE118D"/>
    <w:rsid w:val="00FE1324"/>
    <w:rsid w:val="00FE1A45"/>
    <w:rsid w:val="00FE22B6"/>
    <w:rsid w:val="00FE474A"/>
    <w:rsid w:val="00FE51C6"/>
    <w:rsid w:val="00FE5551"/>
    <w:rsid w:val="00FE5603"/>
    <w:rsid w:val="00FE743E"/>
    <w:rsid w:val="00FE7B2A"/>
    <w:rsid w:val="00FE7F37"/>
    <w:rsid w:val="00FF1606"/>
    <w:rsid w:val="00FF167B"/>
    <w:rsid w:val="00FF17B1"/>
    <w:rsid w:val="00FF184D"/>
    <w:rsid w:val="00FF21CB"/>
    <w:rsid w:val="00FF2A56"/>
    <w:rsid w:val="00FF2B03"/>
    <w:rsid w:val="00FF41F8"/>
    <w:rsid w:val="00FF44BA"/>
    <w:rsid w:val="00FF58EC"/>
    <w:rsid w:val="00FF6109"/>
    <w:rsid w:val="00FF6395"/>
    <w:rsid w:val="00FF69AC"/>
    <w:rsid w:val="00FF716B"/>
    <w:rsid w:val="00FF7CA9"/>
    <w:rsid w:val="00FF7F19"/>
    <w:rsid w:val="01316F33"/>
    <w:rsid w:val="013951A0"/>
    <w:rsid w:val="01A9309A"/>
    <w:rsid w:val="01D05DB8"/>
    <w:rsid w:val="01D95FDD"/>
    <w:rsid w:val="01F35C54"/>
    <w:rsid w:val="024A3A78"/>
    <w:rsid w:val="02E34497"/>
    <w:rsid w:val="02E61595"/>
    <w:rsid w:val="030E75FC"/>
    <w:rsid w:val="03272CC0"/>
    <w:rsid w:val="033935A6"/>
    <w:rsid w:val="03D157A2"/>
    <w:rsid w:val="043C3A93"/>
    <w:rsid w:val="044337A8"/>
    <w:rsid w:val="04462762"/>
    <w:rsid w:val="0484499D"/>
    <w:rsid w:val="049D7B41"/>
    <w:rsid w:val="04FC476C"/>
    <w:rsid w:val="04FD20D0"/>
    <w:rsid w:val="05037B79"/>
    <w:rsid w:val="05062984"/>
    <w:rsid w:val="05471765"/>
    <w:rsid w:val="054D4F39"/>
    <w:rsid w:val="05870223"/>
    <w:rsid w:val="05C81C27"/>
    <w:rsid w:val="05D044B9"/>
    <w:rsid w:val="05D863D2"/>
    <w:rsid w:val="05DF6810"/>
    <w:rsid w:val="0664248C"/>
    <w:rsid w:val="068F57C8"/>
    <w:rsid w:val="06B55171"/>
    <w:rsid w:val="06EF2E49"/>
    <w:rsid w:val="074B1328"/>
    <w:rsid w:val="0772520F"/>
    <w:rsid w:val="07965CCD"/>
    <w:rsid w:val="07AB0B23"/>
    <w:rsid w:val="07FD4AF3"/>
    <w:rsid w:val="08002223"/>
    <w:rsid w:val="082C69CD"/>
    <w:rsid w:val="08300282"/>
    <w:rsid w:val="083037AD"/>
    <w:rsid w:val="084C2905"/>
    <w:rsid w:val="0897179B"/>
    <w:rsid w:val="08C37BB6"/>
    <w:rsid w:val="090321C2"/>
    <w:rsid w:val="095D069C"/>
    <w:rsid w:val="098B4ED4"/>
    <w:rsid w:val="09EA6A63"/>
    <w:rsid w:val="09F24F98"/>
    <w:rsid w:val="0A054967"/>
    <w:rsid w:val="0AC950C6"/>
    <w:rsid w:val="0AD33AF5"/>
    <w:rsid w:val="0AD778D6"/>
    <w:rsid w:val="0B0D0437"/>
    <w:rsid w:val="0B4C42CB"/>
    <w:rsid w:val="0B601D0D"/>
    <w:rsid w:val="0B6D4DF2"/>
    <w:rsid w:val="0B866388"/>
    <w:rsid w:val="0C191E83"/>
    <w:rsid w:val="0C6970F5"/>
    <w:rsid w:val="0CA2349B"/>
    <w:rsid w:val="0CCA0DDB"/>
    <w:rsid w:val="0D3A51DB"/>
    <w:rsid w:val="0D925393"/>
    <w:rsid w:val="0D9E4EF9"/>
    <w:rsid w:val="0DC02C8A"/>
    <w:rsid w:val="0DC65270"/>
    <w:rsid w:val="0E887613"/>
    <w:rsid w:val="0E986A52"/>
    <w:rsid w:val="0ED05C87"/>
    <w:rsid w:val="0EDA1174"/>
    <w:rsid w:val="0F2456E4"/>
    <w:rsid w:val="0F3631D1"/>
    <w:rsid w:val="0F5F3DD4"/>
    <w:rsid w:val="0FB668B8"/>
    <w:rsid w:val="0FB74F31"/>
    <w:rsid w:val="1001667D"/>
    <w:rsid w:val="10A26603"/>
    <w:rsid w:val="111F17C9"/>
    <w:rsid w:val="11310B54"/>
    <w:rsid w:val="113505B3"/>
    <w:rsid w:val="11703C63"/>
    <w:rsid w:val="12064439"/>
    <w:rsid w:val="12476288"/>
    <w:rsid w:val="1256150B"/>
    <w:rsid w:val="126E0804"/>
    <w:rsid w:val="127D636E"/>
    <w:rsid w:val="129E3D77"/>
    <w:rsid w:val="12CE1C57"/>
    <w:rsid w:val="12FA7B0D"/>
    <w:rsid w:val="134648E3"/>
    <w:rsid w:val="138B7E62"/>
    <w:rsid w:val="139759C7"/>
    <w:rsid w:val="13B81724"/>
    <w:rsid w:val="143F2C8B"/>
    <w:rsid w:val="14591068"/>
    <w:rsid w:val="14AB6CCE"/>
    <w:rsid w:val="14C62F73"/>
    <w:rsid w:val="14F80A2E"/>
    <w:rsid w:val="15020F77"/>
    <w:rsid w:val="15203761"/>
    <w:rsid w:val="15397381"/>
    <w:rsid w:val="153B52CA"/>
    <w:rsid w:val="154E7BAC"/>
    <w:rsid w:val="15BB5DBE"/>
    <w:rsid w:val="15C516DF"/>
    <w:rsid w:val="15C85793"/>
    <w:rsid w:val="15E13B22"/>
    <w:rsid w:val="161D1131"/>
    <w:rsid w:val="16953B8A"/>
    <w:rsid w:val="169F37E3"/>
    <w:rsid w:val="16F43657"/>
    <w:rsid w:val="174964B4"/>
    <w:rsid w:val="17551B34"/>
    <w:rsid w:val="17982C63"/>
    <w:rsid w:val="17D83589"/>
    <w:rsid w:val="185725A7"/>
    <w:rsid w:val="188E048D"/>
    <w:rsid w:val="18AE10A5"/>
    <w:rsid w:val="18C83F41"/>
    <w:rsid w:val="19021797"/>
    <w:rsid w:val="19215116"/>
    <w:rsid w:val="19220EB1"/>
    <w:rsid w:val="19476A7E"/>
    <w:rsid w:val="197D0751"/>
    <w:rsid w:val="19AA02FF"/>
    <w:rsid w:val="19B41444"/>
    <w:rsid w:val="19CF760E"/>
    <w:rsid w:val="1A1378CA"/>
    <w:rsid w:val="1A4140DA"/>
    <w:rsid w:val="1ABD4086"/>
    <w:rsid w:val="1AE1493F"/>
    <w:rsid w:val="1AF2452E"/>
    <w:rsid w:val="1B0F07DC"/>
    <w:rsid w:val="1B2B3CE1"/>
    <w:rsid w:val="1B3813CA"/>
    <w:rsid w:val="1B6211F3"/>
    <w:rsid w:val="1B8B676D"/>
    <w:rsid w:val="1BFB6D80"/>
    <w:rsid w:val="1C101208"/>
    <w:rsid w:val="1C145C0E"/>
    <w:rsid w:val="1C426BAA"/>
    <w:rsid w:val="1C4F1601"/>
    <w:rsid w:val="1CA0582A"/>
    <w:rsid w:val="1CA40CBB"/>
    <w:rsid w:val="1CBF05AB"/>
    <w:rsid w:val="1CEB2FB3"/>
    <w:rsid w:val="1D0A40E9"/>
    <w:rsid w:val="1D5C770F"/>
    <w:rsid w:val="1DA16CFA"/>
    <w:rsid w:val="1DD05A4C"/>
    <w:rsid w:val="1DD7529F"/>
    <w:rsid w:val="1DEF71B1"/>
    <w:rsid w:val="1DF87A25"/>
    <w:rsid w:val="1E540E6A"/>
    <w:rsid w:val="1E9D2FA5"/>
    <w:rsid w:val="1EB2101B"/>
    <w:rsid w:val="1F1A3A02"/>
    <w:rsid w:val="1F3068FC"/>
    <w:rsid w:val="1F3829EE"/>
    <w:rsid w:val="1F7C6AB4"/>
    <w:rsid w:val="1F882AD2"/>
    <w:rsid w:val="1FA42348"/>
    <w:rsid w:val="1FD8391E"/>
    <w:rsid w:val="1FE421C7"/>
    <w:rsid w:val="20591F0C"/>
    <w:rsid w:val="207755DE"/>
    <w:rsid w:val="20A766C8"/>
    <w:rsid w:val="20AF1FFD"/>
    <w:rsid w:val="20C713C9"/>
    <w:rsid w:val="21012DE8"/>
    <w:rsid w:val="21092E2D"/>
    <w:rsid w:val="213202E0"/>
    <w:rsid w:val="21446839"/>
    <w:rsid w:val="22262BCF"/>
    <w:rsid w:val="222B30C2"/>
    <w:rsid w:val="224A0B04"/>
    <w:rsid w:val="224A3653"/>
    <w:rsid w:val="22527964"/>
    <w:rsid w:val="225A7BFC"/>
    <w:rsid w:val="227007B8"/>
    <w:rsid w:val="2277763D"/>
    <w:rsid w:val="229A1B81"/>
    <w:rsid w:val="22BD448B"/>
    <w:rsid w:val="22F45ED7"/>
    <w:rsid w:val="231E1A38"/>
    <w:rsid w:val="23347542"/>
    <w:rsid w:val="23622D6A"/>
    <w:rsid w:val="23657F39"/>
    <w:rsid w:val="23C97CDF"/>
    <w:rsid w:val="23EF4E0F"/>
    <w:rsid w:val="24161A96"/>
    <w:rsid w:val="2433416C"/>
    <w:rsid w:val="24B049B1"/>
    <w:rsid w:val="24BE2B41"/>
    <w:rsid w:val="24F03400"/>
    <w:rsid w:val="25946FEE"/>
    <w:rsid w:val="25D27CDF"/>
    <w:rsid w:val="25D8486A"/>
    <w:rsid w:val="26730B06"/>
    <w:rsid w:val="26A241C0"/>
    <w:rsid w:val="26FD5C44"/>
    <w:rsid w:val="270B2787"/>
    <w:rsid w:val="27376D93"/>
    <w:rsid w:val="27522E85"/>
    <w:rsid w:val="277A3391"/>
    <w:rsid w:val="27BB7029"/>
    <w:rsid w:val="280B3241"/>
    <w:rsid w:val="28496423"/>
    <w:rsid w:val="289455EC"/>
    <w:rsid w:val="29092B4C"/>
    <w:rsid w:val="29221B1C"/>
    <w:rsid w:val="294D56C5"/>
    <w:rsid w:val="29501A3A"/>
    <w:rsid w:val="29621F55"/>
    <w:rsid w:val="29CD044C"/>
    <w:rsid w:val="2A3F360C"/>
    <w:rsid w:val="2A5B22FF"/>
    <w:rsid w:val="2A643ECE"/>
    <w:rsid w:val="2AB81080"/>
    <w:rsid w:val="2AD62C1C"/>
    <w:rsid w:val="2B04168F"/>
    <w:rsid w:val="2B1633ED"/>
    <w:rsid w:val="2B2C3C91"/>
    <w:rsid w:val="2B311BC3"/>
    <w:rsid w:val="2B4D019F"/>
    <w:rsid w:val="2B7A624E"/>
    <w:rsid w:val="2BAD458A"/>
    <w:rsid w:val="2BB65B69"/>
    <w:rsid w:val="2BC022CD"/>
    <w:rsid w:val="2BFE5948"/>
    <w:rsid w:val="2C392425"/>
    <w:rsid w:val="2C481889"/>
    <w:rsid w:val="2CBB54AD"/>
    <w:rsid w:val="2CD53B91"/>
    <w:rsid w:val="2CF10FED"/>
    <w:rsid w:val="2D017A0C"/>
    <w:rsid w:val="2D40486C"/>
    <w:rsid w:val="2D423B69"/>
    <w:rsid w:val="2D764AD0"/>
    <w:rsid w:val="2DB82F01"/>
    <w:rsid w:val="2E1534D5"/>
    <w:rsid w:val="2E99421D"/>
    <w:rsid w:val="2F85229C"/>
    <w:rsid w:val="2FC1598E"/>
    <w:rsid w:val="2FCD40C0"/>
    <w:rsid w:val="2FD24E39"/>
    <w:rsid w:val="307B1AF0"/>
    <w:rsid w:val="30835C9D"/>
    <w:rsid w:val="30901146"/>
    <w:rsid w:val="31815873"/>
    <w:rsid w:val="31DD1050"/>
    <w:rsid w:val="31E552B5"/>
    <w:rsid w:val="32050276"/>
    <w:rsid w:val="3209633B"/>
    <w:rsid w:val="32387C0A"/>
    <w:rsid w:val="32AB5983"/>
    <w:rsid w:val="32B35398"/>
    <w:rsid w:val="33161611"/>
    <w:rsid w:val="3353005D"/>
    <w:rsid w:val="335D3151"/>
    <w:rsid w:val="336820CC"/>
    <w:rsid w:val="336907F7"/>
    <w:rsid w:val="337F4204"/>
    <w:rsid w:val="33985CEB"/>
    <w:rsid w:val="33BA4448"/>
    <w:rsid w:val="34033E61"/>
    <w:rsid w:val="342818E0"/>
    <w:rsid w:val="34530ACC"/>
    <w:rsid w:val="34951A5C"/>
    <w:rsid w:val="34D34B35"/>
    <w:rsid w:val="35127B2B"/>
    <w:rsid w:val="35417CA6"/>
    <w:rsid w:val="355C0C69"/>
    <w:rsid w:val="358E0609"/>
    <w:rsid w:val="35E72078"/>
    <w:rsid w:val="36397F1F"/>
    <w:rsid w:val="36720FC3"/>
    <w:rsid w:val="367D6D71"/>
    <w:rsid w:val="369E6D8D"/>
    <w:rsid w:val="36BE0A0A"/>
    <w:rsid w:val="37484CA6"/>
    <w:rsid w:val="37D039B1"/>
    <w:rsid w:val="38160F76"/>
    <w:rsid w:val="38350BA0"/>
    <w:rsid w:val="385C6694"/>
    <w:rsid w:val="388019C1"/>
    <w:rsid w:val="38B6734D"/>
    <w:rsid w:val="38C07F38"/>
    <w:rsid w:val="38C4469C"/>
    <w:rsid w:val="392A70DE"/>
    <w:rsid w:val="39604035"/>
    <w:rsid w:val="396C4DE5"/>
    <w:rsid w:val="3A0A5EF4"/>
    <w:rsid w:val="3A2166FD"/>
    <w:rsid w:val="3A3B6FE4"/>
    <w:rsid w:val="3A9D1059"/>
    <w:rsid w:val="3AF2549F"/>
    <w:rsid w:val="3B100434"/>
    <w:rsid w:val="3B37372D"/>
    <w:rsid w:val="3B386343"/>
    <w:rsid w:val="3B7E3225"/>
    <w:rsid w:val="3BF302B3"/>
    <w:rsid w:val="3C0B51FD"/>
    <w:rsid w:val="3C176E62"/>
    <w:rsid w:val="3C532E09"/>
    <w:rsid w:val="3C636AA8"/>
    <w:rsid w:val="3C7F1281"/>
    <w:rsid w:val="3C930F78"/>
    <w:rsid w:val="3CBF52C8"/>
    <w:rsid w:val="3CD10593"/>
    <w:rsid w:val="3CD257F1"/>
    <w:rsid w:val="3D0E4FEA"/>
    <w:rsid w:val="3D2E10B4"/>
    <w:rsid w:val="3D4D4182"/>
    <w:rsid w:val="3DA3075A"/>
    <w:rsid w:val="3DAE5971"/>
    <w:rsid w:val="3DC6356E"/>
    <w:rsid w:val="3DF03F4A"/>
    <w:rsid w:val="3E1C5E32"/>
    <w:rsid w:val="3E272774"/>
    <w:rsid w:val="3E4F7C8D"/>
    <w:rsid w:val="3E657456"/>
    <w:rsid w:val="3E7A17CA"/>
    <w:rsid w:val="3E8B3E1B"/>
    <w:rsid w:val="3E9634A1"/>
    <w:rsid w:val="3EDA3BC9"/>
    <w:rsid w:val="3EE04B94"/>
    <w:rsid w:val="3F1B6624"/>
    <w:rsid w:val="3F3F2326"/>
    <w:rsid w:val="3F442919"/>
    <w:rsid w:val="3F5B2ABE"/>
    <w:rsid w:val="3FE83B91"/>
    <w:rsid w:val="40860F84"/>
    <w:rsid w:val="40BD5DFD"/>
    <w:rsid w:val="40C3422B"/>
    <w:rsid w:val="40DA422F"/>
    <w:rsid w:val="40E56664"/>
    <w:rsid w:val="41190745"/>
    <w:rsid w:val="413766B0"/>
    <w:rsid w:val="413E2682"/>
    <w:rsid w:val="41ED18CE"/>
    <w:rsid w:val="423137F7"/>
    <w:rsid w:val="4249204E"/>
    <w:rsid w:val="425E7857"/>
    <w:rsid w:val="426E7A7A"/>
    <w:rsid w:val="428D4C87"/>
    <w:rsid w:val="42996337"/>
    <w:rsid w:val="42C16023"/>
    <w:rsid w:val="43571E07"/>
    <w:rsid w:val="436365ED"/>
    <w:rsid w:val="437D4BED"/>
    <w:rsid w:val="437D58FF"/>
    <w:rsid w:val="43BF4D78"/>
    <w:rsid w:val="43CF0A0B"/>
    <w:rsid w:val="43D726AD"/>
    <w:rsid w:val="43E14B65"/>
    <w:rsid w:val="44143DA0"/>
    <w:rsid w:val="44144D12"/>
    <w:rsid w:val="44492625"/>
    <w:rsid w:val="44886328"/>
    <w:rsid w:val="44954155"/>
    <w:rsid w:val="44D0697C"/>
    <w:rsid w:val="44EE1803"/>
    <w:rsid w:val="451554B9"/>
    <w:rsid w:val="45247AAD"/>
    <w:rsid w:val="458F3F74"/>
    <w:rsid w:val="45A32F35"/>
    <w:rsid w:val="45B13375"/>
    <w:rsid w:val="45CB7CE4"/>
    <w:rsid w:val="46140312"/>
    <w:rsid w:val="461A3F68"/>
    <w:rsid w:val="467C38E5"/>
    <w:rsid w:val="46863FF3"/>
    <w:rsid w:val="46AE5A69"/>
    <w:rsid w:val="46C93E9E"/>
    <w:rsid w:val="46F75277"/>
    <w:rsid w:val="47585D0E"/>
    <w:rsid w:val="4765373D"/>
    <w:rsid w:val="477A4F40"/>
    <w:rsid w:val="47B529F8"/>
    <w:rsid w:val="47B92064"/>
    <w:rsid w:val="47D274DF"/>
    <w:rsid w:val="47EC764A"/>
    <w:rsid w:val="47F624CC"/>
    <w:rsid w:val="481B352B"/>
    <w:rsid w:val="48566BF9"/>
    <w:rsid w:val="48A5119B"/>
    <w:rsid w:val="48C31FD5"/>
    <w:rsid w:val="48C9051F"/>
    <w:rsid w:val="48FD4624"/>
    <w:rsid w:val="493947DD"/>
    <w:rsid w:val="49DB7262"/>
    <w:rsid w:val="4A311005"/>
    <w:rsid w:val="4A91797C"/>
    <w:rsid w:val="4ADE222C"/>
    <w:rsid w:val="4AFE2F2A"/>
    <w:rsid w:val="4B496589"/>
    <w:rsid w:val="4B7516FC"/>
    <w:rsid w:val="4B7F46A3"/>
    <w:rsid w:val="4BD15257"/>
    <w:rsid w:val="4BDC6F56"/>
    <w:rsid w:val="4C7621F6"/>
    <w:rsid w:val="4C797677"/>
    <w:rsid w:val="4CA40EE9"/>
    <w:rsid w:val="4CCA4EA2"/>
    <w:rsid w:val="4D236881"/>
    <w:rsid w:val="4D2B0CE9"/>
    <w:rsid w:val="4D553F4B"/>
    <w:rsid w:val="4D850118"/>
    <w:rsid w:val="4D8A1FA6"/>
    <w:rsid w:val="4D943E07"/>
    <w:rsid w:val="4DC67413"/>
    <w:rsid w:val="4E303C9F"/>
    <w:rsid w:val="4E49539B"/>
    <w:rsid w:val="4E913E72"/>
    <w:rsid w:val="4EFA6046"/>
    <w:rsid w:val="4F2C6D0E"/>
    <w:rsid w:val="4F7A4E6F"/>
    <w:rsid w:val="4F876369"/>
    <w:rsid w:val="4FCB4695"/>
    <w:rsid w:val="50102793"/>
    <w:rsid w:val="50283DD0"/>
    <w:rsid w:val="503D2909"/>
    <w:rsid w:val="50704290"/>
    <w:rsid w:val="50FA61E4"/>
    <w:rsid w:val="511246BF"/>
    <w:rsid w:val="51182850"/>
    <w:rsid w:val="512A09FB"/>
    <w:rsid w:val="5144789E"/>
    <w:rsid w:val="51B64E3B"/>
    <w:rsid w:val="51F522DA"/>
    <w:rsid w:val="525D310F"/>
    <w:rsid w:val="52A2076A"/>
    <w:rsid w:val="52A4641A"/>
    <w:rsid w:val="52C5170B"/>
    <w:rsid w:val="52FD7A89"/>
    <w:rsid w:val="530F3B6B"/>
    <w:rsid w:val="53270FB4"/>
    <w:rsid w:val="53291833"/>
    <w:rsid w:val="532E527B"/>
    <w:rsid w:val="534B77C3"/>
    <w:rsid w:val="535C3B28"/>
    <w:rsid w:val="537C65AD"/>
    <w:rsid w:val="539A0CCE"/>
    <w:rsid w:val="53A7626B"/>
    <w:rsid w:val="53E33299"/>
    <w:rsid w:val="53F627C6"/>
    <w:rsid w:val="544043D7"/>
    <w:rsid w:val="54A27CD2"/>
    <w:rsid w:val="54CB16C9"/>
    <w:rsid w:val="55373449"/>
    <w:rsid w:val="55513A5F"/>
    <w:rsid w:val="55EB3957"/>
    <w:rsid w:val="563A74E0"/>
    <w:rsid w:val="564575A2"/>
    <w:rsid w:val="56804DF5"/>
    <w:rsid w:val="569E5958"/>
    <w:rsid w:val="56A6693B"/>
    <w:rsid w:val="57271A50"/>
    <w:rsid w:val="576E3B55"/>
    <w:rsid w:val="577A1434"/>
    <w:rsid w:val="57C15B14"/>
    <w:rsid w:val="582F5C73"/>
    <w:rsid w:val="587120EC"/>
    <w:rsid w:val="587567BB"/>
    <w:rsid w:val="587C4EB0"/>
    <w:rsid w:val="58E8133D"/>
    <w:rsid w:val="59060069"/>
    <w:rsid w:val="591C1F06"/>
    <w:rsid w:val="595F2CFF"/>
    <w:rsid w:val="59612C21"/>
    <w:rsid w:val="596C71F8"/>
    <w:rsid w:val="596E7300"/>
    <w:rsid w:val="59903329"/>
    <w:rsid w:val="59C14092"/>
    <w:rsid w:val="59F9191F"/>
    <w:rsid w:val="5A1356D4"/>
    <w:rsid w:val="5A1548E3"/>
    <w:rsid w:val="5A2755E3"/>
    <w:rsid w:val="5A59267B"/>
    <w:rsid w:val="5ACC6D85"/>
    <w:rsid w:val="5B0D4C23"/>
    <w:rsid w:val="5B21411E"/>
    <w:rsid w:val="5B292CC0"/>
    <w:rsid w:val="5B5738FD"/>
    <w:rsid w:val="5B6A7201"/>
    <w:rsid w:val="5B711ABB"/>
    <w:rsid w:val="5B71456A"/>
    <w:rsid w:val="5B8B2308"/>
    <w:rsid w:val="5BA84E2D"/>
    <w:rsid w:val="5BF56956"/>
    <w:rsid w:val="5BF80F0C"/>
    <w:rsid w:val="5C5D3299"/>
    <w:rsid w:val="5C7B3A91"/>
    <w:rsid w:val="5D5343D2"/>
    <w:rsid w:val="5DA76857"/>
    <w:rsid w:val="5DC64FED"/>
    <w:rsid w:val="5DD759C8"/>
    <w:rsid w:val="5DE16B99"/>
    <w:rsid w:val="5E3D4591"/>
    <w:rsid w:val="5E871FCE"/>
    <w:rsid w:val="5F454A08"/>
    <w:rsid w:val="5F4C36BE"/>
    <w:rsid w:val="5F683CB8"/>
    <w:rsid w:val="5FA31DEC"/>
    <w:rsid w:val="5FD46699"/>
    <w:rsid w:val="5FFC5237"/>
    <w:rsid w:val="6031009E"/>
    <w:rsid w:val="60594D4E"/>
    <w:rsid w:val="60766ACC"/>
    <w:rsid w:val="609D6B69"/>
    <w:rsid w:val="60E953B5"/>
    <w:rsid w:val="61562414"/>
    <w:rsid w:val="61CC081D"/>
    <w:rsid w:val="61D23C45"/>
    <w:rsid w:val="61E74D55"/>
    <w:rsid w:val="6210738E"/>
    <w:rsid w:val="6218130C"/>
    <w:rsid w:val="62187C23"/>
    <w:rsid w:val="621F079A"/>
    <w:rsid w:val="627B4E1D"/>
    <w:rsid w:val="6295773B"/>
    <w:rsid w:val="62C2397C"/>
    <w:rsid w:val="633A5FB9"/>
    <w:rsid w:val="63584C58"/>
    <w:rsid w:val="63750AB2"/>
    <w:rsid w:val="63CA62F8"/>
    <w:rsid w:val="63FC1BB9"/>
    <w:rsid w:val="644A3E0B"/>
    <w:rsid w:val="645E563C"/>
    <w:rsid w:val="64936BCA"/>
    <w:rsid w:val="64D339B5"/>
    <w:rsid w:val="64E668C5"/>
    <w:rsid w:val="64FE2D11"/>
    <w:rsid w:val="64FF111D"/>
    <w:rsid w:val="650A2B32"/>
    <w:rsid w:val="65206812"/>
    <w:rsid w:val="65297470"/>
    <w:rsid w:val="65904B1F"/>
    <w:rsid w:val="65B25A20"/>
    <w:rsid w:val="65C13468"/>
    <w:rsid w:val="65C86D30"/>
    <w:rsid w:val="65EE0D88"/>
    <w:rsid w:val="66596724"/>
    <w:rsid w:val="66760934"/>
    <w:rsid w:val="66F7015A"/>
    <w:rsid w:val="67086AB8"/>
    <w:rsid w:val="672075FF"/>
    <w:rsid w:val="67984EE1"/>
    <w:rsid w:val="679851F1"/>
    <w:rsid w:val="67D10434"/>
    <w:rsid w:val="6815363E"/>
    <w:rsid w:val="682314AB"/>
    <w:rsid w:val="684C4BA5"/>
    <w:rsid w:val="68B625F6"/>
    <w:rsid w:val="68C1243E"/>
    <w:rsid w:val="68E47F44"/>
    <w:rsid w:val="68F5104B"/>
    <w:rsid w:val="69402DD9"/>
    <w:rsid w:val="69467B7A"/>
    <w:rsid w:val="69753860"/>
    <w:rsid w:val="6981509D"/>
    <w:rsid w:val="698A712B"/>
    <w:rsid w:val="698F119D"/>
    <w:rsid w:val="69997C3C"/>
    <w:rsid w:val="699C16CC"/>
    <w:rsid w:val="699F1508"/>
    <w:rsid w:val="6A034EA9"/>
    <w:rsid w:val="6A5B4783"/>
    <w:rsid w:val="6A7205A2"/>
    <w:rsid w:val="6AC005DB"/>
    <w:rsid w:val="6AC17CA8"/>
    <w:rsid w:val="6B5B1C55"/>
    <w:rsid w:val="6B71509A"/>
    <w:rsid w:val="6B752B5C"/>
    <w:rsid w:val="6BC222D4"/>
    <w:rsid w:val="6C886ED2"/>
    <w:rsid w:val="6CED7E89"/>
    <w:rsid w:val="6D6D0BDF"/>
    <w:rsid w:val="6DC44FDF"/>
    <w:rsid w:val="6DE15765"/>
    <w:rsid w:val="6E737EAC"/>
    <w:rsid w:val="6E941C1A"/>
    <w:rsid w:val="6EB37E47"/>
    <w:rsid w:val="6EC93DB8"/>
    <w:rsid w:val="6F1C2EEA"/>
    <w:rsid w:val="6F2F266A"/>
    <w:rsid w:val="6F6C65F7"/>
    <w:rsid w:val="6F8D0F4D"/>
    <w:rsid w:val="6FC514A4"/>
    <w:rsid w:val="709559E6"/>
    <w:rsid w:val="70B3344C"/>
    <w:rsid w:val="70C87E0F"/>
    <w:rsid w:val="70DD6C50"/>
    <w:rsid w:val="70DF31CD"/>
    <w:rsid w:val="70E42C3C"/>
    <w:rsid w:val="7171460E"/>
    <w:rsid w:val="720543B6"/>
    <w:rsid w:val="731F3E2D"/>
    <w:rsid w:val="73A03AE6"/>
    <w:rsid w:val="73B454B4"/>
    <w:rsid w:val="73CE4959"/>
    <w:rsid w:val="73E660A5"/>
    <w:rsid w:val="741241E9"/>
    <w:rsid w:val="74955436"/>
    <w:rsid w:val="74E314B7"/>
    <w:rsid w:val="751D3158"/>
    <w:rsid w:val="753B16A6"/>
    <w:rsid w:val="75B92DFC"/>
    <w:rsid w:val="75CE6EDA"/>
    <w:rsid w:val="76941208"/>
    <w:rsid w:val="76973A51"/>
    <w:rsid w:val="76983969"/>
    <w:rsid w:val="77313B00"/>
    <w:rsid w:val="773D67D4"/>
    <w:rsid w:val="7788024F"/>
    <w:rsid w:val="778F0C43"/>
    <w:rsid w:val="77AA43A7"/>
    <w:rsid w:val="77B820E6"/>
    <w:rsid w:val="77F600A6"/>
    <w:rsid w:val="7803703E"/>
    <w:rsid w:val="78221361"/>
    <w:rsid w:val="784858F3"/>
    <w:rsid w:val="78CC1E5C"/>
    <w:rsid w:val="78DF2284"/>
    <w:rsid w:val="78F17545"/>
    <w:rsid w:val="794C7520"/>
    <w:rsid w:val="79844C21"/>
    <w:rsid w:val="799E0B64"/>
    <w:rsid w:val="79D0612F"/>
    <w:rsid w:val="7A0D676E"/>
    <w:rsid w:val="7A760B83"/>
    <w:rsid w:val="7AE50E17"/>
    <w:rsid w:val="7AF45882"/>
    <w:rsid w:val="7BBC35D1"/>
    <w:rsid w:val="7C4A0195"/>
    <w:rsid w:val="7C603C30"/>
    <w:rsid w:val="7C65716E"/>
    <w:rsid w:val="7C706A77"/>
    <w:rsid w:val="7C88159A"/>
    <w:rsid w:val="7C910163"/>
    <w:rsid w:val="7CEC0819"/>
    <w:rsid w:val="7D1477CD"/>
    <w:rsid w:val="7DDF1031"/>
    <w:rsid w:val="7DFB5B19"/>
    <w:rsid w:val="7E0C2FF7"/>
    <w:rsid w:val="7E545863"/>
    <w:rsid w:val="7E6B79BB"/>
    <w:rsid w:val="7EA20B48"/>
    <w:rsid w:val="7ED979AB"/>
    <w:rsid w:val="7EF6697B"/>
    <w:rsid w:val="7F2F7B10"/>
    <w:rsid w:val="7F6A7A21"/>
    <w:rsid w:val="7FC9241A"/>
    <w:rsid w:val="7FF70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7F46221-2FC3-448A-9F8A-9777C505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locked="1" w:qFormat="1"/>
    <w:lsdException w:name="Emphasis" w:locked="1"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lock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0"/>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4"/>
    </w:rPr>
  </w:style>
  <w:style w:type="paragraph" w:styleId="a4">
    <w:name w:val="Document Map"/>
    <w:basedOn w:val="a"/>
    <w:link w:val="Char"/>
    <w:uiPriority w:val="99"/>
    <w:semiHidden/>
    <w:qFormat/>
    <w:pPr>
      <w:shd w:val="clear" w:color="auto" w:fill="000080"/>
    </w:pPr>
    <w:rPr>
      <w:lang w:val="zh-CN"/>
    </w:rPr>
  </w:style>
  <w:style w:type="paragraph" w:styleId="a5">
    <w:name w:val="annotation text"/>
    <w:basedOn w:val="a"/>
    <w:link w:val="Char0"/>
    <w:qFormat/>
    <w:pPr>
      <w:jc w:val="left"/>
    </w:pPr>
    <w:rPr>
      <w:lang w:val="zh-CN"/>
    </w:rPr>
  </w:style>
  <w:style w:type="paragraph" w:styleId="a6">
    <w:name w:val="Body Text"/>
    <w:basedOn w:val="a"/>
    <w:link w:val="Char1"/>
    <w:qFormat/>
    <w:pPr>
      <w:autoSpaceDE w:val="0"/>
      <w:autoSpaceDN w:val="0"/>
      <w:adjustRightInd w:val="0"/>
      <w:spacing w:line="360" w:lineRule="auto"/>
      <w:jc w:val="left"/>
    </w:pPr>
    <w:rPr>
      <w:rFonts w:ascii="宋体"/>
      <w:kern w:val="0"/>
      <w:szCs w:val="21"/>
      <w:lang w:val="zh-CN"/>
    </w:rPr>
  </w:style>
  <w:style w:type="paragraph" w:styleId="a7">
    <w:name w:val="Body Text Indent"/>
    <w:basedOn w:val="a"/>
    <w:link w:val="Char2"/>
    <w:qFormat/>
    <w:pPr>
      <w:spacing w:after="120"/>
      <w:ind w:leftChars="200" w:left="420"/>
    </w:pPr>
  </w:style>
  <w:style w:type="paragraph" w:styleId="a8">
    <w:name w:val="Plain Text"/>
    <w:basedOn w:val="a"/>
    <w:link w:val="Char3"/>
    <w:qFormat/>
    <w:pPr>
      <w:adjustRightInd w:val="0"/>
      <w:spacing w:line="360" w:lineRule="atLeast"/>
      <w:textAlignment w:val="baseline"/>
    </w:pPr>
    <w:rPr>
      <w:rFonts w:ascii="宋体" w:hAnsi="Courier New"/>
      <w:lang w:val="zh-CN"/>
    </w:rPr>
  </w:style>
  <w:style w:type="paragraph" w:styleId="a9">
    <w:name w:val="Date"/>
    <w:basedOn w:val="a"/>
    <w:next w:val="a"/>
    <w:link w:val="Char4"/>
    <w:qFormat/>
    <w:pPr>
      <w:widowControl/>
      <w:spacing w:line="360" w:lineRule="auto"/>
      <w:jc w:val="left"/>
    </w:pPr>
    <w:rPr>
      <w:sz w:val="28"/>
    </w:rPr>
  </w:style>
  <w:style w:type="paragraph" w:styleId="20">
    <w:name w:val="Body Text Indent 2"/>
    <w:basedOn w:val="a"/>
    <w:link w:val="2Char0"/>
    <w:qFormat/>
    <w:pPr>
      <w:spacing w:line="360" w:lineRule="auto"/>
      <w:ind w:firstLine="425"/>
    </w:pPr>
    <w:rPr>
      <w:rFonts w:ascii="仿宋_GB2312" w:eastAsia="仿宋_GB2312"/>
      <w:kern w:val="0"/>
      <w:sz w:val="20"/>
      <w:lang w:val="zh-CN"/>
    </w:rPr>
  </w:style>
  <w:style w:type="paragraph" w:styleId="aa">
    <w:name w:val="Balloon Text"/>
    <w:basedOn w:val="a"/>
    <w:link w:val="Char5"/>
    <w:uiPriority w:val="99"/>
    <w:semiHidden/>
    <w:qFormat/>
    <w:rPr>
      <w:kern w:val="0"/>
      <w:sz w:val="18"/>
      <w:szCs w:val="18"/>
      <w:lang w:val="zh-CN"/>
    </w:rPr>
  </w:style>
  <w:style w:type="paragraph" w:styleId="ab">
    <w:name w:val="footer"/>
    <w:basedOn w:val="a"/>
    <w:link w:val="Char6"/>
    <w:uiPriority w:val="99"/>
    <w:qFormat/>
    <w:pPr>
      <w:tabs>
        <w:tab w:val="center" w:pos="4153"/>
        <w:tab w:val="right" w:pos="8306"/>
      </w:tabs>
      <w:snapToGrid w:val="0"/>
      <w:jc w:val="left"/>
    </w:pPr>
    <w:rPr>
      <w:kern w:val="0"/>
      <w:sz w:val="18"/>
      <w:szCs w:val="18"/>
      <w:lang w:val="zh-CN"/>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0">
    <w:name w:val="toc 1"/>
    <w:basedOn w:val="a"/>
    <w:next w:val="a"/>
    <w:uiPriority w:val="39"/>
    <w:qFormat/>
    <w:pPr>
      <w:tabs>
        <w:tab w:val="right" w:leader="dot" w:pos="8296"/>
      </w:tabs>
      <w:spacing w:line="360" w:lineRule="auto"/>
    </w:pPr>
  </w:style>
  <w:style w:type="paragraph" w:styleId="3">
    <w:name w:val="Body Text Indent 3"/>
    <w:basedOn w:val="a"/>
    <w:link w:val="3Char"/>
    <w:qFormat/>
    <w:pPr>
      <w:spacing w:after="120"/>
      <w:ind w:leftChars="200" w:left="420"/>
    </w:pPr>
    <w:rPr>
      <w:sz w:val="16"/>
      <w:szCs w:val="16"/>
    </w:rPr>
  </w:style>
  <w:style w:type="paragraph" w:styleId="9">
    <w:name w:val="toc 9"/>
    <w:basedOn w:val="a"/>
    <w:next w:val="a"/>
    <w:qFormat/>
    <w:locked/>
    <w:pPr>
      <w:ind w:leftChars="1600" w:left="3360"/>
    </w:pPr>
    <w:rPr>
      <w:szCs w:val="24"/>
    </w:rPr>
  </w:style>
  <w:style w:type="paragraph" w:styleId="21">
    <w:name w:val="Body Text 2"/>
    <w:basedOn w:val="a"/>
    <w:link w:val="2Char1"/>
    <w:qFormat/>
    <w:pPr>
      <w:spacing w:after="120" w:line="480" w:lineRule="auto"/>
    </w:pPr>
    <w:rPr>
      <w:lang w:val="zh-CN"/>
    </w:rPr>
  </w:style>
  <w:style w:type="paragraph" w:styleId="ad">
    <w:name w:val="Normal (Web)"/>
    <w:basedOn w:val="a"/>
    <w:uiPriority w:val="99"/>
    <w:qFormat/>
    <w:pPr>
      <w:widowControl/>
      <w:snapToGrid w:val="0"/>
      <w:spacing w:before="100" w:beforeAutospacing="1" w:after="100" w:afterAutospacing="1"/>
      <w:ind w:rightChars="-3" w:right="-6" w:firstLineChars="200" w:firstLine="420"/>
      <w:jc w:val="left"/>
    </w:pPr>
    <w:rPr>
      <w:rFonts w:ascii="宋体" w:hAnsi="宋体"/>
      <w:color w:val="000000"/>
      <w:kern w:val="0"/>
      <w:sz w:val="24"/>
      <w:szCs w:val="24"/>
    </w:rPr>
  </w:style>
  <w:style w:type="paragraph" w:styleId="ae">
    <w:name w:val="annotation subject"/>
    <w:basedOn w:val="a5"/>
    <w:next w:val="a5"/>
    <w:semiHidden/>
    <w:qFormat/>
    <w:rPr>
      <w:b/>
      <w:bCs/>
    </w:rPr>
  </w:style>
  <w:style w:type="table" w:styleId="af">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style>
  <w:style w:type="character" w:styleId="af1">
    <w:name w:val="FollowedHyperlink"/>
    <w:qFormat/>
    <w:rPr>
      <w:color w:val="800080"/>
      <w:u w:val="single"/>
    </w:rPr>
  </w:style>
  <w:style w:type="character" w:styleId="HTML">
    <w:name w:val="HTML Typewriter"/>
    <w:qFormat/>
    <w:rPr>
      <w:rFonts w:ascii="宋体" w:eastAsia="宋体" w:hAnsi="宋体" w:cs="宋体" w:hint="eastAsia"/>
      <w:sz w:val="24"/>
      <w:szCs w:val="24"/>
    </w:rPr>
  </w:style>
  <w:style w:type="character" w:styleId="af2">
    <w:name w:val="Hyperlink"/>
    <w:uiPriority w:val="99"/>
    <w:qFormat/>
    <w:rPr>
      <w:rFonts w:cs="Times New Roman"/>
      <w:color w:val="0000FF"/>
      <w:u w:val="single"/>
    </w:rPr>
  </w:style>
  <w:style w:type="character" w:styleId="af3">
    <w:name w:val="annotation reference"/>
    <w:qFormat/>
    <w:rPr>
      <w:sz w:val="21"/>
      <w:szCs w:val="21"/>
    </w:rPr>
  </w:style>
  <w:style w:type="character" w:customStyle="1" w:styleId="1Char">
    <w:name w:val="标题 1 Char"/>
    <w:link w:val="1"/>
    <w:qFormat/>
    <w:locked/>
    <w:rPr>
      <w:rFonts w:ascii="宋体" w:eastAsia="宋体" w:hAnsi="Times New Roman" w:cs="Times New Roman"/>
      <w:b/>
      <w:color w:val="000000"/>
      <w:kern w:val="0"/>
      <w:sz w:val="20"/>
      <w:szCs w:val="20"/>
    </w:rPr>
  </w:style>
  <w:style w:type="paragraph" w:customStyle="1" w:styleId="af4">
    <w:name w:val="正文所"/>
    <w:basedOn w:val="a"/>
    <w:qFormat/>
    <w:pPr>
      <w:spacing w:line="360" w:lineRule="auto"/>
      <w:ind w:firstLineChars="200" w:firstLine="420"/>
    </w:pPr>
    <w:rPr>
      <w:rFonts w:ascii="宋体"/>
    </w:rPr>
  </w:style>
  <w:style w:type="character" w:customStyle="1" w:styleId="2Char0">
    <w:name w:val="正文文本缩进 2 Char"/>
    <w:link w:val="20"/>
    <w:qFormat/>
    <w:locked/>
    <w:rPr>
      <w:rFonts w:ascii="仿宋_GB2312" w:eastAsia="仿宋_GB2312" w:hAnsi="Times New Roman" w:cs="Times New Roman"/>
      <w:sz w:val="20"/>
      <w:szCs w:val="20"/>
    </w:rPr>
  </w:style>
  <w:style w:type="character" w:customStyle="1" w:styleId="Char1">
    <w:name w:val="正文文本 Char"/>
    <w:link w:val="a6"/>
    <w:qFormat/>
    <w:locked/>
    <w:rPr>
      <w:rFonts w:ascii="宋体" w:eastAsia="宋体" w:hAnsi="Times New Roman" w:cs="Times New Roman"/>
      <w:kern w:val="0"/>
      <w:sz w:val="21"/>
      <w:szCs w:val="21"/>
    </w:rPr>
  </w:style>
  <w:style w:type="character" w:customStyle="1" w:styleId="read">
    <w:name w:val="read"/>
    <w:qFormat/>
    <w:rPr>
      <w:rFonts w:cs="Times New Roman"/>
    </w:rPr>
  </w:style>
  <w:style w:type="paragraph" w:customStyle="1" w:styleId="11">
    <w:name w:val="列出段落1"/>
    <w:basedOn w:val="a"/>
    <w:qFormat/>
    <w:pPr>
      <w:ind w:firstLineChars="200" w:firstLine="420"/>
    </w:pPr>
  </w:style>
  <w:style w:type="character" w:customStyle="1" w:styleId="Char7">
    <w:name w:val="页眉 Char"/>
    <w:link w:val="ac"/>
    <w:uiPriority w:val="99"/>
    <w:qFormat/>
    <w:locked/>
    <w:rPr>
      <w:rFonts w:ascii="Times New Roman" w:eastAsia="宋体" w:hAnsi="Times New Roman" w:cs="Times New Roman"/>
      <w:sz w:val="18"/>
      <w:szCs w:val="18"/>
    </w:rPr>
  </w:style>
  <w:style w:type="character" w:customStyle="1" w:styleId="Char6">
    <w:name w:val="页脚 Char"/>
    <w:link w:val="ab"/>
    <w:uiPriority w:val="99"/>
    <w:qFormat/>
    <w:locked/>
    <w:rPr>
      <w:rFonts w:ascii="Times New Roman" w:eastAsia="宋体" w:hAnsi="Times New Roman" w:cs="Times New Roman"/>
      <w:sz w:val="18"/>
      <w:szCs w:val="18"/>
    </w:rPr>
  </w:style>
  <w:style w:type="character" w:customStyle="1" w:styleId="Char5">
    <w:name w:val="批注框文本 Char"/>
    <w:link w:val="aa"/>
    <w:uiPriority w:val="99"/>
    <w:semiHidden/>
    <w:qFormat/>
    <w:locked/>
    <w:rPr>
      <w:rFonts w:ascii="Times New Roman" w:eastAsia="宋体" w:hAnsi="Times New Roman" w:cs="Times New Roman"/>
      <w:sz w:val="18"/>
      <w:szCs w:val="18"/>
    </w:rPr>
  </w:style>
  <w:style w:type="character" w:customStyle="1" w:styleId="2Char">
    <w:name w:val="标题 2 Char"/>
    <w:link w:val="2"/>
    <w:qFormat/>
    <w:locked/>
    <w:rPr>
      <w:rFonts w:ascii="Arial" w:eastAsia="黑体" w:hAnsi="Arial" w:cs="Times New Roman"/>
      <w:b/>
      <w:bCs/>
      <w:kern w:val="2"/>
      <w:sz w:val="32"/>
      <w:szCs w:val="32"/>
    </w:rPr>
  </w:style>
  <w:style w:type="paragraph" w:customStyle="1" w:styleId="Char8">
    <w:name w:val="Char"/>
    <w:basedOn w:val="a"/>
    <w:qFormat/>
    <w:rPr>
      <w:szCs w:val="24"/>
    </w:rPr>
  </w:style>
  <w:style w:type="paragraph" w:customStyle="1" w:styleId="12">
    <w:name w:val="修订1"/>
    <w:hidden/>
    <w:semiHidden/>
    <w:qFormat/>
    <w:rPr>
      <w:kern w:val="2"/>
      <w:sz w:val="21"/>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Char0">
    <w:name w:val="批注文字 Char"/>
    <w:link w:val="a5"/>
    <w:qFormat/>
    <w:locked/>
    <w:rPr>
      <w:rFonts w:ascii="Times New Roman" w:hAnsi="Times New Roman"/>
      <w:kern w:val="2"/>
      <w:sz w:val="21"/>
    </w:rPr>
  </w:style>
  <w:style w:type="paragraph" w:customStyle="1" w:styleId="ParaCharCharCharCharCharCharCharCharCharCharCharChar">
    <w:name w:val="默认段落字体 Para Char Char Char Char Char Char Char Char Char Char Char Char"/>
    <w:basedOn w:val="a"/>
    <w:qFormat/>
    <w:pPr>
      <w:tabs>
        <w:tab w:val="left" w:pos="840"/>
      </w:tabs>
      <w:ind w:left="840" w:hanging="360"/>
    </w:pPr>
    <w:rPr>
      <w:sz w:val="24"/>
      <w:szCs w:val="24"/>
    </w:rPr>
  </w:style>
  <w:style w:type="paragraph" w:customStyle="1" w:styleId="22">
    <w:name w:val="列出段落2"/>
    <w:basedOn w:val="a"/>
    <w:uiPriority w:val="34"/>
    <w:qFormat/>
    <w:pPr>
      <w:ind w:firstLineChars="200" w:firstLine="420"/>
    </w:pPr>
    <w:rPr>
      <w:szCs w:val="24"/>
    </w:rPr>
  </w:style>
  <w:style w:type="paragraph" w:customStyle="1" w:styleId="CharCharChar1">
    <w:name w:val="Char Char Char1"/>
    <w:basedOn w:val="a"/>
    <w:qFormat/>
  </w:style>
  <w:style w:type="character" w:customStyle="1" w:styleId="Char3">
    <w:name w:val="纯文本 Char"/>
    <w:link w:val="a8"/>
    <w:qFormat/>
    <w:rPr>
      <w:rFonts w:ascii="宋体" w:hAnsi="Courier New"/>
      <w:kern w:val="2"/>
      <w:sz w:val="21"/>
    </w:rPr>
  </w:style>
  <w:style w:type="character" w:customStyle="1" w:styleId="2Char1">
    <w:name w:val="正文文本 2 Char"/>
    <w:link w:val="21"/>
    <w:qFormat/>
    <w:rPr>
      <w:rFonts w:ascii="Times New Roman" w:hAnsi="Times New Roman"/>
      <w:kern w:val="2"/>
      <w:sz w:val="21"/>
    </w:rPr>
  </w:style>
  <w:style w:type="character" w:customStyle="1" w:styleId="Char">
    <w:name w:val="文档结构图 Char"/>
    <w:link w:val="a4"/>
    <w:uiPriority w:val="99"/>
    <w:semiHidden/>
    <w:qFormat/>
    <w:rPr>
      <w:rFonts w:ascii="Times New Roman" w:hAnsi="Times New Roman"/>
      <w:kern w:val="2"/>
      <w:sz w:val="21"/>
      <w:shd w:val="clear" w:color="auto" w:fill="000080"/>
    </w:rPr>
  </w:style>
  <w:style w:type="character" w:customStyle="1" w:styleId="Char2">
    <w:name w:val="正文文本缩进 Char"/>
    <w:link w:val="a7"/>
    <w:qFormat/>
    <w:rPr>
      <w:rFonts w:ascii="Times New Roman" w:hAnsi="Times New Roman"/>
      <w:kern w:val="2"/>
      <w:sz w:val="21"/>
    </w:rPr>
  </w:style>
  <w:style w:type="character" w:customStyle="1" w:styleId="3Char">
    <w:name w:val="正文文本缩进 3 Char"/>
    <w:link w:val="3"/>
    <w:qFormat/>
    <w:rPr>
      <w:rFonts w:ascii="Times New Roman" w:hAnsi="Times New Roman"/>
      <w:kern w:val="2"/>
      <w:sz w:val="16"/>
      <w:szCs w:val="16"/>
    </w:rPr>
  </w:style>
  <w:style w:type="paragraph" w:customStyle="1" w:styleId="Char10">
    <w:name w:val="Char1"/>
    <w:basedOn w:val="a"/>
    <w:qFormat/>
  </w:style>
  <w:style w:type="paragraph" w:customStyle="1" w:styleId="23">
    <w:name w:val="修订2"/>
    <w:hidden/>
    <w:uiPriority w:val="99"/>
    <w:semiHidden/>
    <w:qFormat/>
    <w:rPr>
      <w:kern w:val="2"/>
      <w:sz w:val="21"/>
    </w:rPr>
  </w:style>
  <w:style w:type="paragraph" w:customStyle="1" w:styleId="110">
    <w:name w:val="列出段落11"/>
    <w:basedOn w:val="a"/>
    <w:qFormat/>
    <w:pPr>
      <w:ind w:firstLineChars="200" w:firstLine="420"/>
    </w:pPr>
  </w:style>
  <w:style w:type="paragraph" w:customStyle="1" w:styleId="30">
    <w:name w:val="修订3"/>
    <w:hidden/>
    <w:uiPriority w:val="99"/>
    <w:unhideWhenUsed/>
    <w:qFormat/>
    <w:rPr>
      <w:kern w:val="2"/>
      <w:sz w:val="21"/>
    </w:rPr>
  </w:style>
  <w:style w:type="paragraph" w:customStyle="1" w:styleId="4">
    <w:name w:val="修订4"/>
    <w:hidden/>
    <w:uiPriority w:val="99"/>
    <w:unhideWhenUsed/>
    <w:qFormat/>
    <w:rPr>
      <w:kern w:val="2"/>
      <w:sz w:val="21"/>
    </w:rPr>
  </w:style>
  <w:style w:type="paragraph" w:styleId="af5">
    <w:name w:val="List Paragraph"/>
    <w:basedOn w:val="a"/>
    <w:uiPriority w:val="99"/>
    <w:unhideWhenUsed/>
    <w:qFormat/>
    <w:pPr>
      <w:ind w:firstLineChars="200" w:firstLine="420"/>
    </w:pPr>
  </w:style>
  <w:style w:type="paragraph" w:customStyle="1" w:styleId="CharChar">
    <w:name w:val="Char Char"/>
    <w:basedOn w:val="a"/>
    <w:qFormat/>
  </w:style>
  <w:style w:type="paragraph" w:customStyle="1" w:styleId="5">
    <w:name w:val="修订5"/>
    <w:hidden/>
    <w:uiPriority w:val="99"/>
    <w:unhideWhenUsed/>
    <w:qFormat/>
    <w:rPr>
      <w:kern w:val="2"/>
      <w:sz w:val="21"/>
    </w:rPr>
  </w:style>
  <w:style w:type="paragraph" w:customStyle="1" w:styleId="CharChar1">
    <w:name w:val="Char Char1"/>
    <w:basedOn w:val="a"/>
    <w:qFormat/>
  </w:style>
  <w:style w:type="paragraph" w:customStyle="1" w:styleId="CharChar2">
    <w:name w:val="Char Char2"/>
    <w:basedOn w:val="a"/>
    <w:qFormat/>
  </w:style>
  <w:style w:type="paragraph" w:customStyle="1" w:styleId="CharChar3">
    <w:name w:val="Char Char3"/>
    <w:basedOn w:val="a"/>
    <w:qFormat/>
  </w:style>
  <w:style w:type="paragraph" w:customStyle="1" w:styleId="CharChar4">
    <w:name w:val="Char Char4"/>
    <w:basedOn w:val="a"/>
    <w:qFormat/>
  </w:style>
  <w:style w:type="paragraph" w:customStyle="1" w:styleId="6">
    <w:name w:val="修订6"/>
    <w:hidden/>
    <w:uiPriority w:val="99"/>
    <w:unhideWhenUsed/>
    <w:qFormat/>
    <w:rPr>
      <w:kern w:val="2"/>
      <w:sz w:val="21"/>
    </w:rPr>
  </w:style>
  <w:style w:type="paragraph" w:customStyle="1" w:styleId="7">
    <w:name w:val="修订7"/>
    <w:hidden/>
    <w:uiPriority w:val="99"/>
    <w:semiHidden/>
    <w:qFormat/>
    <w:rPr>
      <w:kern w:val="2"/>
      <w:sz w:val="21"/>
    </w:rPr>
  </w:style>
  <w:style w:type="paragraph" w:customStyle="1" w:styleId="-">
    <w:name w:val="模板-正文"/>
    <w:basedOn w:val="ad"/>
    <w:link w:val="-Char"/>
    <w:qFormat/>
    <w:pPr>
      <w:shd w:val="clear" w:color="auto" w:fill="FFFFFF"/>
      <w:spacing w:before="0" w:beforeAutospacing="0" w:after="0" w:afterAutospacing="0" w:line="360" w:lineRule="auto"/>
      <w:ind w:rightChars="0" w:right="0" w:firstLine="200"/>
      <w:jc w:val="both"/>
    </w:pPr>
    <w:rPr>
      <w:color w:val="222222"/>
      <w:sz w:val="21"/>
      <w:szCs w:val="21"/>
      <w:lang w:val="zh-CN"/>
    </w:rPr>
  </w:style>
  <w:style w:type="character" w:customStyle="1" w:styleId="-Char">
    <w:name w:val="模板-正文 Char"/>
    <w:link w:val="-"/>
    <w:qFormat/>
    <w:rPr>
      <w:rFonts w:ascii="宋体" w:hAnsi="宋体"/>
      <w:color w:val="222222"/>
      <w:sz w:val="21"/>
      <w:szCs w:val="21"/>
      <w:shd w:val="clear" w:color="auto" w:fill="FFFFFF"/>
      <w:lang w:val="zh-CN"/>
    </w:rPr>
  </w:style>
  <w:style w:type="character" w:customStyle="1" w:styleId="Char4">
    <w:name w:val="日期 Char"/>
    <w:basedOn w:val="a0"/>
    <w:link w:val="a9"/>
    <w:qFormat/>
    <w:rPr>
      <w:rFonts w:ascii="Times New Roman" w:hAnsi="Times New Roman"/>
      <w:kern w:val="2"/>
      <w:sz w:val="28"/>
    </w:rPr>
  </w:style>
  <w:style w:type="paragraph" w:customStyle="1" w:styleId="8">
    <w:name w:val="修订8"/>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02DFDC-AA7E-4031-8DC7-6BA967B3A35C}">
  <ds:schemaRefs>
    <ds:schemaRef ds:uri="http://schemas.openxmlformats.org/officeDocument/2006/bibliography"/>
  </ds:schemaRefs>
</ds:datastoreItem>
</file>

<file path=customXml/itemProps3.xml><?xml version="1.0" encoding="utf-8"?>
<ds:datastoreItem xmlns:ds="http://schemas.openxmlformats.org/officeDocument/2006/customXml" ds:itemID="{9EDAEAC2-C282-4363-BC13-6EAFC8B7756B}">
  <ds:schemaRefs>
    <ds:schemaRef ds:uri="http://schemas.openxmlformats.org/officeDocument/2006/bibliography"/>
  </ds:schemaRefs>
</ds:datastoreItem>
</file>

<file path=customXml/itemProps4.xml><?xml version="1.0" encoding="utf-8"?>
<ds:datastoreItem xmlns:ds="http://schemas.openxmlformats.org/officeDocument/2006/customXml" ds:itemID="{0CB0703D-9249-4E47-8EF0-D0540BB51698}">
  <ds:schemaRefs>
    <ds:schemaRef ds:uri="http://schemas.openxmlformats.org/officeDocument/2006/bibliography"/>
  </ds:schemaRefs>
</ds:datastoreItem>
</file>

<file path=customXml/itemProps5.xml><?xml version="1.0" encoding="utf-8"?>
<ds:datastoreItem xmlns:ds="http://schemas.openxmlformats.org/officeDocument/2006/customXml" ds:itemID="{E27C82D1-4B43-4DC1-91A8-AE22EABEE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115</Pages>
  <Words>13298</Words>
  <Characters>75804</Characters>
  <Application>Microsoft Office Word</Application>
  <DocSecurity>0</DocSecurity>
  <Lines>631</Lines>
  <Paragraphs>177</Paragraphs>
  <ScaleCrop>false</ScaleCrop>
  <Company>Microsoft</Company>
  <LinksUpToDate>false</LinksUpToDate>
  <CharactersWithSpaces>88925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史彦琼</cp:lastModifiedBy>
  <cp:revision>46</cp:revision>
  <cp:lastPrinted>2021-03-29T03:10:00Z</cp:lastPrinted>
  <dcterms:created xsi:type="dcterms:W3CDTF">2020-11-25T09:43:00Z</dcterms:created>
  <dcterms:modified xsi:type="dcterms:W3CDTF">2021-05-12T14:28:00Z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