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广发瑞安精选股票型证券投资基金（广发瑞安精选股票C）基金产品资料概要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编制日期：2020年11月11日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送出日期：2020年11月</w:t>
      </w:r>
      <w:r w:rsidR="001E7CFE">
        <w:rPr>
          <w:rFonts w:ascii="仿宋" w:eastAsia="仿宋" w:hAnsi="仿宋" w:cs="方正仿宋简体"/>
          <w:iCs/>
          <w:sz w:val="24"/>
          <w:szCs w:val="24"/>
        </w:rPr>
        <w:t>24</w:t>
      </w:r>
      <w:bookmarkStart w:id="0" w:name="_GoBack"/>
      <w:bookmarkEnd w:id="0"/>
      <w:r w:rsidR="00EE0C11" w:rsidRPr="00707C6B">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作出投资决定前，请阅读完整的招募说明书等销售文件。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06"/>
        <w:gridCol w:w="2724"/>
        <w:gridCol w:w="1926"/>
        <w:gridCol w:w="2782"/>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广发瑞安精选股票</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010161</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nil"/>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广发瑞安精选股票C</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nil"/>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010162</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中国建设银行股份有限公司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0612DA">
            <w:pPr>
              <w:spacing w:line="280" w:lineRule="exact"/>
              <w:rPr>
                <w:rFonts w:ascii="仿宋" w:eastAsia="仿宋" w:hAnsi="仿宋" w:cs="方正仿宋简体"/>
                <w:b/>
                <w:iCs/>
              </w:rPr>
            </w:pP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股票型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人民币</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费逸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开始担任本基金基金经理的日期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2010-07-06</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基金合同》生效后，连续20个工作日出现基金份额持有人数量不满200人或者基金资产净值低于5000万元的，基金管理人应当在定期报告中予以披露；连续50个工作日出现上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法律法规另有规定时，从其规定。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367"/>
        <w:gridCol w:w="7271"/>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本基金在有效控制组合风险并保持良好流动性的前提下，通过对公司及行业所处的基本面进行深入分析和把握，自下而上地精选优质上市公司，追求超越业绩比较基准的投资回报。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的投资范围为具有良好流动性的金融工具，包括国内依法发行上市的股票（包括中小板、创业板及其他依法发行、上市的股票）、港股通标的股票、债券（包括国债、地方政府债、金融债、企业债、公司债、次级债、可转换债券（含分离交易可转债）、可交换债券、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如法律法规或监管机构以后允许基金投资其他品种，基金管理人在履行适当程序后，可以将其纳入投资范围，并可依据届时有效的法律法规适时合理地调整投资范围。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为股票型基金，基金的投资组合比例为：股票资产占基金资产的比例为80%-95%，其中投资于港股通标的股票不超过股票资产的30%；每个交易日日终在扣除股指期货合约和国债期货合约需缴纳的交易保证金后，应当保持现金或者到期日在一年以内的政府债券不低于基金资产净值的5%，其中现金不得包括</w:t>
            </w:r>
            <w:r w:rsidRPr="00707C6B">
              <w:rPr>
                <w:rFonts w:ascii="仿宋" w:eastAsia="仿宋" w:hAnsi="仿宋" w:cs="仿宋_GB2312" w:hint="eastAsia"/>
                <w:kern w:val="0"/>
                <w:szCs w:val="24"/>
              </w:rPr>
              <w:lastRenderedPageBreak/>
              <w:t>结算备付金、存出保证金及应收申购款等；股指期货、国债期货及其他金融工具的投资比例依照法律法规或监管机构的规定执行。</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如未来法律法规或监管机构对投资比例要求有变更的，基金管理人在履行适当程序后，可以做出相应调整。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具体包括：1、资产配置策略；2、股票投资策略；3、债券投资策略；4、资产支持证券投资策略；5、金融衍生品投资策略。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沪深300指数收益率×65%+人民币计价的恒生指数收益率×15%+中证全债指数收益率×20%。</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本基金是股票型基金，其预期收益及风险水平高于货币市场基金、债券型基金和混合型基金。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注：详见《广发瑞安精选股票型证券投资基金招募说明书》及其更新文件中“基金的投资”。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EE0C11" w:rsidP="00265B51">
      <w:pPr>
        <w:jc w:val="left"/>
        <w:rPr>
          <w:rFonts w:ascii="仿宋" w:eastAsia="仿宋" w:hAnsi="仿宋" w:cs="方正仿宋简体"/>
          <w:b/>
          <w:iCs/>
          <w:sz w:val="24"/>
          <w:szCs w:val="24"/>
        </w:rPr>
      </w:pPr>
      <w:r w:rsidRPr="00707C6B">
        <w:rPr>
          <w:rFonts w:ascii="仿宋" w:eastAsia="仿宋" w:hAnsi="仿宋"/>
          <w:color w:val="000000" w:themeColor="text1"/>
        </w:rPr>
        <w:t>无</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800"/>
        <w:gridCol w:w="2851"/>
        <w:gridCol w:w="1664"/>
        <w:gridCol w:w="2323"/>
      </w:tblGrid>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47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6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0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本基金C类份额无认购费</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本基金C类份额无申购费</w:t>
            </w:r>
          </w:p>
        </w:tc>
      </w:tr>
      <w:tr w:rsidR="000612DA" w:rsidRPr="00707C6B" w:rsidTr="00084383">
        <w:trPr>
          <w:trHeight w:val="227"/>
        </w:trPr>
        <w:tc>
          <w:tcPr>
            <w:tcW w:w="1453"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453"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453"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 30日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bl>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649"/>
        <w:gridCol w:w="5989"/>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销售服务费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0.40%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《基金合同》生效后与基金相关的信息披露费用、会计师费、律师费、诉讼费、基金份额持有人大会费用、基金的证券交易</w:t>
            </w:r>
            <w:r w:rsidRPr="00707C6B">
              <w:rPr>
                <w:rFonts w:ascii="仿宋" w:eastAsia="仿宋" w:hAnsi="仿宋" w:cs="方正仿宋简体" w:hint="eastAsia"/>
                <w:bCs/>
                <w:iCs/>
              </w:rPr>
              <w:lastRenderedPageBreak/>
              <w:t xml:space="preserve">费用、基金的银行汇划费用、基金相关账户的开户及维护费等费用，和按照国家有关规定和《基金合同》约定，可以在基金财产中列支的其他费用。 </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707C6B">
        <w:rPr>
          <w:rFonts w:ascii="仿宋" w:eastAsia="仿宋" w:hAnsi="仿宋" w:cs="方正仿宋简体" w:hint="eastAsia"/>
          <w:bCs/>
          <w:iCs/>
        </w:rPr>
        <w:lastRenderedPageBreak/>
        <w:t>注： 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1、本基金特有的风险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（1）本基金《基金合同》生效后，连续五十个工作日出现基金份额持有人数量不满200人或者基金资产净值低于5000万元人民币的情形，基金合同将自动终止。</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（2）投资港股通标的股票的风险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港股通可投资标的范围调整带来的风险、境外市场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（3）本基金可投资于股指期货、国债期货等特定品种，将面临投资上述品种所产生特定的风险，可能给基金净值带来不利影响或损失。</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2、开放式基金的共有风险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（1）市场风险；（2）管理风险；（3）职业道德风险；（4）流动性风险；（5）合规性风险；（6）投资管理风险等。</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3、其他风险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中国证监会对本基金募集的注册，并不表明其对本基金的价值和收益作出实质性判断或保证，也不表明投资于本基金没有风险。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基金投资者自依基金合同取得基金份额，即成为基金份额持有人和基金合同的当事人。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（1）《广发瑞安精选股票型证券投资基金基金合同》</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（2）《广发瑞安精选股票型证券投资基金托管协议》</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（3）《广发瑞安精选股票型证券投资基金招募说明书》</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（4）定期报告，包括基金季度报告、中期报告和年度报告</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A7" w:rsidRDefault="00C83DA7" w:rsidP="0092395F">
      <w:r>
        <w:separator/>
      </w:r>
    </w:p>
  </w:endnote>
  <w:endnote w:type="continuationSeparator" w:id="0">
    <w:p w:rsidR="00C83DA7" w:rsidRDefault="00C83DA7"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E7CF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E7CFE">
              <w:rPr>
                <w:b/>
                <w:bCs/>
                <w:noProof/>
              </w:rPr>
              <w:t>3</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A7" w:rsidRDefault="00C83DA7" w:rsidP="0092395F">
      <w:r>
        <w:separator/>
      </w:r>
    </w:p>
  </w:footnote>
  <w:footnote w:type="continuationSeparator" w:id="0">
    <w:p w:rsidR="00C83DA7" w:rsidRDefault="00C83DA7"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E7CFE"/>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2FD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1FF2"/>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8A2"/>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3DA7"/>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0EB0"/>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B64DD"/>
  <w15:docId w15:val="{00E0478F-7A41-4777-8548-41C36D27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8174-471D-4A71-A7B6-3488A448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2802</Characters>
  <Application>Microsoft Office Word</Application>
  <DocSecurity>0</DocSecurity>
  <Lines>23</Lines>
  <Paragraphs>6</Paragraphs>
  <ScaleCrop>false</ScaleCrop>
  <Company>shenduxitong</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晁梦婷</cp:lastModifiedBy>
  <cp:revision>4</cp:revision>
  <dcterms:created xsi:type="dcterms:W3CDTF">2020-11-12T07:55:00Z</dcterms:created>
  <dcterms:modified xsi:type="dcterms:W3CDTF">2020-11-20T08:42:00Z</dcterms:modified>
</cp:coreProperties>
</file>