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w:t>
      </w:r>
      <w:proofErr w:type="gramStart"/>
      <w:r w:rsidRPr="00707C6B">
        <w:rPr>
          <w:rFonts w:ascii="仿宋" w:eastAsia="仿宋" w:hAnsi="仿宋" w:cs="仿宋_GB2312" w:hint="eastAsia"/>
          <w:kern w:val="0"/>
          <w:sz w:val="36"/>
          <w:szCs w:val="36"/>
        </w:rPr>
        <w:t>发价值</w:t>
      </w:r>
      <w:proofErr w:type="gramEnd"/>
      <w:r w:rsidRPr="00707C6B">
        <w:rPr>
          <w:rFonts w:ascii="仿宋" w:eastAsia="仿宋" w:hAnsi="仿宋" w:cs="仿宋_GB2312" w:hint="eastAsia"/>
          <w:kern w:val="0"/>
          <w:sz w:val="36"/>
          <w:szCs w:val="36"/>
        </w:rPr>
        <w:t>核心混合型证券投资基金（广</w:t>
      </w:r>
      <w:proofErr w:type="gramStart"/>
      <w:r w:rsidRPr="00707C6B">
        <w:rPr>
          <w:rFonts w:ascii="仿宋" w:eastAsia="仿宋" w:hAnsi="仿宋" w:cs="仿宋_GB2312" w:hint="eastAsia"/>
          <w:kern w:val="0"/>
          <w:sz w:val="36"/>
          <w:szCs w:val="36"/>
        </w:rPr>
        <w:t>发价值</w:t>
      </w:r>
      <w:proofErr w:type="gramEnd"/>
      <w:r w:rsidRPr="00707C6B">
        <w:rPr>
          <w:rFonts w:ascii="仿宋" w:eastAsia="仿宋" w:hAnsi="仿宋" w:cs="仿宋_GB2312" w:hint="eastAsia"/>
          <w:kern w:val="0"/>
          <w:sz w:val="36"/>
          <w:szCs w:val="36"/>
        </w:rPr>
        <w:t>核心混合A）基金产品资料概要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编制日期：2020年12月15日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送出日期：2020年12月1</w:t>
      </w:r>
      <w:r w:rsidR="00AB4DB9">
        <w:rPr>
          <w:rFonts w:ascii="仿宋" w:eastAsia="仿宋" w:hAnsi="仿宋" w:cs="方正仿宋简体"/>
          <w:iCs/>
          <w:sz w:val="24"/>
          <w:szCs w:val="24"/>
        </w:rPr>
        <w:t>8</w:t>
      </w:r>
      <w:bookmarkStart w:id="0" w:name="_GoBack"/>
      <w:bookmarkEnd w:id="0"/>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w:t>
            </w:r>
            <w:proofErr w:type="gramStart"/>
            <w:r w:rsidRPr="00707C6B">
              <w:rPr>
                <w:rFonts w:ascii="仿宋" w:eastAsia="仿宋" w:hAnsi="仿宋" w:cs="方正仿宋简体" w:hint="eastAsia"/>
                <w:iCs/>
              </w:rPr>
              <w:t>发价值</w:t>
            </w:r>
            <w:proofErr w:type="gramEnd"/>
            <w:r w:rsidRPr="00707C6B">
              <w:rPr>
                <w:rFonts w:ascii="仿宋" w:eastAsia="仿宋" w:hAnsi="仿宋" w:cs="方正仿宋简体" w:hint="eastAsia"/>
                <w:iCs/>
              </w:rPr>
              <w:t>核心混合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010377</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w:t>
            </w:r>
            <w:proofErr w:type="gramStart"/>
            <w:r w:rsidRPr="00707C6B">
              <w:rPr>
                <w:rFonts w:ascii="仿宋" w:eastAsia="仿宋" w:hAnsi="仿宋" w:cs="方正仿宋简体"/>
                <w:iCs/>
              </w:rPr>
              <w:t>发价值</w:t>
            </w:r>
            <w:proofErr w:type="gramEnd"/>
            <w:r w:rsidRPr="00707C6B">
              <w:rPr>
                <w:rFonts w:ascii="仿宋" w:eastAsia="仿宋" w:hAnsi="仿宋" w:cs="方正仿宋简体"/>
                <w:iCs/>
              </w:rPr>
              <w:t>核心混合A</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010377</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招商银行股份有限公司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张东</w:t>
            </w:r>
            <w:proofErr w:type="gramStart"/>
            <w:r w:rsidRPr="00707C6B">
              <w:rPr>
                <w:rFonts w:ascii="仿宋" w:eastAsia="仿宋" w:hAnsi="仿宋" w:cs="方正仿宋简体"/>
                <w:iCs/>
              </w:rPr>
              <w:t>一</w:t>
            </w:r>
            <w:proofErr w:type="gramEnd"/>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2008-02-18</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本基金在深入研究的基础上，精选具有估值优势和核心竞争力的公司股票进行投资，在严格控制风险的前提下，追求超越业绩比较基准的投资回报。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境内依法发行上市的股票（包括中小板、创业板及其他依法发行上市的股票）、港股通标的股票、债券（包括国内依法发行和上市交易的国债、地方政府债、金融债、企业债、公司债、次级债、可转换债券、分离交易可转债</w:t>
            </w:r>
            <w:proofErr w:type="gramStart"/>
            <w:r w:rsidRPr="00707C6B">
              <w:rPr>
                <w:rFonts w:ascii="仿宋" w:eastAsia="仿宋" w:hAnsi="仿宋" w:cs="仿宋_GB2312" w:hint="eastAsia"/>
                <w:kern w:val="0"/>
                <w:szCs w:val="24"/>
              </w:rPr>
              <w:t>的纯债部分</w:t>
            </w:r>
            <w:proofErr w:type="gramEnd"/>
            <w:r w:rsidRPr="00707C6B">
              <w:rPr>
                <w:rFonts w:ascii="仿宋" w:eastAsia="仿宋" w:hAnsi="仿宋" w:cs="仿宋_GB2312" w:hint="eastAsia"/>
                <w:kern w:val="0"/>
                <w:szCs w:val="24"/>
              </w:rPr>
              <w:t>、可交换债券、央行票据、中期票据、短期融资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（包括超短期融资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）等）、资产支持证券、债券回购、同业存单、银行存款、股指期货、国债期货以及法律法规或中国证监会允许基金投资的其他金融工具（但须符合中国证监会相关规定）。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如法律法规或监管机构以后允许基金投资其他品种，基金管理人在履行适当程序后，可以将其纳入投资范围，并可依据届时有效的法律法规适时合理地调整投资范围。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混合型基金，基金的投资组合比例为：股票资产占基金资产的比例为60%-95%，其中投资于港股通标的股票不超过股票资产的50%；每个交易日日终在扣除股指期货合约和国债期货合约需缴纳的交易保证金后，应当保持现金或者到期日在一年以内的政府债券不低于基金资产净值的5%，其中现金不得包括</w:t>
            </w:r>
            <w:r w:rsidRPr="00707C6B">
              <w:rPr>
                <w:rFonts w:ascii="仿宋" w:eastAsia="仿宋" w:hAnsi="仿宋" w:cs="仿宋_GB2312" w:hint="eastAsia"/>
                <w:kern w:val="0"/>
                <w:szCs w:val="24"/>
              </w:rPr>
              <w:lastRenderedPageBreak/>
              <w:t>结算备付金、存出保证金及应收申购款等；股指期货、国债期货及其他金融工具的投资比例依照法律法规或监管机构的规定执行。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如法律法规或监管机构以后允许基金投资其他品种或对投资比例要求有变更的，基金管理人在履行适当程序后，可以做出相应调整。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具体包括：1、资产配置策略；2、股票投资策略；3、债券投资策略；4、资产支持证券投资策略；5、股指期货、国债期货投资策略。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沪深300指数收益率×40%+人民币计价的恒生指数收益率×40%+中</w:t>
            </w:r>
            <w:proofErr w:type="gramStart"/>
            <w:r w:rsidRPr="00707C6B">
              <w:rPr>
                <w:rFonts w:ascii="仿宋" w:eastAsia="仿宋" w:hAnsi="仿宋" w:cs="仿宋_GB2312" w:hint="eastAsia"/>
                <w:kern w:val="0"/>
                <w:szCs w:val="24"/>
              </w:rPr>
              <w:t>证全债指数</w:t>
            </w:r>
            <w:proofErr w:type="gramEnd"/>
            <w:r w:rsidRPr="00707C6B">
              <w:rPr>
                <w:rFonts w:ascii="仿宋" w:eastAsia="仿宋" w:hAnsi="仿宋" w:cs="仿宋_GB2312" w:hint="eastAsia"/>
                <w:kern w:val="0"/>
                <w:szCs w:val="24"/>
              </w:rPr>
              <w:t>收益率×20%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本基金资产投资于港股，会面临港股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下因投资环境、投资标的、市场制度以及交易规则等差异带来的特有风险，包括港股市场股价波动较大的风险（港股市</w:t>
            </w:r>
            <w:proofErr w:type="gramStart"/>
            <w:r w:rsidRPr="00707C6B">
              <w:rPr>
                <w:rFonts w:ascii="仿宋" w:eastAsia="仿宋" w:hAnsi="仿宋" w:cs="仿宋_GB2312" w:hint="eastAsia"/>
                <w:kern w:val="0"/>
                <w:szCs w:val="24"/>
              </w:rPr>
              <w:t>场实行</w:t>
            </w:r>
            <w:proofErr w:type="gramEnd"/>
            <w:r w:rsidRPr="00707C6B">
              <w:rPr>
                <w:rFonts w:ascii="仿宋" w:eastAsia="仿宋" w:hAnsi="仿宋" w:cs="仿宋_GB2312" w:hint="eastAsia"/>
                <w:kern w:val="0"/>
                <w:szCs w:val="24"/>
              </w:rPr>
              <w:t>T+0回转交易，且对个股不设涨跌幅限制，港股股价可能表现出比A股更为剧烈的股价波动）、汇率风险（汇率波动可能对基金的投资收益造成损失）、港股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下交易日不连贯可能带来的风险（在内地开市香港休市的情形下，港股</w:t>
            </w:r>
            <w:proofErr w:type="gramStart"/>
            <w:r w:rsidRPr="00707C6B">
              <w:rPr>
                <w:rFonts w:ascii="仿宋" w:eastAsia="仿宋" w:hAnsi="仿宋" w:cs="仿宋_GB2312" w:hint="eastAsia"/>
                <w:kern w:val="0"/>
                <w:szCs w:val="24"/>
              </w:rPr>
              <w:t>通不能</w:t>
            </w:r>
            <w:proofErr w:type="gramEnd"/>
            <w:r w:rsidRPr="00707C6B">
              <w:rPr>
                <w:rFonts w:ascii="仿宋" w:eastAsia="仿宋" w:hAnsi="仿宋" w:cs="仿宋_GB2312" w:hint="eastAsia"/>
                <w:kern w:val="0"/>
                <w:szCs w:val="24"/>
              </w:rPr>
              <w:t>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注：详见《广发价值核心混合型证券投资基金招募说明书》及其更新文件中“基金的投资”。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684"/>
        <w:gridCol w:w="2968"/>
        <w:gridCol w:w="1548"/>
        <w:gridCol w:w="2438"/>
      </w:tblGrid>
      <w:tr w:rsidR="000612DA" w:rsidRPr="00707C6B" w:rsidTr="00084383">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3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0.80%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0.08%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0.90%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0.15%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0.09%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0.03%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lastRenderedPageBreak/>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0.75%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30日 ≤ N &lt; 180日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180日 ≤ N &lt; 365日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365日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EE0C11">
      <w:pPr>
        <w:autoSpaceDE w:val="0"/>
        <w:autoSpaceDN w:val="0"/>
        <w:adjustRightInd w:val="0"/>
        <w:spacing w:line="280" w:lineRule="exact"/>
        <w:jc w:val="left"/>
        <w:rPr>
          <w:rFonts w:ascii="仿宋" w:eastAsia="仿宋" w:hAnsi="仿宋" w:cs="方正仿宋简体"/>
          <w:iCs/>
        </w:rPr>
      </w:pPr>
      <w:r w:rsidRPr="00707C6B">
        <w:rPr>
          <w:rFonts w:ascii="仿宋" w:eastAsia="仿宋" w:hAnsi="仿宋" w:cs="方正仿宋简体" w:hint="eastAsia"/>
          <w:b/>
          <w:iCs/>
        </w:rPr>
        <w:t>注：</w:t>
      </w:r>
      <w:r w:rsidR="00F011DF">
        <w:rPr>
          <w:rFonts w:ascii="仿宋" w:eastAsia="仿宋" w:hAnsi="仿宋" w:cs="方正仿宋简体" w:hint="eastAsia"/>
          <w:iCs/>
        </w:rPr>
        <w:t>1、本基金的认/申购</w:t>
      </w:r>
      <w:proofErr w:type="gramStart"/>
      <w:r w:rsidR="00F011DF">
        <w:rPr>
          <w:rFonts w:ascii="仿宋" w:eastAsia="仿宋" w:hAnsi="仿宋" w:cs="方正仿宋简体" w:hint="eastAsia"/>
          <w:iCs/>
        </w:rPr>
        <w:t>费用由认</w:t>
      </w:r>
      <w:proofErr w:type="gramEnd"/>
      <w:r w:rsidR="00F011DF">
        <w:rPr>
          <w:rFonts w:ascii="仿宋" w:eastAsia="仿宋" w:hAnsi="仿宋" w:cs="方正仿宋简体" w:hint="eastAsia"/>
          <w:iCs/>
        </w:rPr>
        <w:t>/申购人承担，可用于市场推广、销售、注册登记等各项费用，不列入基金资产。基金销售机构可以对销售费用实行一定的优惠，具体以实际收取为准。</w:t>
      </w:r>
    </w:p>
    <w:p w:rsidR="000612DA" w:rsidRPr="00707C6B" w:rsidRDefault="00F011DF">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t>2、特定客户通过直销中心认/申购本基金时，方适用上述特定客户认/申购费率。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 xml:space="preserve">《基金合同》生效后与基金相关的信息披露费用、会计师费、律师费、诉讼费、基金份额持有人大会费用、基金的证券交易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w:t>
      </w:r>
      <w:proofErr w:type="gramStart"/>
      <w:r>
        <w:rPr>
          <w:rFonts w:ascii="仿宋" w:eastAsia="仿宋" w:hAnsi="仿宋" w:cs="方正仿宋简体" w:hint="eastAsia"/>
          <w:iCs/>
        </w:rPr>
        <w:t>港股通可投资</w:t>
      </w:r>
      <w:proofErr w:type="gramEnd"/>
      <w:r>
        <w:rPr>
          <w:rFonts w:ascii="仿宋" w:eastAsia="仿宋" w:hAnsi="仿宋" w:cs="方正仿宋简体" w:hint="eastAsia"/>
          <w:iCs/>
        </w:rPr>
        <w:t>标的范围调整带来的风险、境外市场的风险。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（3）本基金可投资于股指期货、国债期货、资产支持证券等特定品种，将面临投资上述品种所产生特定的风险，可能给基金净值带来不利影响或损失。</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w:t>
      </w:r>
      <w:r>
        <w:rPr>
          <w:rFonts w:ascii="仿宋" w:eastAsia="仿宋" w:hAnsi="仿宋" w:cs="方正仿宋简体" w:hint="eastAsia"/>
          <w:iCs/>
        </w:rPr>
        <w:lastRenderedPageBreak/>
        <w:t>获取基金的相关信息，敬请同时关注基金管理人发布的相关临时公告及定期报告等。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（1）《广发价值核心混合型证券投资基金基金合同》</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（2）《广发价值核心混合型证券投资基金托管协议》</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（3）《广发价值核心混合型证券投资基金招募说明书》</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68" w:rsidRDefault="004D7068" w:rsidP="0092395F">
      <w:r>
        <w:separator/>
      </w:r>
    </w:p>
  </w:endnote>
  <w:endnote w:type="continuationSeparator" w:id="0">
    <w:p w:rsidR="004D7068" w:rsidRDefault="004D7068"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4DB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4DB9">
              <w:rPr>
                <w:b/>
                <w:bCs/>
                <w:noProof/>
              </w:rPr>
              <w:t>4</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68" w:rsidRDefault="004D7068" w:rsidP="0092395F">
      <w:r>
        <w:separator/>
      </w:r>
    </w:p>
  </w:footnote>
  <w:footnote w:type="continuationSeparator" w:id="0">
    <w:p w:rsidR="004D7068" w:rsidRDefault="004D7068"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24ACC"/>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39F2"/>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D7068"/>
    <w:rsid w:val="004E01B5"/>
    <w:rsid w:val="004E0E97"/>
    <w:rsid w:val="004E1F62"/>
    <w:rsid w:val="004E275A"/>
    <w:rsid w:val="004E29D3"/>
    <w:rsid w:val="004E46D3"/>
    <w:rsid w:val="004E55B4"/>
    <w:rsid w:val="004E5A80"/>
    <w:rsid w:val="004E607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4DB9"/>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11DF"/>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3A9C"/>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4CE62"/>
  <w15:docId w15:val="{FCC2652E-BC04-43D4-B42D-196E5042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C065-237F-4B22-9111-924E2593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3425</Characters>
  <Application>Microsoft Office Word</Application>
  <DocSecurity>0</DocSecurity>
  <Lines>28</Lines>
  <Paragraphs>8</Paragraphs>
  <ScaleCrop>false</ScaleCrop>
  <Company>shenduxitong</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3</cp:revision>
  <dcterms:created xsi:type="dcterms:W3CDTF">2020-12-15T05:58:00Z</dcterms:created>
  <dcterms:modified xsi:type="dcterms:W3CDTF">2020-12-16T09:28:00Z</dcterms:modified>
</cp:coreProperties>
</file>