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707C6B" w:rsidRDefault="00EE0C1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w:t>
      </w:r>
      <w:proofErr w:type="gramStart"/>
      <w:r w:rsidRPr="00707C6B">
        <w:rPr>
          <w:rFonts w:ascii="仿宋" w:eastAsia="仿宋" w:hAnsi="仿宋" w:cs="仿宋_GB2312" w:hint="eastAsia"/>
          <w:kern w:val="0"/>
          <w:sz w:val="36"/>
          <w:szCs w:val="36"/>
        </w:rPr>
        <w:t>发恒誉</w:t>
      </w:r>
      <w:proofErr w:type="gramEnd"/>
      <w:r w:rsidRPr="00707C6B">
        <w:rPr>
          <w:rFonts w:ascii="仿宋" w:eastAsia="仿宋" w:hAnsi="仿宋" w:cs="仿宋_GB2312" w:hint="eastAsia"/>
          <w:kern w:val="0"/>
          <w:sz w:val="36"/>
          <w:szCs w:val="36"/>
        </w:rPr>
        <w:t>混合型证券投资基金（广</w:t>
      </w:r>
      <w:proofErr w:type="gramStart"/>
      <w:r w:rsidRPr="00707C6B">
        <w:rPr>
          <w:rFonts w:ascii="仿宋" w:eastAsia="仿宋" w:hAnsi="仿宋" w:cs="仿宋_GB2312" w:hint="eastAsia"/>
          <w:kern w:val="0"/>
          <w:sz w:val="36"/>
          <w:szCs w:val="36"/>
        </w:rPr>
        <w:t>发恒誉</w:t>
      </w:r>
      <w:proofErr w:type="gramEnd"/>
      <w:r w:rsidRPr="00707C6B">
        <w:rPr>
          <w:rFonts w:ascii="仿宋" w:eastAsia="仿宋" w:hAnsi="仿宋" w:cs="仿宋_GB2312" w:hint="eastAsia"/>
          <w:kern w:val="0"/>
          <w:sz w:val="36"/>
          <w:szCs w:val="36"/>
        </w:rPr>
        <w:t>混合C）基金产品资料概要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编制日期：2020年11月5日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送出日期：2020年11月1</w:t>
      </w:r>
      <w:r w:rsidR="0031792C">
        <w:rPr>
          <w:rFonts w:ascii="仿宋" w:eastAsia="仿宋" w:hAnsi="仿宋" w:cs="方正仿宋简体"/>
          <w:iCs/>
          <w:sz w:val="24"/>
          <w:szCs w:val="24"/>
        </w:rPr>
        <w:t>8</w:t>
      </w:r>
      <w:r w:rsidR="00EE0C11" w:rsidRPr="00707C6B">
        <w:rPr>
          <w:rFonts w:ascii="仿宋" w:eastAsia="仿宋" w:hAnsi="仿宋" w:cs="方正仿宋简体" w:hint="eastAsia"/>
          <w:iCs/>
          <w:sz w:val="24"/>
          <w:szCs w:val="24"/>
        </w:rPr>
        <w:t>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proofErr w:type="gramStart"/>
      <w:r w:rsidRPr="00707C6B">
        <w:rPr>
          <w:rFonts w:ascii="仿宋" w:eastAsia="仿宋" w:hAnsi="仿宋" w:cs="黑体" w:hint="eastAsia"/>
          <w:kern w:val="0"/>
          <w:sz w:val="24"/>
          <w:szCs w:val="24"/>
        </w:rPr>
        <w:t>作出</w:t>
      </w:r>
      <w:proofErr w:type="gramEnd"/>
      <w:r w:rsidRPr="00707C6B">
        <w:rPr>
          <w:rFonts w:ascii="仿宋" w:eastAsia="仿宋" w:hAnsi="仿宋" w:cs="黑体" w:hint="eastAsia"/>
          <w:kern w:val="0"/>
          <w:sz w:val="24"/>
          <w:szCs w:val="24"/>
        </w:rPr>
        <w:t>投资决定前，请阅读完整的招募说明书等销售文件。</w:t>
      </w:r>
      <w:bookmarkStart w:id="0" w:name="_GoBack"/>
      <w:bookmarkEnd w:id="0"/>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06"/>
        <w:gridCol w:w="2724"/>
        <w:gridCol w:w="1926"/>
        <w:gridCol w:w="2782"/>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w:t>
            </w:r>
            <w:proofErr w:type="gramStart"/>
            <w:r w:rsidRPr="00707C6B">
              <w:rPr>
                <w:rFonts w:ascii="仿宋" w:eastAsia="仿宋" w:hAnsi="仿宋" w:cs="方正仿宋简体" w:hint="eastAsia"/>
                <w:iCs/>
              </w:rPr>
              <w:t>发恒誉</w:t>
            </w:r>
            <w:proofErr w:type="gramEnd"/>
            <w:r w:rsidRPr="00707C6B">
              <w:rPr>
                <w:rFonts w:ascii="仿宋" w:eastAsia="仿宋" w:hAnsi="仿宋" w:cs="方正仿宋简体" w:hint="eastAsia"/>
                <w:iCs/>
              </w:rPr>
              <w:t>混合</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009956</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nil"/>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w:t>
            </w:r>
            <w:proofErr w:type="gramStart"/>
            <w:r w:rsidRPr="00707C6B">
              <w:rPr>
                <w:rFonts w:ascii="仿宋" w:eastAsia="仿宋" w:hAnsi="仿宋" w:cs="方正仿宋简体"/>
                <w:iCs/>
              </w:rPr>
              <w:t>发恒誉</w:t>
            </w:r>
            <w:proofErr w:type="gramEnd"/>
            <w:r w:rsidRPr="00707C6B">
              <w:rPr>
                <w:rFonts w:ascii="仿宋" w:eastAsia="仿宋" w:hAnsi="仿宋" w:cs="方正仿宋简体"/>
                <w:iCs/>
              </w:rPr>
              <w:t>混合C</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nil"/>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009957</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中国工商银行股份有限公司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0612DA">
            <w:pPr>
              <w:spacing w:line="280" w:lineRule="exact"/>
              <w:rPr>
                <w:rFonts w:ascii="仿宋" w:eastAsia="仿宋" w:hAnsi="仿宋" w:cs="方正仿宋简体"/>
                <w:b/>
                <w:iCs/>
              </w:rPr>
            </w:pP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混合型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人民币</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谭昌杰</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w:t>
            </w:r>
            <w:proofErr w:type="gramStart"/>
            <w:r w:rsidRPr="00707C6B">
              <w:rPr>
                <w:rFonts w:ascii="仿宋" w:eastAsia="仿宋" w:hAnsi="仿宋" w:cs="方正仿宋简体" w:hint="eastAsia"/>
                <w:b/>
                <w:iCs/>
              </w:rPr>
              <w:t>基金基金</w:t>
            </w:r>
            <w:proofErr w:type="gramEnd"/>
            <w:r w:rsidRPr="00707C6B">
              <w:rPr>
                <w:rFonts w:ascii="仿宋" w:eastAsia="仿宋" w:hAnsi="仿宋" w:cs="方正仿宋简体" w:hint="eastAsia"/>
                <w:b/>
                <w:iCs/>
              </w:rPr>
              <w:t>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2008-07-01</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基金合同》生效后，连续二十个工作日出现基金份额持有人数量不满200人或者基金资产净值低于5000万元人民币情形的，基金管理人应在定期报告中予以披露；连续五十个工作日出现前述情形的，基金管理人应当终止基金合同，并按照基金合同的约定程序进行清算，不需要召开基金份额持有人大会进行表决。</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法律法规或中国证监会另有规定时，从其规定。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367"/>
        <w:gridCol w:w="7271"/>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本基金在严格控制风险和保持资产流动性的基础上，通过对不同资产类别的优化配置，充分挖掘市场潜在的投资机会，力求实现基金资产的长期稳健增值。</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的投资范围为具有良好流动性的金融工具，包括国内依法发行上市的股票（包括中小板、创业板及其他依法发行、上市的股票）、港股通标的股票、债券（包括国债、地方政府债、金融债、企业债、公司债、公开发行的次级债、可转换债券（含分离交易可转债）、可交换债券、二级资本债、永续债、央行票据、中期票据、短期融资</w:t>
            </w:r>
            <w:proofErr w:type="gramStart"/>
            <w:r w:rsidRPr="00707C6B">
              <w:rPr>
                <w:rFonts w:ascii="仿宋" w:eastAsia="仿宋" w:hAnsi="仿宋" w:cs="仿宋_GB2312" w:hint="eastAsia"/>
                <w:kern w:val="0"/>
                <w:szCs w:val="24"/>
              </w:rPr>
              <w:t>券</w:t>
            </w:r>
            <w:proofErr w:type="gramEnd"/>
            <w:r w:rsidRPr="00707C6B">
              <w:rPr>
                <w:rFonts w:ascii="仿宋" w:eastAsia="仿宋" w:hAnsi="仿宋" w:cs="仿宋_GB2312" w:hint="eastAsia"/>
                <w:kern w:val="0"/>
                <w:szCs w:val="24"/>
              </w:rPr>
              <w:t>）、资产支持证券、债券回购、银行存款、同业存单、货币市场工具、股指期货、国债期货以及法律法规或中国证监会允许基金投资的其他金融工具（但须符合中国证监会相关规定）。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本基金投资的信用债的主体或者债项评级不低于AAA级。</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如法律法规或监管机构以后允许基金投资其他品种，基金管理人在履行适当程序后，可以将其纳入投资范围。</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为混合型基金，基金的投资组合比例为：股票投资占基金资产的比例为0-30%（其中投资于港股通标的股票的比例不得超过股票资产的50%）；同业存单投资占基金资产的比例不超过20%；每个交易日日终在扣除国债期货和股指期货合约需缴纳的交易保证金后，现金或到期日在一年以内的政府债券不低于</w:t>
            </w:r>
            <w:r w:rsidRPr="00707C6B">
              <w:rPr>
                <w:rFonts w:ascii="仿宋" w:eastAsia="仿宋" w:hAnsi="仿宋" w:cs="仿宋_GB2312" w:hint="eastAsia"/>
                <w:kern w:val="0"/>
                <w:szCs w:val="24"/>
              </w:rPr>
              <w:lastRenderedPageBreak/>
              <w:t>基金资产净值的5%，其中现金不包括结算备付金、存出保证金和应收申购款等；股指期货、国债期货及其他金融工具的投资比例依照法律法规或监管机构的规定执行。</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如法律法规或监管机构以后允许基金投资其他品种或对投资比例要求有变更的，基金管理人在履行适当程序后，可以做出相应调整。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lastRenderedPageBreak/>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具体包括：1、大类资产配置；2、债券投资策略；3、股票投资策略；4、金融衍生</w:t>
            </w:r>
            <w:proofErr w:type="gramStart"/>
            <w:r w:rsidRPr="00707C6B">
              <w:rPr>
                <w:rFonts w:ascii="仿宋" w:eastAsia="仿宋" w:hAnsi="仿宋" w:cs="仿宋_GB2312" w:hint="eastAsia"/>
                <w:kern w:val="0"/>
                <w:szCs w:val="24"/>
              </w:rPr>
              <w:t>品投资</w:t>
            </w:r>
            <w:proofErr w:type="gramEnd"/>
            <w:r w:rsidRPr="00707C6B">
              <w:rPr>
                <w:rFonts w:ascii="仿宋" w:eastAsia="仿宋" w:hAnsi="仿宋" w:cs="仿宋_GB2312" w:hint="eastAsia"/>
                <w:kern w:val="0"/>
                <w:szCs w:val="24"/>
              </w:rPr>
              <w:t>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沪深300指数收益率×15%+人民币计价的恒生指数收益率×5%＋中</w:t>
            </w:r>
            <w:proofErr w:type="gramStart"/>
            <w:r w:rsidRPr="00707C6B">
              <w:rPr>
                <w:rFonts w:ascii="仿宋" w:eastAsia="仿宋" w:hAnsi="仿宋" w:cs="仿宋_GB2312" w:hint="eastAsia"/>
                <w:kern w:val="0"/>
                <w:szCs w:val="24"/>
              </w:rPr>
              <w:t>证全债指数</w:t>
            </w:r>
            <w:proofErr w:type="gramEnd"/>
            <w:r w:rsidRPr="00707C6B">
              <w:rPr>
                <w:rFonts w:ascii="仿宋" w:eastAsia="仿宋" w:hAnsi="仿宋" w:cs="仿宋_GB2312" w:hint="eastAsia"/>
                <w:kern w:val="0"/>
                <w:szCs w:val="24"/>
              </w:rPr>
              <w:t>收益率×80%。</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本基金是混合型基金，其预期收益及风险水平高于货币市场基金和债券型基金，低于股票型基金。</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本基金投资于港股通标的股票，会面临港股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下因投资环境、投资标的、市场制度以及交易规则等差异带来的特有风险，包括港股市场股价波动较大的风险（港股市</w:t>
            </w:r>
            <w:proofErr w:type="gramStart"/>
            <w:r w:rsidRPr="00707C6B">
              <w:rPr>
                <w:rFonts w:ascii="仿宋" w:eastAsia="仿宋" w:hAnsi="仿宋" w:cs="仿宋_GB2312" w:hint="eastAsia"/>
                <w:kern w:val="0"/>
                <w:szCs w:val="24"/>
              </w:rPr>
              <w:t>场实行</w:t>
            </w:r>
            <w:proofErr w:type="gramEnd"/>
            <w:r w:rsidRPr="00707C6B">
              <w:rPr>
                <w:rFonts w:ascii="仿宋" w:eastAsia="仿宋" w:hAnsi="仿宋" w:cs="仿宋_GB2312" w:hint="eastAsia"/>
                <w:kern w:val="0"/>
                <w:szCs w:val="24"/>
              </w:rPr>
              <w:t>T+0回转交易，且对个股不设涨跌幅限制，港股股价可能表现出比A股更为剧烈的股价波动）、汇率风险（汇率波动可能对基金的投资收益造成损失）、港股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下交易日不连贯可能带来的风险（在内地开市香港休市的情形下，港股</w:t>
            </w:r>
            <w:proofErr w:type="gramStart"/>
            <w:r w:rsidRPr="00707C6B">
              <w:rPr>
                <w:rFonts w:ascii="仿宋" w:eastAsia="仿宋" w:hAnsi="仿宋" w:cs="仿宋_GB2312" w:hint="eastAsia"/>
                <w:kern w:val="0"/>
                <w:szCs w:val="24"/>
              </w:rPr>
              <w:t>通不能</w:t>
            </w:r>
            <w:proofErr w:type="gramEnd"/>
            <w:r w:rsidRPr="00707C6B">
              <w:rPr>
                <w:rFonts w:ascii="仿宋" w:eastAsia="仿宋" w:hAnsi="仿宋" w:cs="仿宋_GB2312" w:hint="eastAsia"/>
                <w:kern w:val="0"/>
                <w:szCs w:val="24"/>
              </w:rPr>
              <w:t>正常交易，港股不能及时卖出，可能带来一定的流动性风险）等。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注：详见《广发恒誉混合型证券投资基金招募说明书》及其更新文件中“基金的投资”。</w:t>
      </w:r>
    </w:p>
    <w:p w:rsidR="000612DA" w:rsidRPr="00707C6B" w:rsidRDefault="000612DA">
      <w:pPr>
        <w:spacing w:line="280" w:lineRule="exact"/>
        <w:rPr>
          <w:rFonts w:ascii="仿宋" w:eastAsia="仿宋" w:hAnsi="仿宋" w:cs="仿宋_GB2312"/>
          <w:kern w:val="0"/>
          <w:szCs w:val="24"/>
        </w:rPr>
      </w:pP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EE0C11" w:rsidP="00265B51">
      <w:pPr>
        <w:jc w:val="left"/>
        <w:rPr>
          <w:rFonts w:ascii="仿宋" w:eastAsia="仿宋" w:hAnsi="仿宋" w:cs="方正仿宋简体"/>
          <w:b/>
          <w:iCs/>
          <w:sz w:val="24"/>
          <w:szCs w:val="24"/>
        </w:rPr>
      </w:pPr>
      <w:r w:rsidRPr="00707C6B">
        <w:rPr>
          <w:rFonts w:ascii="仿宋" w:eastAsia="仿宋" w:hAnsi="仿宋"/>
          <w:color w:val="000000" w:themeColor="text1"/>
        </w:rPr>
        <w:t>无</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EE0C11">
      <w:pPr>
        <w:autoSpaceDE w:val="0"/>
        <w:autoSpaceDN w:val="0"/>
        <w:adjustRightInd w:val="0"/>
        <w:spacing w:line="280" w:lineRule="exact"/>
        <w:jc w:val="left"/>
        <w:rPr>
          <w:rFonts w:ascii="仿宋" w:eastAsia="仿宋" w:hAnsi="仿宋"/>
          <w:color w:val="000000" w:themeColor="text1"/>
        </w:rPr>
      </w:pPr>
      <w:r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800"/>
        <w:gridCol w:w="2851"/>
        <w:gridCol w:w="1664"/>
        <w:gridCol w:w="2323"/>
      </w:tblGrid>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47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6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0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本基金C类份额无认购费</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本基金C类份额无申购费</w:t>
            </w:r>
          </w:p>
        </w:tc>
      </w:tr>
      <w:tr w:rsidR="000612DA" w:rsidRPr="00707C6B" w:rsidTr="00084383">
        <w:trPr>
          <w:trHeight w:val="227"/>
        </w:trPr>
        <w:tc>
          <w:tcPr>
            <w:tcW w:w="1453"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&lt; 7日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453"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7日 ≤ N &lt; 30日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0.50%  </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453"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 30日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0.00%  </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bl>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649"/>
        <w:gridCol w:w="5989"/>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0.80%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0.20%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销售服务费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0.40%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EE0C11" w:rsidP="003D461D">
            <w:pPr>
              <w:spacing w:line="280" w:lineRule="exact"/>
              <w:jc w:val="left"/>
              <w:rPr>
                <w:rFonts w:ascii="仿宋" w:eastAsia="仿宋" w:hAnsi="仿宋" w:cs="方正仿宋简体"/>
                <w:bCs/>
                <w:iCs/>
              </w:rPr>
            </w:pPr>
            <w:r w:rsidRPr="00707C6B">
              <w:rPr>
                <w:rFonts w:ascii="仿宋" w:eastAsia="仿宋" w:hAnsi="仿宋" w:cs="方正仿宋简体" w:hint="eastAsia"/>
                <w:bCs/>
                <w:iCs/>
              </w:rPr>
              <w:t>《基金合同》生效后与基金相关的信息披露费用、会计师费、</w:t>
            </w:r>
            <w:r w:rsidRPr="00707C6B">
              <w:rPr>
                <w:rFonts w:ascii="仿宋" w:eastAsia="仿宋" w:hAnsi="仿宋" w:cs="方正仿宋简体" w:hint="eastAsia"/>
                <w:bCs/>
                <w:iCs/>
              </w:rPr>
              <w:lastRenderedPageBreak/>
              <w:t xml:space="preserve">律师费、诉讼费、基金份额持有人大会费用、基金的证券交易费用、基金的银行汇划费用、基金相关账户的开户及维护费等费用，和按照国家有关规定和《基金合同》约定，可以在基金财产中列支的其他费用。 </w:t>
            </w:r>
          </w:p>
        </w:tc>
      </w:tr>
    </w:tbl>
    <w:p w:rsidR="000612DA" w:rsidRPr="00707C6B" w:rsidRDefault="00EE0C11">
      <w:pPr>
        <w:autoSpaceDE w:val="0"/>
        <w:autoSpaceDN w:val="0"/>
        <w:adjustRightInd w:val="0"/>
        <w:spacing w:line="280" w:lineRule="exact"/>
        <w:jc w:val="left"/>
        <w:rPr>
          <w:rFonts w:ascii="仿宋" w:eastAsia="仿宋" w:hAnsi="仿宋" w:cs="方正仿宋简体"/>
          <w:bCs/>
          <w:iCs/>
        </w:rPr>
      </w:pPr>
      <w:r w:rsidRPr="00707C6B">
        <w:rPr>
          <w:rFonts w:ascii="仿宋" w:eastAsia="仿宋" w:hAnsi="仿宋" w:cs="方正仿宋简体" w:hint="eastAsia"/>
          <w:bCs/>
          <w:iCs/>
        </w:rPr>
        <w:lastRenderedPageBreak/>
        <w:t>注： 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本基金不提供任何保证。投资者可能损失投资本金。</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投资有风险，投资者购买基金时应认真阅读本基金的《招募说明书》等销售文件。</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1、本基金特有的风险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（1）本基金《基金合同》生效后，连续五十个工作日出现基金份额持有人数量不满200人或者基金资产净值低于5000万元人民币的情形，基金合同将自动终止。</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（2）投资港股通标的股票的风险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w:t>
      </w:r>
      <w:proofErr w:type="gramStart"/>
      <w:r>
        <w:rPr>
          <w:rFonts w:ascii="仿宋" w:eastAsia="仿宋" w:hAnsi="仿宋" w:cs="方正仿宋简体" w:hint="eastAsia"/>
          <w:iCs/>
        </w:rPr>
        <w:t>港股通可投资</w:t>
      </w:r>
      <w:proofErr w:type="gramEnd"/>
      <w:r>
        <w:rPr>
          <w:rFonts w:ascii="仿宋" w:eastAsia="仿宋" w:hAnsi="仿宋" w:cs="方正仿宋简体" w:hint="eastAsia"/>
          <w:iCs/>
        </w:rPr>
        <w:t>标的范围调整带来的风险、境外市场的风险。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（3）本基金可投资于资产支持证券、股指期货、国债期货等特定品种，将面临投资上述品种所产生特定的风险，可能给基金净值带来不利影响或损失。</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2、开放式基金的共有风险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（1）市场风险；（2）管理风险；（3）职业道德风险；（4）流动性风险；（5）合</w:t>
      </w:r>
      <w:proofErr w:type="gramStart"/>
      <w:r>
        <w:rPr>
          <w:rFonts w:ascii="仿宋" w:eastAsia="仿宋" w:hAnsi="仿宋" w:cs="方正仿宋简体" w:hint="eastAsia"/>
          <w:iCs/>
        </w:rPr>
        <w:t>规</w:t>
      </w:r>
      <w:proofErr w:type="gramEnd"/>
      <w:r>
        <w:rPr>
          <w:rFonts w:ascii="仿宋" w:eastAsia="仿宋" w:hAnsi="仿宋" w:cs="方正仿宋简体" w:hint="eastAsia"/>
          <w:iCs/>
        </w:rPr>
        <w:t>性风险；（6）投资管理风险等。</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3、其他风险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中国证监会对本基金募集的注册，并不表明其对本基金的价值和收益</w:t>
      </w:r>
      <w:proofErr w:type="gramStart"/>
      <w:r>
        <w:rPr>
          <w:rFonts w:ascii="仿宋" w:eastAsia="仿宋" w:hAnsi="仿宋" w:cs="方正仿宋简体" w:hint="eastAsia"/>
          <w:iCs/>
        </w:rPr>
        <w:t>作出</w:t>
      </w:r>
      <w:proofErr w:type="gramEnd"/>
      <w:r>
        <w:rPr>
          <w:rFonts w:ascii="仿宋" w:eastAsia="仿宋" w:hAnsi="仿宋" w:cs="方正仿宋简体" w:hint="eastAsia"/>
          <w:iCs/>
        </w:rPr>
        <w:t>实质性判断或保证，也不表明投资于本基金没有风险。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基金管理人依照恪尽职守、诚实信用、谨慎勤勉的原则管理和运用基金财产，但不保证基金一定盈利，也不保证最低收益。</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基金</w:t>
      </w:r>
      <w:proofErr w:type="gramStart"/>
      <w:r>
        <w:rPr>
          <w:rFonts w:ascii="仿宋" w:eastAsia="仿宋" w:hAnsi="仿宋" w:cs="方正仿宋简体" w:hint="eastAsia"/>
          <w:iCs/>
        </w:rPr>
        <w:t>投资者自依基金</w:t>
      </w:r>
      <w:proofErr w:type="gramEnd"/>
      <w:r>
        <w:rPr>
          <w:rFonts w:ascii="仿宋" w:eastAsia="仿宋" w:hAnsi="仿宋" w:cs="方正仿宋简体" w:hint="eastAsia"/>
          <w:iCs/>
        </w:rPr>
        <w:t>合同取得基金份额，即成为基金份额持有人和基金合同的当事人。</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以下资料详见广发基金官方网站［www.gffunds.com.cn］［客服电话：95105828（免长途费）或020-83936999］</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（1）《广发恒誉混合型证券投资基金基金合同》</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（2）《广发恒誉混合型证券投资基金托管协议》</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（3）《广发恒誉混合型证券投资基金招募说明书》</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（4）定期报告，包括基金季度报告、中期报告和年度报告</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（5）基金份额净值</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（6）基金销售机构及联系方式</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（7）其他重要资料</w:t>
      </w:r>
    </w:p>
    <w:sectPr w:rsidR="000612DA" w:rsidRPr="00BD6ACC" w:rsidSect="008A5B3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019" w:rsidRDefault="00371019" w:rsidP="0092395F">
      <w:r>
        <w:separator/>
      </w:r>
    </w:p>
  </w:endnote>
  <w:endnote w:type="continuationSeparator" w:id="0">
    <w:p w:rsidR="00371019" w:rsidRDefault="00371019"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1792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792C">
              <w:rPr>
                <w:b/>
                <w:bCs/>
                <w:noProof/>
              </w:rPr>
              <w:t>3</w:t>
            </w:r>
            <w:r>
              <w:rPr>
                <w:b/>
                <w:bCs/>
                <w:sz w:val="24"/>
                <w:szCs w:val="24"/>
              </w:rPr>
              <w:fldChar w:fldCharType="end"/>
            </w:r>
          </w:p>
        </w:sdtContent>
      </w:sdt>
    </w:sdtContent>
  </w:sdt>
  <w:p w:rsidR="00AE10CD" w:rsidRDefault="00AE10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019" w:rsidRDefault="00371019" w:rsidP="0092395F">
      <w:r>
        <w:separator/>
      </w:r>
    </w:p>
  </w:footnote>
  <w:footnote w:type="continuationSeparator" w:id="0">
    <w:p w:rsidR="00371019" w:rsidRDefault="00371019"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21FE0E"/>
    <w:multiLevelType w:val="singleLevel"/>
    <w:tmpl w:val="5C21FE0E"/>
    <w:lvl w:ilvl="0">
      <w:start w:val="2"/>
      <w:numFmt w:val="chineseCounting"/>
      <w:suff w:val="nothing"/>
      <w:lvlText w:val="（%1）"/>
      <w:lvlJc w:val="left"/>
    </w:lvl>
  </w:abstractNum>
  <w:abstractNum w:abstractNumId="15">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3CA7"/>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92C"/>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019"/>
    <w:rsid w:val="003712CC"/>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4C42"/>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71C"/>
    <w:rsid w:val="007B3B56"/>
    <w:rsid w:val="007B3EC6"/>
    <w:rsid w:val="007B4455"/>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B4E"/>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3D03"/>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2E2F"/>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77F0C"/>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0478F-7A41-4777-8548-41C36D27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F417-64D2-42B5-81E7-E9110F35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2814</Characters>
  <Application>Microsoft Office Word</Application>
  <DocSecurity>0</DocSecurity>
  <Lines>23</Lines>
  <Paragraphs>6</Paragraphs>
  <ScaleCrop>false</ScaleCrop>
  <Company>shenduxitong</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刘紫薇</cp:lastModifiedBy>
  <cp:revision>4</cp:revision>
  <dcterms:created xsi:type="dcterms:W3CDTF">2020-11-13T09:21:00Z</dcterms:created>
  <dcterms:modified xsi:type="dcterms:W3CDTF">2020-11-16T08:10:00Z</dcterms:modified>
</cp:coreProperties>
</file>