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w:t>
      </w:r>
      <w:proofErr w:type="gramStart"/>
      <w:r w:rsidRPr="00707C6B">
        <w:rPr>
          <w:rFonts w:ascii="仿宋" w:eastAsia="仿宋" w:hAnsi="仿宋" w:cs="仿宋_GB2312" w:hint="eastAsia"/>
          <w:kern w:val="0"/>
          <w:sz w:val="36"/>
          <w:szCs w:val="36"/>
        </w:rPr>
        <w:t>发恒誉</w:t>
      </w:r>
      <w:proofErr w:type="gramEnd"/>
      <w:r w:rsidRPr="00707C6B">
        <w:rPr>
          <w:rFonts w:ascii="仿宋" w:eastAsia="仿宋" w:hAnsi="仿宋" w:cs="仿宋_GB2312" w:hint="eastAsia"/>
          <w:kern w:val="0"/>
          <w:sz w:val="36"/>
          <w:szCs w:val="36"/>
        </w:rPr>
        <w:t>混合型证券投资基金（广</w:t>
      </w:r>
      <w:proofErr w:type="gramStart"/>
      <w:r w:rsidRPr="00707C6B">
        <w:rPr>
          <w:rFonts w:ascii="仿宋" w:eastAsia="仿宋" w:hAnsi="仿宋" w:cs="仿宋_GB2312" w:hint="eastAsia"/>
          <w:kern w:val="0"/>
          <w:sz w:val="36"/>
          <w:szCs w:val="36"/>
        </w:rPr>
        <w:t>发恒誉</w:t>
      </w:r>
      <w:proofErr w:type="gramEnd"/>
      <w:r w:rsidRPr="00707C6B">
        <w:rPr>
          <w:rFonts w:ascii="仿宋" w:eastAsia="仿宋" w:hAnsi="仿宋" w:cs="仿宋_GB2312" w:hint="eastAsia"/>
          <w:kern w:val="0"/>
          <w:sz w:val="36"/>
          <w:szCs w:val="36"/>
        </w:rPr>
        <w:t>混合A）基金产品资料概要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编制日期：2020年11月5日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送出日期：2020年11月1</w:t>
      </w:r>
      <w:r w:rsidR="00560C0C">
        <w:rPr>
          <w:rFonts w:ascii="仿宋" w:eastAsia="仿宋" w:hAnsi="仿宋" w:cs="方正仿宋简体"/>
          <w:iCs/>
          <w:sz w:val="24"/>
          <w:szCs w:val="24"/>
        </w:rPr>
        <w:t>8</w:t>
      </w:r>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bookmarkStart w:id="0" w:name="_GoBack"/>
      <w:bookmarkEnd w:id="0"/>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w:t>
            </w:r>
            <w:proofErr w:type="gramStart"/>
            <w:r w:rsidRPr="00707C6B">
              <w:rPr>
                <w:rFonts w:ascii="仿宋" w:eastAsia="仿宋" w:hAnsi="仿宋" w:cs="方正仿宋简体" w:hint="eastAsia"/>
                <w:iCs/>
              </w:rPr>
              <w:t>发恒誉</w:t>
            </w:r>
            <w:proofErr w:type="gramEnd"/>
            <w:r w:rsidRPr="00707C6B">
              <w:rPr>
                <w:rFonts w:ascii="仿宋" w:eastAsia="仿宋" w:hAnsi="仿宋" w:cs="方正仿宋简体" w:hint="eastAsia"/>
                <w:iCs/>
              </w:rPr>
              <w:t>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009956</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w:t>
            </w:r>
            <w:proofErr w:type="gramStart"/>
            <w:r w:rsidRPr="00707C6B">
              <w:rPr>
                <w:rFonts w:ascii="仿宋" w:eastAsia="仿宋" w:hAnsi="仿宋" w:cs="方正仿宋简体"/>
                <w:iCs/>
              </w:rPr>
              <w:t>发恒誉</w:t>
            </w:r>
            <w:proofErr w:type="gramEnd"/>
            <w:r w:rsidRPr="00707C6B">
              <w:rPr>
                <w:rFonts w:ascii="仿宋" w:eastAsia="仿宋" w:hAnsi="仿宋" w:cs="方正仿宋简体"/>
                <w:iCs/>
              </w:rPr>
              <w:t>混合A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009956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中国工商银行股份有限公司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rsidP="0060261E">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谭昌杰</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2008-07-01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本基金在严格控制风险和保持资产流动性的基础上，通过对不同资产类别的优化配置，充分挖掘市场潜在的投资机会，力求实现基金资产的长期稳健增值。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公开发行的次级债、可转换债券（含分离交易可转债）、可交换债券、二级资本债、永续债、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本基金投资的信用债的主体或者债项评级不低于AAA级。</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混合型基金，基金的投资组合比例为：股票投资占基金资产的比例为0-30%（其中投资于港股通标的股票的比例不得超过股票资产的50%）；同业存单投资占基金资产的比例不超过20%；每个交易日日终在扣除国债期货和股指期货合约需缴纳的交易保证金后，现金或到期日在一年以内的政府债券不低于</w:t>
            </w:r>
            <w:r w:rsidRPr="00707C6B">
              <w:rPr>
                <w:rFonts w:ascii="仿宋" w:eastAsia="仿宋" w:hAnsi="仿宋" w:cs="仿宋_GB2312" w:hint="eastAsia"/>
                <w:kern w:val="0"/>
                <w:szCs w:val="24"/>
              </w:rPr>
              <w:lastRenderedPageBreak/>
              <w:t>基金资产净值的5%，其中现金不包括结算备付金、存出保证金和应收申购款等；股指期货、国债期货及其他金融工具的投资比例依照法律法规或监管机构的规定执行。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如法律法规或监管机构以后允许基金投资其他品种或对投资比例要求有变更的，基金管理人在履行适当程序后，可以做出相应调整。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具体包括：1、大类资产配置；2、债券投资策略；3、股票投资策略；4、金融衍生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沪深300指数收益率×15%+人民币计价的恒生指数收益率×5%＋中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收益率×80%。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本基金投资于港股通标的股票，会面临港股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注：详见《广发恒誉混合型证券投资基金招募说明书》及其更新文件中“基金的投资”。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684"/>
        <w:gridCol w:w="2968"/>
        <w:gridCol w:w="1548"/>
        <w:gridCol w:w="2438"/>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0.80%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200万元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200万元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0.08%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200万元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200万元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1.00%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200万元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0.60%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200万元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200万元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0.06%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200万元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0.03%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lastRenderedPageBreak/>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3810C4">
        <w:rPr>
          <w:rFonts w:ascii="仿宋" w:eastAsia="仿宋" w:hAnsi="仿宋" w:cs="方正仿宋简体" w:hint="eastAsia"/>
          <w:iCs/>
        </w:rPr>
        <w:t>1、本基金的认/申购</w:t>
      </w:r>
      <w:proofErr w:type="gramStart"/>
      <w:r w:rsidR="003810C4">
        <w:rPr>
          <w:rFonts w:ascii="仿宋" w:eastAsia="仿宋" w:hAnsi="仿宋" w:cs="方正仿宋简体" w:hint="eastAsia"/>
          <w:iCs/>
        </w:rPr>
        <w:t>费用由认</w:t>
      </w:r>
      <w:proofErr w:type="gramEnd"/>
      <w:r w:rsidR="003810C4">
        <w:rPr>
          <w:rFonts w:ascii="仿宋" w:eastAsia="仿宋" w:hAnsi="仿宋" w:cs="方正仿宋简体" w:hint="eastAsia"/>
          <w:iCs/>
        </w:rPr>
        <w:t>/申购人承担，可用于市场推广、销售、注册登记等各项费用，不列入基金资产。基金销售机构可以对销售费用实行一定的优惠，具体以实际收取为准。</w:t>
      </w:r>
    </w:p>
    <w:p w:rsidR="000612DA" w:rsidRPr="00707C6B" w:rsidRDefault="003810C4">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0.80%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（3）本基金可投资于资产支持证券、股指期货、国债期货等特定品种，将面临投资上述品种所产生特定的风险，可能给基金净值带来不利影响或损失。</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w:t>
      </w:r>
      <w:r>
        <w:rPr>
          <w:rFonts w:ascii="仿宋" w:eastAsia="仿宋" w:hAnsi="仿宋" w:cs="方正仿宋简体" w:hint="eastAsia"/>
          <w:iCs/>
        </w:rPr>
        <w:lastRenderedPageBreak/>
        <w:t>获取基金的相关信息，敬请同时关注基金管理人发布的相关临时公告及定期报告等。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（1）《广发恒誉混合型证券投资基金基金合同》</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（2）《广发恒誉混合型证券投资基金托管协议》</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（3）《广发恒誉混合型证券投资基金招募说明书》</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31" w:rsidRDefault="00BA7C31" w:rsidP="0092395F">
      <w:r>
        <w:separator/>
      </w:r>
    </w:p>
  </w:endnote>
  <w:endnote w:type="continuationSeparator" w:id="0">
    <w:p w:rsidR="00BA7C31" w:rsidRDefault="00BA7C31"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0C0C">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0C0C">
              <w:rPr>
                <w:b/>
                <w:bCs/>
                <w:noProof/>
              </w:rPr>
              <w:t>4</w:t>
            </w:r>
            <w:r>
              <w:rPr>
                <w:b/>
                <w:bCs/>
                <w:sz w:val="24"/>
                <w:szCs w:val="24"/>
              </w:rPr>
              <w:fldChar w:fldCharType="end"/>
            </w:r>
          </w:p>
        </w:sdtContent>
      </w:sdt>
    </w:sdtContent>
  </w:sdt>
  <w:p w:rsidR="00AE10CD" w:rsidRDefault="00AE10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31" w:rsidRDefault="00BA7C31" w:rsidP="0092395F">
      <w:r>
        <w:separator/>
      </w:r>
    </w:p>
  </w:footnote>
  <w:footnote w:type="continuationSeparator" w:id="0">
    <w:p w:rsidR="00BA7C31" w:rsidRDefault="00BA7C31"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1011"/>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0C0C"/>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261E"/>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853"/>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39C7"/>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A7C31"/>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0478F-7A41-4777-8548-41C36D2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1563-C9D0-48C5-9E63-AC2DCE06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595</Words>
  <Characters>3394</Characters>
  <Application>Microsoft Office Word</Application>
  <DocSecurity>0</DocSecurity>
  <Lines>28</Lines>
  <Paragraphs>7</Paragraphs>
  <ScaleCrop>false</ScaleCrop>
  <Company>shenduxitong</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刘紫薇</cp:lastModifiedBy>
  <cp:revision>6</cp:revision>
  <dcterms:created xsi:type="dcterms:W3CDTF">2020-11-12T07:54:00Z</dcterms:created>
  <dcterms:modified xsi:type="dcterms:W3CDTF">2020-11-16T08:09:00Z</dcterms:modified>
</cp:coreProperties>
</file>