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7.xml" ContentType="application/vnd.openxmlformats-officedocument.wordprocessingml.header+xml"/>
  <Override PartName="/word/footer39.xml" ContentType="application/vnd.openxmlformats-officedocument.wordprocessingml.footer+xml"/>
  <Override PartName="/word/header8.xml" ContentType="application/vnd.openxmlformats-officedocument.wordprocessingml.head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306E" w:rsidRDefault="00D5306E">
      <w:pPr>
        <w:snapToGrid w:val="0"/>
        <w:spacing w:line="360" w:lineRule="auto"/>
        <w:jc w:val="center"/>
        <w:outlineLvl w:val="0"/>
        <w:rPr>
          <w:rFonts w:ascii="Arial Unicode MS" w:hAnsi="Arial Unicode MS" w:cs="Arial"/>
          <w:sz w:val="32"/>
        </w:rPr>
      </w:pPr>
    </w:p>
    <w:p w:rsidR="00D5306E" w:rsidRDefault="00D5306E">
      <w:pPr>
        <w:snapToGrid w:val="0"/>
        <w:spacing w:line="360" w:lineRule="auto"/>
        <w:jc w:val="center"/>
        <w:outlineLvl w:val="0"/>
        <w:rPr>
          <w:rFonts w:ascii="Arial Unicode MS" w:hAnsi="Arial Unicode MS" w:cs="Arial"/>
          <w:sz w:val="32"/>
        </w:rPr>
      </w:pPr>
    </w:p>
    <w:p w:rsidR="00D5306E" w:rsidRDefault="00D5306E">
      <w:pPr>
        <w:snapToGrid w:val="0"/>
        <w:spacing w:line="360" w:lineRule="auto"/>
        <w:jc w:val="center"/>
        <w:outlineLvl w:val="0"/>
        <w:rPr>
          <w:rFonts w:ascii="Arial Unicode MS" w:hAnsi="Arial Unicode MS" w:cs="Arial"/>
          <w:sz w:val="32"/>
        </w:rPr>
      </w:pPr>
    </w:p>
    <w:p w:rsidR="00D5306E" w:rsidRDefault="00D5306E">
      <w:pPr>
        <w:snapToGrid w:val="0"/>
        <w:spacing w:line="360" w:lineRule="auto"/>
        <w:jc w:val="center"/>
        <w:outlineLvl w:val="0"/>
        <w:rPr>
          <w:rFonts w:ascii="Arial Unicode MS" w:hAnsi="Arial Unicode MS" w:cs="Arial"/>
          <w:sz w:val="32"/>
        </w:rPr>
      </w:pPr>
    </w:p>
    <w:p w:rsidR="00D5306E" w:rsidRDefault="00D5306E">
      <w:pPr>
        <w:snapToGrid w:val="0"/>
        <w:spacing w:line="360" w:lineRule="auto"/>
        <w:jc w:val="center"/>
        <w:outlineLvl w:val="0"/>
        <w:rPr>
          <w:rFonts w:ascii="Arial Unicode MS" w:hAnsi="Arial Unicode MS" w:cs="Arial"/>
          <w:sz w:val="32"/>
        </w:rPr>
      </w:pPr>
    </w:p>
    <w:p w:rsidR="00D5306E" w:rsidRDefault="006D76AB">
      <w:pPr>
        <w:snapToGrid w:val="0"/>
        <w:spacing w:line="360" w:lineRule="auto"/>
        <w:jc w:val="center"/>
        <w:outlineLvl w:val="0"/>
        <w:rPr>
          <w:rFonts w:ascii="Arial Unicode MS" w:hAnsi="Arial Unicode MS" w:cs="Arial"/>
          <w:b/>
          <w:sz w:val="48"/>
          <w:szCs w:val="48"/>
        </w:rPr>
      </w:pPr>
      <w:r>
        <w:rPr>
          <w:rFonts w:ascii="Arial Unicode MS" w:hAnsi="Arial Unicode MS" w:cs="Arial"/>
          <w:b/>
          <w:sz w:val="48"/>
          <w:szCs w:val="48"/>
        </w:rPr>
        <w:t>博时成长领航灵活配置混合型证券投资基金招募说明书</w:t>
      </w:r>
    </w:p>
    <w:p w:rsidR="00D5306E" w:rsidRDefault="00D5306E" w:rsidP="00B859B2">
      <w:pPr>
        <w:snapToGrid w:val="0"/>
        <w:spacing w:line="360" w:lineRule="auto"/>
        <w:outlineLvl w:val="0"/>
        <w:rPr>
          <w:rFonts w:ascii="Arial Unicode MS" w:hAnsi="Arial Unicode MS" w:cs="Arial"/>
          <w:b/>
          <w:sz w:val="48"/>
          <w:szCs w:val="48"/>
        </w:rPr>
      </w:pPr>
    </w:p>
    <w:p w:rsidR="00D5306E" w:rsidRDefault="00D5306E">
      <w:pPr>
        <w:snapToGrid w:val="0"/>
        <w:spacing w:line="360" w:lineRule="auto"/>
        <w:outlineLvl w:val="0"/>
        <w:rPr>
          <w:rFonts w:ascii="Arial Unicode MS" w:hAnsi="Arial Unicode MS" w:cs="Arial"/>
          <w:b/>
          <w:sz w:val="48"/>
          <w:szCs w:val="48"/>
        </w:rPr>
      </w:pPr>
    </w:p>
    <w:p w:rsidR="00D5306E" w:rsidRDefault="00D5306E">
      <w:pPr>
        <w:snapToGrid w:val="0"/>
        <w:spacing w:line="360" w:lineRule="auto"/>
        <w:outlineLvl w:val="0"/>
        <w:rPr>
          <w:rFonts w:ascii="Arial Unicode MS" w:hAnsi="Arial Unicode MS" w:cs="Arial"/>
        </w:rPr>
      </w:pPr>
    </w:p>
    <w:p w:rsidR="00D5306E" w:rsidRDefault="00D5306E">
      <w:pPr>
        <w:snapToGrid w:val="0"/>
        <w:spacing w:line="360" w:lineRule="auto"/>
        <w:jc w:val="center"/>
        <w:outlineLvl w:val="0"/>
        <w:rPr>
          <w:rFonts w:ascii="Arial Unicode MS" w:hAnsi="Arial Unicode MS" w:cs="Arial"/>
        </w:rPr>
      </w:pPr>
    </w:p>
    <w:p w:rsidR="00D5306E" w:rsidRDefault="006D76AB">
      <w:pPr>
        <w:snapToGrid w:val="0"/>
        <w:spacing w:line="360" w:lineRule="auto"/>
        <w:jc w:val="center"/>
        <w:rPr>
          <w:rFonts w:ascii="Arial Unicode MS" w:hAnsi="Arial Unicode MS" w:cs="Arial"/>
          <w:b/>
          <w:sz w:val="30"/>
          <w:szCs w:val="30"/>
        </w:rPr>
      </w:pPr>
      <w:r>
        <w:rPr>
          <w:rFonts w:ascii="Arial Unicode MS" w:hAnsi="Arial Unicode MS" w:cs="Arial"/>
          <w:b/>
          <w:sz w:val="30"/>
          <w:szCs w:val="30"/>
        </w:rPr>
        <w:t>基金管理人：博时基金管理有限公司</w:t>
      </w:r>
    </w:p>
    <w:p w:rsidR="00D5306E" w:rsidRDefault="006D76AB">
      <w:pPr>
        <w:snapToGrid w:val="0"/>
        <w:spacing w:line="360" w:lineRule="auto"/>
        <w:jc w:val="center"/>
        <w:rPr>
          <w:rFonts w:ascii="Arial Unicode MS" w:hAnsi="Arial Unicode MS" w:cs="Arial"/>
          <w:sz w:val="30"/>
          <w:szCs w:val="30"/>
        </w:rPr>
        <w:sectPr w:rsidR="00D5306E">
          <w:headerReference w:type="default" r:id="rId9"/>
          <w:headerReference w:type="first" r:id="rId10"/>
          <w:footerReference w:type="first" r:id="rId11"/>
          <w:pgSz w:w="11906" w:h="16838"/>
          <w:pgMar w:top="1440" w:right="1800" w:bottom="1440" w:left="1800" w:header="851" w:footer="992" w:gutter="0"/>
          <w:cols w:space="720"/>
          <w:titlePg/>
          <w:docGrid w:linePitch="312"/>
        </w:sectPr>
      </w:pPr>
      <w:r>
        <w:rPr>
          <w:rFonts w:ascii="Arial Unicode MS" w:hAnsi="Arial Unicode MS" w:cs="Arial"/>
          <w:b/>
          <w:sz w:val="30"/>
          <w:szCs w:val="30"/>
        </w:rPr>
        <w:t>基金托管人：平安银行股份有限公司</w:t>
      </w:r>
    </w:p>
    <w:p w:rsidR="00D5306E" w:rsidRDefault="006D76AB">
      <w:pPr>
        <w:autoSpaceDE w:val="0"/>
        <w:autoSpaceDN w:val="0"/>
        <w:adjustRightInd w:val="0"/>
        <w:snapToGrid w:val="0"/>
        <w:spacing w:line="360" w:lineRule="auto"/>
        <w:jc w:val="center"/>
        <w:rPr>
          <w:rFonts w:ascii="Arial Unicode MS" w:hAnsi="Arial Unicode MS" w:cs="Arial"/>
          <w:b/>
          <w:bCs/>
          <w:sz w:val="28"/>
          <w:szCs w:val="28"/>
        </w:rPr>
      </w:pPr>
      <w:r>
        <w:rPr>
          <w:rFonts w:ascii="Arial Unicode MS" w:hAnsi="Arial Unicode MS" w:cs="Arial"/>
          <w:b/>
          <w:bCs/>
          <w:sz w:val="28"/>
          <w:szCs w:val="28"/>
        </w:rPr>
        <w:lastRenderedPageBreak/>
        <w:t>【重要提示】</w:t>
      </w:r>
    </w:p>
    <w:p w:rsidR="00D5306E" w:rsidRDefault="00D5306E">
      <w:pPr>
        <w:autoSpaceDE w:val="0"/>
        <w:autoSpaceDN w:val="0"/>
        <w:adjustRightInd w:val="0"/>
        <w:snapToGrid w:val="0"/>
        <w:spacing w:line="360" w:lineRule="auto"/>
        <w:jc w:val="center"/>
        <w:rPr>
          <w:rFonts w:ascii="Arial Unicode MS" w:hAnsi="Arial Unicode MS" w:cs="Arial"/>
          <w:b/>
          <w:bCs/>
          <w:szCs w:val="21"/>
        </w:rPr>
      </w:pPr>
    </w:p>
    <w:p w:rsidR="00D5306E" w:rsidRDefault="006D76AB">
      <w:pPr>
        <w:spacing w:line="360" w:lineRule="auto"/>
        <w:ind w:firstLineChars="200" w:firstLine="420"/>
        <w:rPr>
          <w:bCs/>
          <w:szCs w:val="20"/>
        </w:rPr>
      </w:pPr>
      <w:r>
        <w:rPr>
          <w:rFonts w:hint="eastAsia"/>
          <w:bCs/>
          <w:szCs w:val="20"/>
        </w:rPr>
        <w:t>1</w:t>
      </w:r>
      <w:r>
        <w:rPr>
          <w:rFonts w:hint="eastAsia"/>
          <w:bCs/>
          <w:szCs w:val="20"/>
        </w:rPr>
        <w:t>、本基金经中国证监会</w:t>
      </w:r>
      <w:r>
        <w:rPr>
          <w:rFonts w:hint="eastAsia"/>
          <w:bCs/>
          <w:szCs w:val="20"/>
        </w:rPr>
        <w:t>2020</w:t>
      </w:r>
      <w:r>
        <w:rPr>
          <w:bCs/>
          <w:szCs w:val="20"/>
        </w:rPr>
        <w:t>年</w:t>
      </w:r>
      <w:r w:rsidR="00CB0F3D">
        <w:rPr>
          <w:rFonts w:hint="eastAsia"/>
          <w:bCs/>
          <w:szCs w:val="20"/>
        </w:rPr>
        <w:t>11</w:t>
      </w:r>
      <w:r>
        <w:rPr>
          <w:bCs/>
          <w:szCs w:val="20"/>
        </w:rPr>
        <w:t>月</w:t>
      </w:r>
      <w:r w:rsidR="00CB0F3D">
        <w:rPr>
          <w:rFonts w:hint="eastAsia"/>
          <w:bCs/>
          <w:szCs w:val="20"/>
        </w:rPr>
        <w:t>17</w:t>
      </w:r>
      <w:r>
        <w:rPr>
          <w:bCs/>
          <w:szCs w:val="20"/>
        </w:rPr>
        <w:t>日</w:t>
      </w:r>
      <w:r>
        <w:rPr>
          <w:rFonts w:hint="eastAsia"/>
          <w:bCs/>
          <w:szCs w:val="20"/>
        </w:rPr>
        <w:t>证监许可</w:t>
      </w:r>
      <w:r>
        <w:rPr>
          <w:rFonts w:hint="eastAsia"/>
          <w:bCs/>
          <w:szCs w:val="20"/>
        </w:rPr>
        <w:t>[2020]</w:t>
      </w:r>
      <w:r w:rsidR="00CB0F3D">
        <w:rPr>
          <w:rFonts w:hint="eastAsia"/>
          <w:bCs/>
          <w:szCs w:val="20"/>
        </w:rPr>
        <w:t>3083</w:t>
      </w:r>
      <w:r>
        <w:rPr>
          <w:rFonts w:hint="eastAsia"/>
          <w:bCs/>
          <w:szCs w:val="20"/>
        </w:rPr>
        <w:t xml:space="preserve"> </w:t>
      </w:r>
      <w:r>
        <w:rPr>
          <w:rFonts w:hint="eastAsia"/>
          <w:bCs/>
          <w:szCs w:val="20"/>
        </w:rPr>
        <w:t>号文准予注册募集。</w:t>
      </w:r>
    </w:p>
    <w:p w:rsidR="00D5306E" w:rsidRDefault="006D76AB">
      <w:pPr>
        <w:spacing w:line="360" w:lineRule="auto"/>
        <w:ind w:firstLineChars="200" w:firstLine="420"/>
        <w:rPr>
          <w:bCs/>
          <w:szCs w:val="20"/>
        </w:rPr>
      </w:pPr>
      <w:r>
        <w:rPr>
          <w:rFonts w:hint="eastAsia"/>
          <w:bCs/>
          <w:szCs w:val="20"/>
        </w:rPr>
        <w:t>2</w:t>
      </w:r>
      <w:r>
        <w:rPr>
          <w:rFonts w:hint="eastAsia"/>
          <w:bCs/>
          <w:szCs w:val="20"/>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rsidR="00D5306E" w:rsidRDefault="006D76AB">
      <w:pPr>
        <w:spacing w:line="360" w:lineRule="auto"/>
        <w:ind w:firstLineChars="200" w:firstLine="420"/>
        <w:rPr>
          <w:bCs/>
          <w:szCs w:val="20"/>
        </w:rPr>
      </w:pPr>
      <w:r>
        <w:rPr>
          <w:rFonts w:hint="eastAsia"/>
          <w:bCs/>
          <w:szCs w:val="20"/>
        </w:rPr>
        <w:t>3</w:t>
      </w:r>
      <w:r>
        <w:rPr>
          <w:rFonts w:hint="eastAsia"/>
          <w:bCs/>
          <w:szCs w:val="20"/>
        </w:rPr>
        <w:t>、投资有风险，投资者认购（或申购）基金份额时应认真阅读基金合同、本招募说明书、基金产品资料概要等信息披露文件，自主判断基金的投资价值，全面认识本基金产品的风险收益特征，应充分考虑投资者自身的风险承受能力，并对认购（或申购）基金的意愿、时机、数量等投资行为作出独立决策。基金管理人提醒投资者基金投资的“买者自负”原则，在投资者作出投资决策后，基金运营状况与基金净值变化导致的投资风险，由投资者自行负担。</w:t>
      </w:r>
    </w:p>
    <w:p w:rsidR="00D5306E" w:rsidRDefault="006D76AB">
      <w:pPr>
        <w:spacing w:line="360" w:lineRule="auto"/>
        <w:ind w:firstLineChars="200" w:firstLine="420"/>
        <w:rPr>
          <w:bCs/>
          <w:szCs w:val="20"/>
        </w:rPr>
      </w:pPr>
      <w:r>
        <w:rPr>
          <w:rFonts w:hint="eastAsia"/>
          <w:bCs/>
          <w:szCs w:val="20"/>
        </w:rPr>
        <w:t>4</w:t>
      </w:r>
      <w:r>
        <w:rPr>
          <w:rFonts w:hint="eastAsia"/>
          <w:bCs/>
          <w:szCs w:val="20"/>
        </w:rPr>
        <w:t>、本基金是混合型证券投资基金，其预期收益和预期风险水平高于债券型基金和货币市场基金，低于股票型基金。本基金如果投资港股通标的股票，需承担汇率风险以及境外市场的风险。</w:t>
      </w:r>
    </w:p>
    <w:p w:rsidR="00D5306E" w:rsidRDefault="006D76AB">
      <w:pPr>
        <w:spacing w:line="360" w:lineRule="auto"/>
        <w:ind w:firstLineChars="200" w:firstLine="420"/>
        <w:rPr>
          <w:bCs/>
          <w:szCs w:val="20"/>
        </w:rPr>
      </w:pPr>
      <w:r>
        <w:rPr>
          <w:bCs/>
          <w:szCs w:val="20"/>
        </w:rPr>
        <w:t>5</w:t>
      </w:r>
      <w:r>
        <w:rPr>
          <w:rFonts w:hint="eastAsia"/>
          <w:bCs/>
          <w:szCs w:val="20"/>
        </w:rPr>
        <w:t>、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p>
    <w:p w:rsidR="00D5306E" w:rsidRDefault="006D76AB">
      <w:pPr>
        <w:spacing w:line="360" w:lineRule="auto"/>
        <w:ind w:firstLineChars="200" w:firstLine="420"/>
        <w:rPr>
          <w:bCs/>
          <w:szCs w:val="20"/>
        </w:rPr>
      </w:pPr>
      <w:bookmarkStart w:id="0" w:name="_Hlk39666707"/>
      <w:r>
        <w:rPr>
          <w:rFonts w:hint="eastAsia"/>
          <w:bCs/>
          <w:szCs w:val="20"/>
        </w:rPr>
        <w:t>6</w:t>
      </w:r>
      <w:r>
        <w:rPr>
          <w:rFonts w:hint="eastAsia"/>
          <w:bCs/>
          <w:szCs w:val="20"/>
        </w:rPr>
        <w:t>、本基金的投资范围主要为具有良好流动性的金融工具，包括依法发行上市的股票（包括中小板、创业板及其他经中国证监会核准或注册上市的股票、</w:t>
      </w:r>
      <w:r>
        <w:rPr>
          <w:rFonts w:ascii="Arial" w:hAnsi="Arial" w:cs="Arial" w:hint="eastAsia"/>
        </w:rPr>
        <w:t>存托凭证）、</w:t>
      </w:r>
      <w:r>
        <w:rPr>
          <w:rFonts w:hint="eastAsia"/>
          <w:bCs/>
          <w:szCs w:val="20"/>
        </w:rPr>
        <w:t>港股通机制下允许投资的香港联合交易所上市的股票（以下简称“港股通标的股票”）、债券（包括国债、金融债、企业债、公司债、地方政府债、政府支持机构债券、可转换债券（含分离交易可转债的纯债部分）、可交换债、央行票据、中期票据、短期融资券、超短期融资券、次级债等）、资产支持证券、债券回购、银行存款、同业存单、货币市场工具、股指期货、股票期权、国债期货、信用衍生品及法律法规或中国证监会允许基金投资的其他金融工具（但须符合中国证监会相关规定）。</w:t>
      </w:r>
    </w:p>
    <w:p w:rsidR="00D5306E" w:rsidRDefault="006D76AB">
      <w:pPr>
        <w:spacing w:line="360" w:lineRule="auto"/>
        <w:ind w:firstLineChars="200" w:firstLine="420"/>
        <w:rPr>
          <w:bCs/>
          <w:szCs w:val="20"/>
        </w:rPr>
      </w:pPr>
      <w:r>
        <w:rPr>
          <w:rFonts w:hint="eastAsia"/>
          <w:bCs/>
          <w:szCs w:val="20"/>
        </w:rPr>
        <w:t>本基金可根据相关法律法规和基金合同的约定参与融资业务。</w:t>
      </w:r>
    </w:p>
    <w:bookmarkEnd w:id="0"/>
    <w:p w:rsidR="00D5306E" w:rsidRDefault="006D76AB">
      <w:pPr>
        <w:spacing w:line="360" w:lineRule="auto"/>
        <w:ind w:firstLineChars="200" w:firstLine="420"/>
        <w:rPr>
          <w:bCs/>
          <w:szCs w:val="20"/>
        </w:rPr>
      </w:pPr>
      <w:r>
        <w:rPr>
          <w:rFonts w:hint="eastAsia"/>
          <w:bCs/>
          <w:szCs w:val="20"/>
        </w:rPr>
        <w:t>本基金基金资产可以投资于港股，会面临港股通机制下因投资环境、投资标的、市场制度以及交易规则等差异带来的特有风险，包括港股市场股价波动较大的风险（港股市场实行</w:t>
      </w:r>
      <w:r>
        <w:rPr>
          <w:rFonts w:hint="eastAsia"/>
          <w:bCs/>
          <w:szCs w:val="20"/>
        </w:rPr>
        <w:t>T+0</w:t>
      </w:r>
      <w:r>
        <w:rPr>
          <w:rFonts w:hint="eastAsia"/>
          <w:bCs/>
          <w:szCs w:val="20"/>
        </w:rPr>
        <w:t>回转交易，且对个股不设涨跌幅限制，港股股价可能表现出比</w:t>
      </w:r>
      <w:r>
        <w:rPr>
          <w:rFonts w:hint="eastAsia"/>
          <w:bCs/>
          <w:szCs w:val="20"/>
        </w:rPr>
        <w:t>A</w:t>
      </w:r>
      <w:r>
        <w:rPr>
          <w:rFonts w:hint="eastAsia"/>
          <w:bCs/>
          <w:szCs w:val="20"/>
        </w:rPr>
        <w:t>股更为剧烈的股价波动）、汇率风险（汇率波动可能对基金的投资收益造成损失）、港股通机制下交易日不连贯可</w:t>
      </w:r>
      <w:r>
        <w:rPr>
          <w:rFonts w:hint="eastAsia"/>
          <w:bCs/>
          <w:szCs w:val="20"/>
        </w:rPr>
        <w:lastRenderedPageBreak/>
        <w:t>能带来的风险（在内地开市香港休市的情形下，港股通不能正常交易，港股不能及时卖出，可能带来一定的流动性风险）等。本基金可根据投资策略需要或不同配置地市场环境的变化，选择将部分基金资产投资于港股或选择不将基金资产投资于港股，基金资产并非必然投资港股。</w:t>
      </w:r>
    </w:p>
    <w:p w:rsidR="00D5306E" w:rsidRDefault="006D76AB">
      <w:pPr>
        <w:spacing w:line="360" w:lineRule="auto"/>
        <w:ind w:firstLineChars="200" w:firstLine="420"/>
        <w:rPr>
          <w:bCs/>
          <w:szCs w:val="20"/>
        </w:rPr>
      </w:pPr>
      <w:r>
        <w:rPr>
          <w:rFonts w:hint="eastAsia"/>
          <w:bCs/>
          <w:szCs w:val="20"/>
        </w:rPr>
        <w:t>本基金可投资资产支持证券（</w:t>
      </w:r>
      <w:r>
        <w:rPr>
          <w:rFonts w:hint="eastAsia"/>
          <w:bCs/>
          <w:szCs w:val="20"/>
        </w:rPr>
        <w:t>ABS</w:t>
      </w:r>
      <w:r>
        <w:rPr>
          <w:rFonts w:hint="eastAsia"/>
          <w:bCs/>
          <w:szCs w:val="20"/>
        </w:rPr>
        <w:t>）。资产支持证券（</w:t>
      </w:r>
      <w:r>
        <w:rPr>
          <w:rFonts w:hint="eastAsia"/>
          <w:bCs/>
          <w:szCs w:val="20"/>
        </w:rPr>
        <w:t>ABS</w:t>
      </w:r>
      <w:r>
        <w:rPr>
          <w:rFonts w:hint="eastAsia"/>
          <w:bCs/>
          <w:szCs w:val="20"/>
        </w:rPr>
        <w:t>）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rsidR="00D5306E" w:rsidRDefault="006D76AB">
      <w:pPr>
        <w:spacing w:line="360" w:lineRule="auto"/>
        <w:ind w:firstLineChars="200" w:firstLine="420"/>
        <w:rPr>
          <w:bCs/>
          <w:szCs w:val="20"/>
        </w:rPr>
      </w:pPr>
      <w:r>
        <w:rPr>
          <w:rFonts w:hint="eastAsia"/>
          <w:bCs/>
          <w:szCs w:val="20"/>
        </w:rPr>
        <w:t>本基金可投资股指期货、国债期货。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rsidR="00D5306E" w:rsidRDefault="006D76AB">
      <w:pPr>
        <w:spacing w:line="360" w:lineRule="auto"/>
        <w:ind w:firstLineChars="200" w:firstLine="420"/>
        <w:rPr>
          <w:bCs/>
          <w:szCs w:val="20"/>
        </w:rPr>
      </w:pPr>
      <w:r>
        <w:rPr>
          <w:rFonts w:hint="eastAsia"/>
          <w:bCs/>
          <w:szCs w:val="20"/>
        </w:rPr>
        <w:t>本基金可参与股票期权交易，以套期保值为主要目的，若参与股票期权交易，可能面临价格波动风险、市场流动性风险、强制平仓风险、合约到期风险、行权失败风险、交易违约风险等。</w:t>
      </w:r>
    </w:p>
    <w:p w:rsidR="00D5306E" w:rsidRDefault="006D76AB">
      <w:pPr>
        <w:spacing w:line="360" w:lineRule="auto"/>
        <w:ind w:firstLineChars="200" w:firstLine="420"/>
        <w:rPr>
          <w:bCs/>
          <w:szCs w:val="20"/>
        </w:rPr>
      </w:pPr>
      <w:r>
        <w:rPr>
          <w:rFonts w:hint="eastAsia"/>
          <w:bCs/>
          <w:szCs w:val="20"/>
        </w:rPr>
        <w:t>为对冲信用风险，本基金可能投资于信用衍生品，信用衍生品投资可能面临流动性风险、偿付风险以及价格波动风险。</w:t>
      </w:r>
    </w:p>
    <w:p w:rsidR="00D5306E" w:rsidRDefault="006D76AB" w:rsidP="000B72F6">
      <w:pPr>
        <w:pStyle w:val="aff0"/>
        <w:spacing w:before="0" w:beforeAutospacing="0" w:after="0" w:afterAutospacing="0" w:line="360" w:lineRule="auto"/>
        <w:ind w:firstLineChars="200" w:firstLine="420"/>
        <w:rPr>
          <w:szCs w:val="21"/>
        </w:rPr>
      </w:pPr>
      <w:r>
        <w:rPr>
          <w:rFonts w:hint="eastAsia"/>
          <w:sz w:val="21"/>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D5306E" w:rsidRDefault="006D76AB">
      <w:pPr>
        <w:spacing w:line="360" w:lineRule="auto"/>
        <w:ind w:firstLineChars="200" w:firstLine="420"/>
        <w:rPr>
          <w:bCs/>
          <w:szCs w:val="20"/>
        </w:rPr>
      </w:pPr>
      <w:r>
        <w:rPr>
          <w:rFonts w:hint="eastAsia"/>
          <w:bCs/>
          <w:szCs w:val="20"/>
        </w:rPr>
        <w:t>7</w:t>
      </w:r>
      <w:r>
        <w:rPr>
          <w:rFonts w:hint="eastAsia"/>
          <w:bCs/>
          <w:szCs w:val="20"/>
        </w:rPr>
        <w:t>、本基金的投资组合比例为：本基金的股票资产</w:t>
      </w:r>
      <w:r>
        <w:rPr>
          <w:rFonts w:ascii="Arial" w:hAnsi="Arial" w:cs="Arial" w:hint="eastAsia"/>
        </w:rPr>
        <w:t>（含存托凭证）</w:t>
      </w:r>
      <w:r>
        <w:rPr>
          <w:rFonts w:hint="eastAsia"/>
          <w:bCs/>
          <w:szCs w:val="20"/>
        </w:rPr>
        <w:t>占基金资产的</w:t>
      </w:r>
      <w:r>
        <w:rPr>
          <w:rFonts w:hint="eastAsia"/>
          <w:bCs/>
          <w:szCs w:val="20"/>
        </w:rPr>
        <w:t>0%-95%</w:t>
      </w:r>
      <w:r>
        <w:rPr>
          <w:rFonts w:hint="eastAsia"/>
          <w:bCs/>
          <w:szCs w:val="20"/>
        </w:rPr>
        <w:t>，港股通标的股票的投资比例为股票资产的</w:t>
      </w:r>
      <w:r>
        <w:rPr>
          <w:rFonts w:hint="eastAsia"/>
          <w:bCs/>
          <w:szCs w:val="20"/>
        </w:rPr>
        <w:t>0%-50%</w:t>
      </w:r>
      <w:r>
        <w:rPr>
          <w:rFonts w:hint="eastAsia"/>
          <w:bCs/>
          <w:szCs w:val="20"/>
        </w:rPr>
        <w:t>；投资于同业存单的比例不超过基金资产的</w:t>
      </w:r>
      <w:r>
        <w:rPr>
          <w:rFonts w:hint="eastAsia"/>
          <w:bCs/>
          <w:szCs w:val="20"/>
        </w:rPr>
        <w:t>20%</w:t>
      </w:r>
      <w:r>
        <w:rPr>
          <w:rFonts w:hint="eastAsia"/>
          <w:bCs/>
          <w:szCs w:val="20"/>
        </w:rPr>
        <w:t>；每个交易日日终在扣除股指期货合约、股票期权合约、国债期货合约所需缴纳的交易保证金后，现金或到期日在一年以内的政府债券不低于基金资产净值的</w:t>
      </w:r>
      <w:r>
        <w:rPr>
          <w:rFonts w:hint="eastAsia"/>
          <w:bCs/>
          <w:szCs w:val="20"/>
        </w:rPr>
        <w:t>5%</w:t>
      </w:r>
      <w:r>
        <w:rPr>
          <w:rFonts w:hint="eastAsia"/>
          <w:bCs/>
          <w:szCs w:val="20"/>
        </w:rPr>
        <w:t>。前述现金不包括结算备付金、存出保证金、应收申购款等。</w:t>
      </w:r>
    </w:p>
    <w:p w:rsidR="00D5306E" w:rsidRDefault="006D76AB">
      <w:pPr>
        <w:spacing w:line="360" w:lineRule="auto"/>
        <w:ind w:firstLineChars="200" w:firstLine="420"/>
        <w:rPr>
          <w:bCs/>
          <w:szCs w:val="20"/>
        </w:rPr>
      </w:pPr>
      <w:bookmarkStart w:id="1" w:name="_Hlk39670649"/>
      <w:r>
        <w:rPr>
          <w:rFonts w:hint="eastAsia"/>
          <w:bCs/>
          <w:szCs w:val="20"/>
        </w:rPr>
        <w:t>8</w:t>
      </w:r>
      <w:r>
        <w:rPr>
          <w:rFonts w:hint="eastAsia"/>
          <w:bCs/>
          <w:szCs w:val="20"/>
        </w:rPr>
        <w:t>、</w:t>
      </w:r>
      <w:r>
        <w:rPr>
          <w:rFonts w:ascii="宋体" w:hAnsi="宋体" w:cs="Arial" w:hint="eastAsia"/>
          <w:szCs w:val="21"/>
        </w:rPr>
        <w:t>《基金合同》生效后，连续20个工作日出现基金份额持有人数量不满200人或者基金资产净值低于5000万元情形的，基金管理人应当在定期报告中予以披露；连续50个工作</w:t>
      </w:r>
      <w:r>
        <w:rPr>
          <w:rFonts w:ascii="宋体" w:hAnsi="宋体" w:cs="Arial" w:hint="eastAsia"/>
          <w:szCs w:val="21"/>
        </w:rPr>
        <w:lastRenderedPageBreak/>
        <w:t>日出现前述情形的，本基金将根据基金合同的约定进行基金财产清算并终止，且无需召开基金份额持有人大会。因此本基金有面临自动清算的风险。</w:t>
      </w:r>
    </w:p>
    <w:p w:rsidR="00D5306E" w:rsidRDefault="006D76AB">
      <w:pPr>
        <w:spacing w:line="360" w:lineRule="auto"/>
        <w:ind w:firstLineChars="200" w:firstLine="420"/>
        <w:rPr>
          <w:bCs/>
          <w:szCs w:val="20"/>
        </w:rPr>
      </w:pPr>
      <w:r>
        <w:rPr>
          <w:rFonts w:hint="eastAsia"/>
          <w:bCs/>
          <w:szCs w:val="20"/>
        </w:rPr>
        <w:t>9</w:t>
      </w:r>
      <w:r>
        <w:rPr>
          <w:rFonts w:hint="eastAsia"/>
          <w:bCs/>
          <w:szCs w:val="20"/>
        </w:rPr>
        <w:t>、当本基金持有特定资产且存在或潜在大额赎回申请时，基金管理人履行相应程序后，可以启用侧袋机制，具体详见基金合同和本招募说明书“侧袋机制”等有关章节。侧袋机制实施期间，基金管理人将对基金简称进行特殊标识，</w:t>
      </w:r>
      <w:r>
        <w:t>投资者不得办理侧袋账户份额的申购</w:t>
      </w:r>
      <w:r>
        <w:rPr>
          <w:rFonts w:hint="eastAsia"/>
          <w:bCs/>
          <w:szCs w:val="20"/>
        </w:rPr>
        <w:t>赎回等业务。请基金份额持有人仔细阅读相关内容并关注本基金启用侧袋机制时的特定风险。</w:t>
      </w:r>
    </w:p>
    <w:bookmarkEnd w:id="1"/>
    <w:p w:rsidR="00D5306E" w:rsidRDefault="006D76AB">
      <w:pPr>
        <w:spacing w:line="360" w:lineRule="auto"/>
        <w:ind w:firstLineChars="200" w:firstLine="420"/>
        <w:rPr>
          <w:bCs/>
          <w:szCs w:val="20"/>
        </w:rPr>
      </w:pPr>
      <w:r>
        <w:rPr>
          <w:rFonts w:hint="eastAsia"/>
          <w:bCs/>
          <w:szCs w:val="20"/>
        </w:rPr>
        <w:t>10</w:t>
      </w:r>
      <w:r>
        <w:rPr>
          <w:rFonts w:hint="eastAsia"/>
          <w:bCs/>
          <w:szCs w:val="20"/>
        </w:rPr>
        <w:t>、本基金发售面值为人民币</w:t>
      </w:r>
      <w:r>
        <w:rPr>
          <w:rFonts w:hint="eastAsia"/>
          <w:bCs/>
          <w:szCs w:val="20"/>
        </w:rPr>
        <w:t>1.00</w:t>
      </w:r>
      <w:r>
        <w:rPr>
          <w:rFonts w:hint="eastAsia"/>
          <w:bCs/>
          <w:szCs w:val="20"/>
        </w:rPr>
        <w:t>元。在市场波动因素影响下，本基金净值可能低于初始面值，本基金投资者有可能出现亏损。</w:t>
      </w:r>
    </w:p>
    <w:p w:rsidR="00D5306E" w:rsidRDefault="006D76AB">
      <w:pPr>
        <w:spacing w:line="360" w:lineRule="auto"/>
        <w:ind w:firstLineChars="200" w:firstLine="420"/>
        <w:rPr>
          <w:bCs/>
          <w:szCs w:val="20"/>
        </w:rPr>
      </w:pPr>
      <w:r>
        <w:rPr>
          <w:rFonts w:hint="eastAsia"/>
          <w:bCs/>
          <w:szCs w:val="20"/>
        </w:rPr>
        <w:t>11</w:t>
      </w:r>
      <w:r>
        <w:rPr>
          <w:rFonts w:hint="eastAsia"/>
          <w:bCs/>
          <w:szCs w:val="20"/>
        </w:rPr>
        <w:t>、基金的过往业绩并不预示其未来表现，基金管理人管理的其他基金的业绩也不构成对本基金业绩表现的保证。</w:t>
      </w:r>
    </w:p>
    <w:p w:rsidR="00D5306E" w:rsidRDefault="006D76AB">
      <w:pPr>
        <w:spacing w:line="360" w:lineRule="auto"/>
        <w:ind w:firstLineChars="200" w:firstLine="420"/>
        <w:rPr>
          <w:bCs/>
          <w:szCs w:val="20"/>
        </w:rPr>
      </w:pPr>
      <w:r>
        <w:rPr>
          <w:rFonts w:hint="eastAsia"/>
          <w:bCs/>
          <w:szCs w:val="20"/>
        </w:rPr>
        <w:t>12</w:t>
      </w:r>
      <w:r>
        <w:rPr>
          <w:rFonts w:hint="eastAsia"/>
          <w:bCs/>
          <w:szCs w:val="20"/>
        </w:rPr>
        <w:t>、</w:t>
      </w:r>
      <w:r>
        <w:rPr>
          <w:bCs/>
          <w:szCs w:val="20"/>
        </w:rPr>
        <w:t>基金管理人依照恪尽职守、诚实信用、谨慎勤勉的原则管理和运用基金财产，但不保证基金一定盈利，也不保证最低收益。</w:t>
      </w:r>
    </w:p>
    <w:p w:rsidR="00D5306E" w:rsidRDefault="006D76AB">
      <w:pPr>
        <w:snapToGrid w:val="0"/>
        <w:spacing w:line="360" w:lineRule="auto"/>
        <w:jc w:val="center"/>
        <w:rPr>
          <w:rFonts w:ascii="Arial Unicode MS" w:hAnsi="Arial Unicode MS" w:cs="Arial"/>
          <w:b/>
          <w:bCs/>
          <w:spacing w:val="120"/>
          <w:sz w:val="28"/>
          <w:szCs w:val="21"/>
        </w:rPr>
      </w:pPr>
      <w:r>
        <w:rPr>
          <w:rFonts w:ascii="Arial Unicode MS" w:hAnsi="Arial Unicode MS" w:cs="Arial"/>
          <w:bCs/>
          <w:spacing w:val="120"/>
          <w:szCs w:val="21"/>
        </w:rPr>
        <w:br w:type="page"/>
      </w:r>
      <w:r>
        <w:rPr>
          <w:rFonts w:ascii="Arial Unicode MS" w:hAnsi="Arial Unicode MS" w:cs="Arial"/>
          <w:b/>
          <w:bCs/>
          <w:spacing w:val="120"/>
          <w:sz w:val="28"/>
          <w:szCs w:val="21"/>
        </w:rPr>
        <w:lastRenderedPageBreak/>
        <w:t>目录</w:t>
      </w:r>
    </w:p>
    <w:p w:rsidR="00D5306E" w:rsidRDefault="006D76AB">
      <w:pPr>
        <w:pStyle w:val="14"/>
        <w:rPr>
          <w:rFonts w:asciiTheme="minorHAnsi" w:eastAsiaTheme="minorEastAsia" w:hAnsiTheme="minorHAnsi" w:cstheme="minorBidi"/>
          <w:caps w:val="0"/>
          <w:noProof/>
          <w:sz w:val="21"/>
          <w:szCs w:val="22"/>
        </w:rPr>
      </w:pPr>
      <w:r>
        <w:rPr>
          <w:rFonts w:ascii="Arial Unicode MS" w:hAnsi="Arial Unicode MS" w:cs="Arial"/>
          <w:bCs/>
          <w:spacing w:val="120"/>
          <w:sz w:val="21"/>
          <w:szCs w:val="21"/>
        </w:rPr>
        <w:fldChar w:fldCharType="begin"/>
      </w:r>
      <w:r>
        <w:rPr>
          <w:rFonts w:ascii="Arial Unicode MS" w:hAnsi="Arial Unicode MS" w:cs="Arial"/>
          <w:bCs/>
          <w:spacing w:val="120"/>
          <w:sz w:val="21"/>
          <w:szCs w:val="21"/>
        </w:rPr>
        <w:instrText xml:space="preserve"> TOC \o "1-1" \h \z </w:instrText>
      </w:r>
      <w:r>
        <w:rPr>
          <w:rFonts w:ascii="Arial Unicode MS" w:hAnsi="Arial Unicode MS" w:cs="Arial"/>
          <w:bCs/>
          <w:spacing w:val="120"/>
          <w:sz w:val="21"/>
          <w:szCs w:val="21"/>
        </w:rPr>
        <w:fldChar w:fldCharType="separate"/>
      </w:r>
      <w:hyperlink w:anchor="_Toc47622413" w:history="1">
        <w:r>
          <w:rPr>
            <w:rStyle w:val="aff8"/>
            <w:rFonts w:ascii="Arial Unicode MS" w:hAnsi="Arial Unicode MS" w:cs="Arial" w:hint="eastAsia"/>
            <w:b/>
            <w:bCs/>
            <w:noProof/>
          </w:rPr>
          <w:t>第一部分</w:t>
        </w:r>
        <w:r>
          <w:rPr>
            <w:rStyle w:val="aff8"/>
            <w:rFonts w:ascii="Arial Unicode MS" w:hAnsi="Arial Unicode MS" w:cs="Arial"/>
            <w:b/>
            <w:bCs/>
            <w:noProof/>
          </w:rPr>
          <w:t xml:space="preserve">  </w:t>
        </w:r>
        <w:r>
          <w:rPr>
            <w:rStyle w:val="aff8"/>
            <w:rFonts w:ascii="Arial Unicode MS" w:hAnsi="Arial Unicode MS" w:cs="Arial" w:hint="eastAsia"/>
            <w:b/>
            <w:bCs/>
            <w:noProof/>
          </w:rPr>
          <w:t>绪言</w:t>
        </w:r>
        <w:r>
          <w:rPr>
            <w:noProof/>
          </w:rPr>
          <w:tab/>
        </w:r>
        <w:r>
          <w:rPr>
            <w:rFonts w:hint="eastAsia"/>
            <w:noProof/>
          </w:rPr>
          <w:t>1-</w:t>
        </w:r>
        <w:r>
          <w:rPr>
            <w:noProof/>
          </w:rPr>
          <w:fldChar w:fldCharType="begin"/>
        </w:r>
        <w:r>
          <w:rPr>
            <w:noProof/>
          </w:rPr>
          <w:instrText xml:space="preserve"> PAGEREF _Toc47622413 \h </w:instrText>
        </w:r>
        <w:r>
          <w:rPr>
            <w:noProof/>
          </w:rPr>
        </w:r>
        <w:r>
          <w:rPr>
            <w:noProof/>
          </w:rPr>
          <w:fldChar w:fldCharType="separate"/>
        </w:r>
        <w:r w:rsidR="00276456">
          <w:rPr>
            <w:noProof/>
          </w:rPr>
          <w:t>1</w:t>
        </w:r>
        <w:r>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14" w:history="1">
        <w:r w:rsidR="006D76AB">
          <w:rPr>
            <w:rStyle w:val="aff8"/>
            <w:rFonts w:ascii="Arial Unicode MS" w:hAnsi="Arial Unicode MS" w:cs="Arial" w:hint="eastAsia"/>
            <w:b/>
            <w:bCs/>
            <w:noProof/>
          </w:rPr>
          <w:t>第二部分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释义</w:t>
        </w:r>
        <w:r w:rsidR="006D76AB">
          <w:rPr>
            <w:noProof/>
          </w:rPr>
          <w:tab/>
        </w:r>
        <w:r w:rsidR="006D76AB">
          <w:rPr>
            <w:rFonts w:hint="eastAsia"/>
            <w:noProof/>
          </w:rPr>
          <w:t>2-</w:t>
        </w:r>
        <w:r w:rsidR="006D76AB">
          <w:rPr>
            <w:noProof/>
          </w:rPr>
          <w:fldChar w:fldCharType="begin"/>
        </w:r>
        <w:r w:rsidR="006D76AB">
          <w:rPr>
            <w:noProof/>
          </w:rPr>
          <w:instrText xml:space="preserve"> PAGEREF _Toc47622414 \h </w:instrText>
        </w:r>
        <w:r w:rsidR="006D76AB">
          <w:rPr>
            <w:noProof/>
          </w:rPr>
        </w:r>
        <w:r w:rsidR="006D76AB">
          <w:rPr>
            <w:noProof/>
          </w:rPr>
          <w:fldChar w:fldCharType="separate"/>
        </w:r>
        <w:r w:rsidR="00276456">
          <w:rPr>
            <w:noProof/>
          </w:rPr>
          <w:t>1</w:t>
        </w:r>
        <w:r w:rsidR="006D76AB">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15" w:history="1">
        <w:r w:rsidR="006D76AB">
          <w:rPr>
            <w:rStyle w:val="aff8"/>
            <w:rFonts w:ascii="Arial Unicode MS" w:hAnsi="Arial Unicode MS" w:cs="Arial" w:hint="eastAsia"/>
            <w:b/>
            <w:bCs/>
            <w:noProof/>
          </w:rPr>
          <w:t>第三部分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基金管理人</w:t>
        </w:r>
        <w:r w:rsidR="006D76AB">
          <w:rPr>
            <w:noProof/>
          </w:rPr>
          <w:tab/>
        </w:r>
        <w:r w:rsidR="006D76AB">
          <w:rPr>
            <w:rFonts w:hint="eastAsia"/>
            <w:noProof/>
          </w:rPr>
          <w:t>3-</w:t>
        </w:r>
        <w:r w:rsidR="006D76AB">
          <w:rPr>
            <w:noProof/>
          </w:rPr>
          <w:fldChar w:fldCharType="begin"/>
        </w:r>
        <w:r w:rsidR="006D76AB">
          <w:rPr>
            <w:noProof/>
          </w:rPr>
          <w:instrText xml:space="preserve"> PAGEREF _Toc47622415 \h </w:instrText>
        </w:r>
        <w:r w:rsidR="006D76AB">
          <w:rPr>
            <w:noProof/>
          </w:rPr>
        </w:r>
        <w:r w:rsidR="006D76AB">
          <w:rPr>
            <w:noProof/>
          </w:rPr>
          <w:fldChar w:fldCharType="separate"/>
        </w:r>
        <w:r w:rsidR="00276456">
          <w:rPr>
            <w:noProof/>
          </w:rPr>
          <w:t>1</w:t>
        </w:r>
        <w:r w:rsidR="006D76AB">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16" w:history="1">
        <w:r w:rsidR="006D76AB">
          <w:rPr>
            <w:rStyle w:val="aff8"/>
            <w:rFonts w:ascii="Arial Unicode MS" w:hAnsi="Arial Unicode MS" w:cs="Arial" w:hint="eastAsia"/>
            <w:b/>
            <w:bCs/>
            <w:noProof/>
          </w:rPr>
          <w:t>第四部分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基金托管人</w:t>
        </w:r>
        <w:r w:rsidR="006D76AB">
          <w:rPr>
            <w:noProof/>
          </w:rPr>
          <w:tab/>
        </w:r>
        <w:r w:rsidR="006D76AB">
          <w:rPr>
            <w:rFonts w:hint="eastAsia"/>
            <w:noProof/>
          </w:rPr>
          <w:t>4-</w:t>
        </w:r>
        <w:r w:rsidR="006D76AB">
          <w:rPr>
            <w:noProof/>
          </w:rPr>
          <w:fldChar w:fldCharType="begin"/>
        </w:r>
        <w:r w:rsidR="006D76AB">
          <w:rPr>
            <w:noProof/>
          </w:rPr>
          <w:instrText xml:space="preserve"> PAGEREF _Toc47622416 \h </w:instrText>
        </w:r>
        <w:r w:rsidR="006D76AB">
          <w:rPr>
            <w:noProof/>
          </w:rPr>
        </w:r>
        <w:r w:rsidR="006D76AB">
          <w:rPr>
            <w:noProof/>
          </w:rPr>
          <w:fldChar w:fldCharType="separate"/>
        </w:r>
        <w:r w:rsidR="00276456">
          <w:rPr>
            <w:noProof/>
          </w:rPr>
          <w:t>1</w:t>
        </w:r>
        <w:r w:rsidR="006D76AB">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17" w:history="1">
        <w:r w:rsidR="006D76AB">
          <w:rPr>
            <w:rStyle w:val="aff8"/>
            <w:rFonts w:ascii="Arial Unicode MS" w:hAnsi="Arial Unicode MS" w:cs="Arial" w:hint="eastAsia"/>
            <w:b/>
            <w:bCs/>
            <w:noProof/>
          </w:rPr>
          <w:t>第五部分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相关服务机构</w:t>
        </w:r>
        <w:r w:rsidR="006D76AB">
          <w:rPr>
            <w:noProof/>
          </w:rPr>
          <w:tab/>
        </w:r>
        <w:r w:rsidR="006D76AB">
          <w:rPr>
            <w:rFonts w:hint="eastAsia"/>
            <w:noProof/>
          </w:rPr>
          <w:t>5-1</w:t>
        </w:r>
      </w:hyperlink>
    </w:p>
    <w:p w:rsidR="00D5306E" w:rsidRDefault="0054076C">
      <w:pPr>
        <w:pStyle w:val="14"/>
        <w:rPr>
          <w:rFonts w:asciiTheme="minorHAnsi" w:eastAsiaTheme="minorEastAsia" w:hAnsiTheme="minorHAnsi" w:cstheme="minorBidi"/>
          <w:caps w:val="0"/>
          <w:noProof/>
          <w:sz w:val="21"/>
          <w:szCs w:val="22"/>
        </w:rPr>
      </w:pPr>
      <w:hyperlink w:anchor="_Toc47622418" w:history="1">
        <w:r w:rsidR="006D76AB">
          <w:rPr>
            <w:rStyle w:val="aff8"/>
            <w:rFonts w:ascii="Arial Unicode MS" w:hAnsi="Arial Unicode MS" w:cs="Arial" w:hint="eastAsia"/>
            <w:b/>
            <w:bCs/>
            <w:noProof/>
          </w:rPr>
          <w:t>第六部分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基金份额的发售</w:t>
        </w:r>
        <w:r w:rsidR="006D76AB">
          <w:rPr>
            <w:noProof/>
          </w:rPr>
          <w:tab/>
        </w:r>
        <w:r w:rsidR="006D76AB">
          <w:rPr>
            <w:rFonts w:hint="eastAsia"/>
            <w:noProof/>
          </w:rPr>
          <w:t>6-</w:t>
        </w:r>
        <w:r w:rsidR="006D76AB">
          <w:rPr>
            <w:noProof/>
          </w:rPr>
          <w:fldChar w:fldCharType="begin"/>
        </w:r>
        <w:r w:rsidR="006D76AB">
          <w:rPr>
            <w:noProof/>
          </w:rPr>
          <w:instrText xml:space="preserve"> PAGEREF _Toc47622418 \h </w:instrText>
        </w:r>
        <w:r w:rsidR="006D76AB">
          <w:rPr>
            <w:noProof/>
          </w:rPr>
        </w:r>
        <w:r w:rsidR="006D76AB">
          <w:rPr>
            <w:noProof/>
          </w:rPr>
          <w:fldChar w:fldCharType="separate"/>
        </w:r>
        <w:r w:rsidR="00276456">
          <w:rPr>
            <w:noProof/>
          </w:rPr>
          <w:t>1</w:t>
        </w:r>
        <w:r w:rsidR="006D76AB">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19" w:history="1">
        <w:r w:rsidR="006D76AB">
          <w:rPr>
            <w:rStyle w:val="aff8"/>
            <w:rFonts w:ascii="Arial Unicode MS" w:hAnsi="Arial Unicode MS" w:cs="Arial" w:hint="eastAsia"/>
            <w:b/>
            <w:bCs/>
            <w:noProof/>
          </w:rPr>
          <w:t>第七部分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基金合同的生效</w:t>
        </w:r>
        <w:r w:rsidR="006D76AB">
          <w:rPr>
            <w:noProof/>
          </w:rPr>
          <w:tab/>
        </w:r>
        <w:r w:rsidR="006D76AB">
          <w:rPr>
            <w:rFonts w:hint="eastAsia"/>
            <w:noProof/>
          </w:rPr>
          <w:t>7-</w:t>
        </w:r>
        <w:r w:rsidR="006D76AB">
          <w:rPr>
            <w:noProof/>
          </w:rPr>
          <w:fldChar w:fldCharType="begin"/>
        </w:r>
        <w:r w:rsidR="006D76AB">
          <w:rPr>
            <w:noProof/>
          </w:rPr>
          <w:instrText xml:space="preserve"> PAGEREF _Toc47622419 \h </w:instrText>
        </w:r>
        <w:r w:rsidR="006D76AB">
          <w:rPr>
            <w:noProof/>
          </w:rPr>
        </w:r>
        <w:r w:rsidR="006D76AB">
          <w:rPr>
            <w:noProof/>
          </w:rPr>
          <w:fldChar w:fldCharType="separate"/>
        </w:r>
        <w:r w:rsidR="00276456">
          <w:rPr>
            <w:noProof/>
          </w:rPr>
          <w:t>1</w:t>
        </w:r>
        <w:r w:rsidR="006D76AB">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20" w:history="1">
        <w:r w:rsidR="006D76AB">
          <w:rPr>
            <w:rStyle w:val="aff8"/>
            <w:rFonts w:ascii="Arial Unicode MS" w:hAnsi="Arial Unicode MS" w:cs="Arial" w:hint="eastAsia"/>
            <w:b/>
            <w:bCs/>
            <w:noProof/>
          </w:rPr>
          <w:t>第八部分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基金份额的申购与赎回</w:t>
        </w:r>
        <w:r w:rsidR="006D76AB">
          <w:rPr>
            <w:noProof/>
          </w:rPr>
          <w:tab/>
        </w:r>
        <w:r w:rsidR="006D76AB">
          <w:rPr>
            <w:rFonts w:hint="eastAsia"/>
            <w:noProof/>
          </w:rPr>
          <w:t>8-</w:t>
        </w:r>
        <w:r w:rsidR="006D76AB">
          <w:rPr>
            <w:noProof/>
          </w:rPr>
          <w:fldChar w:fldCharType="begin"/>
        </w:r>
        <w:r w:rsidR="006D76AB">
          <w:rPr>
            <w:noProof/>
          </w:rPr>
          <w:instrText xml:space="preserve"> PAGEREF _Toc47622420 \h </w:instrText>
        </w:r>
        <w:r w:rsidR="006D76AB">
          <w:rPr>
            <w:noProof/>
          </w:rPr>
        </w:r>
        <w:r w:rsidR="006D76AB">
          <w:rPr>
            <w:noProof/>
          </w:rPr>
          <w:fldChar w:fldCharType="separate"/>
        </w:r>
        <w:r w:rsidR="00276456">
          <w:rPr>
            <w:noProof/>
          </w:rPr>
          <w:t>1</w:t>
        </w:r>
        <w:r w:rsidR="006D76AB">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21" w:history="1">
        <w:r w:rsidR="006D76AB">
          <w:rPr>
            <w:rStyle w:val="aff8"/>
            <w:rFonts w:ascii="Arial Unicode MS" w:hAnsi="Arial Unicode MS" w:cs="Arial" w:hint="eastAsia"/>
            <w:b/>
            <w:bCs/>
            <w:noProof/>
          </w:rPr>
          <w:t>第九部分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基金的投资</w:t>
        </w:r>
        <w:r w:rsidR="006D76AB">
          <w:rPr>
            <w:noProof/>
          </w:rPr>
          <w:tab/>
        </w:r>
        <w:r w:rsidR="006D76AB">
          <w:rPr>
            <w:rFonts w:hint="eastAsia"/>
            <w:noProof/>
          </w:rPr>
          <w:t>9-</w:t>
        </w:r>
        <w:r w:rsidR="006D76AB">
          <w:rPr>
            <w:noProof/>
          </w:rPr>
          <w:fldChar w:fldCharType="begin"/>
        </w:r>
        <w:r w:rsidR="006D76AB">
          <w:rPr>
            <w:noProof/>
          </w:rPr>
          <w:instrText xml:space="preserve"> PAGEREF _Toc47622421 \h </w:instrText>
        </w:r>
        <w:r w:rsidR="006D76AB">
          <w:rPr>
            <w:noProof/>
          </w:rPr>
        </w:r>
        <w:r w:rsidR="006D76AB">
          <w:rPr>
            <w:noProof/>
          </w:rPr>
          <w:fldChar w:fldCharType="separate"/>
        </w:r>
        <w:r w:rsidR="00276456">
          <w:rPr>
            <w:noProof/>
          </w:rPr>
          <w:t>1</w:t>
        </w:r>
        <w:r w:rsidR="006D76AB">
          <w:rPr>
            <w:noProof/>
          </w:rPr>
          <w:fldChar w:fldCharType="end"/>
        </w:r>
      </w:hyperlink>
    </w:p>
    <w:p w:rsidR="00D5306E" w:rsidRDefault="00DE55C9">
      <w:pPr>
        <w:pStyle w:val="14"/>
        <w:rPr>
          <w:rFonts w:asciiTheme="minorHAnsi" w:eastAsiaTheme="minorEastAsia" w:hAnsiTheme="minorHAnsi" w:cstheme="minorBidi"/>
          <w:caps w:val="0"/>
          <w:noProof/>
          <w:sz w:val="21"/>
          <w:szCs w:val="22"/>
        </w:rPr>
      </w:pPr>
      <w:hyperlink w:anchor="_Toc47622422" w:history="1">
        <w:r w:rsidR="006D76AB">
          <w:rPr>
            <w:rStyle w:val="aff8"/>
            <w:rFonts w:ascii="Arial Unicode MS" w:hAnsi="Arial Unicode MS" w:cs="Arial" w:hint="eastAsia"/>
            <w:b/>
            <w:bCs/>
            <w:noProof/>
          </w:rPr>
          <w:t>第十部分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基金的财产</w:t>
        </w:r>
        <w:r w:rsidR="006D76AB">
          <w:rPr>
            <w:noProof/>
          </w:rPr>
          <w:tab/>
        </w:r>
        <w:r w:rsidR="006D76AB">
          <w:rPr>
            <w:rFonts w:hint="eastAsia"/>
            <w:noProof/>
          </w:rPr>
          <w:t>10-</w:t>
        </w:r>
        <w:r w:rsidR="006D76AB">
          <w:rPr>
            <w:noProof/>
          </w:rPr>
          <w:fldChar w:fldCharType="begin"/>
        </w:r>
        <w:r w:rsidR="006D76AB">
          <w:rPr>
            <w:noProof/>
          </w:rPr>
          <w:instrText xml:space="preserve"> PAGEREF _Toc47622422 \h </w:instrText>
        </w:r>
        <w:r w:rsidR="006D76AB">
          <w:rPr>
            <w:noProof/>
          </w:rPr>
        </w:r>
        <w:r w:rsidR="006D76AB">
          <w:rPr>
            <w:noProof/>
          </w:rPr>
          <w:fldChar w:fldCharType="separate"/>
        </w:r>
        <w:r w:rsidR="00276456">
          <w:rPr>
            <w:noProof/>
          </w:rPr>
          <w:t>10</w:t>
        </w:r>
        <w:r w:rsidR="006D76AB">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23" w:history="1">
        <w:r w:rsidR="006D76AB">
          <w:rPr>
            <w:rStyle w:val="aff8"/>
            <w:rFonts w:ascii="Arial Unicode MS" w:hAnsi="Arial Unicode MS" w:cs="Arial" w:hint="eastAsia"/>
            <w:b/>
            <w:bCs/>
            <w:noProof/>
          </w:rPr>
          <w:t>第十一部分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基金资产的估值</w:t>
        </w:r>
        <w:r w:rsidR="006D76AB">
          <w:rPr>
            <w:noProof/>
          </w:rPr>
          <w:tab/>
        </w:r>
        <w:r w:rsidR="006D76AB">
          <w:rPr>
            <w:rFonts w:hint="eastAsia"/>
            <w:noProof/>
          </w:rPr>
          <w:t>11-</w:t>
        </w:r>
        <w:r w:rsidR="006D76AB">
          <w:rPr>
            <w:noProof/>
          </w:rPr>
          <w:fldChar w:fldCharType="begin"/>
        </w:r>
        <w:r w:rsidR="006D76AB">
          <w:rPr>
            <w:noProof/>
          </w:rPr>
          <w:instrText xml:space="preserve"> PAGEREF _Toc47622423 \h </w:instrText>
        </w:r>
        <w:r w:rsidR="006D76AB">
          <w:rPr>
            <w:noProof/>
          </w:rPr>
        </w:r>
        <w:r w:rsidR="006D76AB">
          <w:rPr>
            <w:noProof/>
          </w:rPr>
          <w:fldChar w:fldCharType="separate"/>
        </w:r>
        <w:r w:rsidR="00276456">
          <w:rPr>
            <w:noProof/>
          </w:rPr>
          <w:t>1</w:t>
        </w:r>
        <w:r w:rsidR="006D76AB">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24" w:history="1">
        <w:r w:rsidR="006D76AB">
          <w:rPr>
            <w:rStyle w:val="aff8"/>
            <w:rFonts w:ascii="Arial Unicode MS" w:hAnsi="Arial Unicode MS" w:cs="Arial" w:hint="eastAsia"/>
            <w:b/>
            <w:bCs/>
            <w:noProof/>
          </w:rPr>
          <w:t>第十二部分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基金的收益分配</w:t>
        </w:r>
        <w:r w:rsidR="006D76AB">
          <w:rPr>
            <w:noProof/>
          </w:rPr>
          <w:tab/>
        </w:r>
        <w:r w:rsidR="006D76AB">
          <w:rPr>
            <w:rFonts w:hint="eastAsia"/>
            <w:noProof/>
          </w:rPr>
          <w:t>12-</w:t>
        </w:r>
        <w:r w:rsidR="006D76AB">
          <w:rPr>
            <w:noProof/>
          </w:rPr>
          <w:fldChar w:fldCharType="begin"/>
        </w:r>
        <w:r w:rsidR="006D76AB">
          <w:rPr>
            <w:noProof/>
          </w:rPr>
          <w:instrText xml:space="preserve"> PAGEREF _Toc47622424 \h </w:instrText>
        </w:r>
        <w:r w:rsidR="006D76AB">
          <w:rPr>
            <w:noProof/>
          </w:rPr>
        </w:r>
        <w:r w:rsidR="006D76AB">
          <w:rPr>
            <w:noProof/>
          </w:rPr>
          <w:fldChar w:fldCharType="separate"/>
        </w:r>
        <w:r w:rsidR="00276456">
          <w:rPr>
            <w:noProof/>
          </w:rPr>
          <w:t>1</w:t>
        </w:r>
        <w:r w:rsidR="006D76AB">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25" w:history="1">
        <w:r w:rsidR="006D76AB">
          <w:rPr>
            <w:rStyle w:val="aff8"/>
            <w:rFonts w:ascii="Arial Unicode MS" w:hAnsi="Arial Unicode MS" w:cs="Arial" w:hint="eastAsia"/>
            <w:b/>
            <w:bCs/>
            <w:noProof/>
          </w:rPr>
          <w:t>第十三部分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基金费用与税收</w:t>
        </w:r>
        <w:r w:rsidR="006D76AB">
          <w:rPr>
            <w:noProof/>
          </w:rPr>
          <w:tab/>
        </w:r>
        <w:r w:rsidR="006D76AB">
          <w:rPr>
            <w:rFonts w:hint="eastAsia"/>
            <w:noProof/>
          </w:rPr>
          <w:t>13-</w:t>
        </w:r>
        <w:r w:rsidR="006D76AB">
          <w:rPr>
            <w:noProof/>
          </w:rPr>
          <w:fldChar w:fldCharType="begin"/>
        </w:r>
        <w:r w:rsidR="006D76AB">
          <w:rPr>
            <w:noProof/>
          </w:rPr>
          <w:instrText xml:space="preserve"> PAGEREF _Toc47622425 \h </w:instrText>
        </w:r>
        <w:r w:rsidR="006D76AB">
          <w:rPr>
            <w:noProof/>
          </w:rPr>
        </w:r>
        <w:r w:rsidR="006D76AB">
          <w:rPr>
            <w:noProof/>
          </w:rPr>
          <w:fldChar w:fldCharType="separate"/>
        </w:r>
        <w:r w:rsidR="00276456">
          <w:rPr>
            <w:noProof/>
          </w:rPr>
          <w:t>1</w:t>
        </w:r>
        <w:r w:rsidR="006D76AB">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26" w:history="1">
        <w:r w:rsidR="006D76AB">
          <w:rPr>
            <w:rStyle w:val="aff8"/>
            <w:rFonts w:ascii="Arial Unicode MS" w:hAnsi="Arial Unicode MS" w:cs="Arial" w:hint="eastAsia"/>
            <w:b/>
            <w:bCs/>
            <w:noProof/>
          </w:rPr>
          <w:t>第十四部分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基金的会计与审计</w:t>
        </w:r>
        <w:r w:rsidR="006D76AB">
          <w:rPr>
            <w:noProof/>
          </w:rPr>
          <w:tab/>
        </w:r>
        <w:r w:rsidR="006D76AB">
          <w:rPr>
            <w:rFonts w:hint="eastAsia"/>
            <w:noProof/>
          </w:rPr>
          <w:t>14-</w:t>
        </w:r>
        <w:r w:rsidR="006D76AB">
          <w:rPr>
            <w:noProof/>
          </w:rPr>
          <w:fldChar w:fldCharType="begin"/>
        </w:r>
        <w:r w:rsidR="006D76AB">
          <w:rPr>
            <w:noProof/>
          </w:rPr>
          <w:instrText xml:space="preserve"> PAGEREF _Toc47622426 \h </w:instrText>
        </w:r>
        <w:r w:rsidR="006D76AB">
          <w:rPr>
            <w:noProof/>
          </w:rPr>
        </w:r>
        <w:r w:rsidR="006D76AB">
          <w:rPr>
            <w:noProof/>
          </w:rPr>
          <w:fldChar w:fldCharType="separate"/>
        </w:r>
        <w:r w:rsidR="00276456">
          <w:rPr>
            <w:noProof/>
          </w:rPr>
          <w:t>1</w:t>
        </w:r>
        <w:r w:rsidR="006D76AB">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27" w:history="1">
        <w:r w:rsidR="006D76AB">
          <w:rPr>
            <w:rStyle w:val="aff8"/>
            <w:rFonts w:ascii="Arial Unicode MS" w:hAnsi="Arial Unicode MS" w:hint="eastAsia"/>
            <w:b/>
            <w:noProof/>
          </w:rPr>
          <w:t>第十五部分</w:t>
        </w:r>
        <w:r w:rsidR="006D76AB">
          <w:rPr>
            <w:rStyle w:val="aff8"/>
            <w:rFonts w:ascii="Arial Unicode MS" w:hAnsi="Arial Unicode MS"/>
            <w:b/>
            <w:noProof/>
          </w:rPr>
          <w:t xml:space="preserve">  </w:t>
        </w:r>
        <w:r w:rsidR="006D76AB">
          <w:rPr>
            <w:rStyle w:val="aff8"/>
            <w:rFonts w:ascii="Arial Unicode MS" w:hAnsi="Arial Unicode MS" w:hint="eastAsia"/>
            <w:b/>
            <w:noProof/>
          </w:rPr>
          <w:t>基金的信息披露</w:t>
        </w:r>
        <w:r w:rsidR="006D76AB">
          <w:rPr>
            <w:noProof/>
          </w:rPr>
          <w:tab/>
        </w:r>
        <w:r w:rsidR="006D76AB">
          <w:rPr>
            <w:rFonts w:hint="eastAsia"/>
            <w:noProof/>
          </w:rPr>
          <w:t>15-</w:t>
        </w:r>
        <w:r w:rsidR="006D76AB">
          <w:rPr>
            <w:noProof/>
          </w:rPr>
          <w:fldChar w:fldCharType="begin"/>
        </w:r>
        <w:r w:rsidR="006D76AB">
          <w:rPr>
            <w:noProof/>
          </w:rPr>
          <w:instrText xml:space="preserve"> PAGEREF _Toc47622427 \h </w:instrText>
        </w:r>
        <w:r w:rsidR="006D76AB">
          <w:rPr>
            <w:noProof/>
          </w:rPr>
        </w:r>
        <w:r w:rsidR="006D76AB">
          <w:rPr>
            <w:noProof/>
          </w:rPr>
          <w:fldChar w:fldCharType="separate"/>
        </w:r>
        <w:r w:rsidR="00276456">
          <w:rPr>
            <w:noProof/>
          </w:rPr>
          <w:t>1</w:t>
        </w:r>
        <w:r w:rsidR="006D76AB">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28" w:history="1">
        <w:r w:rsidR="006D76AB">
          <w:rPr>
            <w:rStyle w:val="aff8"/>
            <w:rFonts w:ascii="Arial Unicode MS" w:hAnsi="Arial Unicode MS" w:cs="Arial" w:hint="eastAsia"/>
            <w:b/>
            <w:bCs/>
            <w:noProof/>
          </w:rPr>
          <w:t>第十六部分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侧袋机制</w:t>
        </w:r>
        <w:r w:rsidR="006D76AB">
          <w:rPr>
            <w:noProof/>
          </w:rPr>
          <w:tab/>
        </w:r>
        <w:r w:rsidR="006D76AB">
          <w:rPr>
            <w:rFonts w:hint="eastAsia"/>
            <w:noProof/>
          </w:rPr>
          <w:t>16-</w:t>
        </w:r>
        <w:r w:rsidR="006D76AB">
          <w:rPr>
            <w:noProof/>
          </w:rPr>
          <w:fldChar w:fldCharType="begin"/>
        </w:r>
        <w:r w:rsidR="006D76AB">
          <w:rPr>
            <w:noProof/>
          </w:rPr>
          <w:instrText xml:space="preserve"> PAGEREF _Toc47622428 \h </w:instrText>
        </w:r>
        <w:r w:rsidR="006D76AB">
          <w:rPr>
            <w:noProof/>
          </w:rPr>
        </w:r>
        <w:r w:rsidR="006D76AB">
          <w:rPr>
            <w:noProof/>
          </w:rPr>
          <w:fldChar w:fldCharType="separate"/>
        </w:r>
        <w:r w:rsidR="00276456">
          <w:rPr>
            <w:noProof/>
          </w:rPr>
          <w:t>1</w:t>
        </w:r>
        <w:r w:rsidR="006D76AB">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29" w:history="1">
        <w:r w:rsidR="006D76AB">
          <w:rPr>
            <w:rStyle w:val="aff8"/>
            <w:rFonts w:ascii="Arial Unicode MS" w:hAnsi="Arial Unicode MS" w:cs="Arial" w:hint="eastAsia"/>
            <w:b/>
            <w:bCs/>
            <w:noProof/>
          </w:rPr>
          <w:t>第十七部分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风险揭示</w:t>
        </w:r>
        <w:r w:rsidR="006D76AB">
          <w:rPr>
            <w:noProof/>
          </w:rPr>
          <w:tab/>
        </w:r>
        <w:r w:rsidR="006D76AB">
          <w:rPr>
            <w:rFonts w:hint="eastAsia"/>
            <w:noProof/>
          </w:rPr>
          <w:t>17-1</w:t>
        </w:r>
      </w:hyperlink>
    </w:p>
    <w:p w:rsidR="00D5306E" w:rsidRDefault="0054076C">
      <w:pPr>
        <w:pStyle w:val="14"/>
        <w:rPr>
          <w:rFonts w:asciiTheme="minorHAnsi" w:eastAsiaTheme="minorEastAsia" w:hAnsiTheme="minorHAnsi" w:cstheme="minorBidi"/>
          <w:caps w:val="0"/>
          <w:noProof/>
          <w:sz w:val="21"/>
          <w:szCs w:val="22"/>
        </w:rPr>
      </w:pPr>
      <w:hyperlink w:anchor="_Toc47622430" w:history="1">
        <w:r w:rsidR="006D76AB">
          <w:rPr>
            <w:rStyle w:val="aff8"/>
            <w:rFonts w:ascii="Arial Unicode MS" w:hAnsi="Arial Unicode MS" w:cs="Arial" w:hint="eastAsia"/>
            <w:b/>
            <w:bCs/>
            <w:noProof/>
          </w:rPr>
          <w:t>第十八部分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基金合同的变更、终止与基金财产的清算</w:t>
        </w:r>
        <w:r w:rsidR="006D76AB">
          <w:rPr>
            <w:noProof/>
          </w:rPr>
          <w:tab/>
        </w:r>
        <w:r w:rsidR="006D76AB">
          <w:rPr>
            <w:rFonts w:hint="eastAsia"/>
            <w:noProof/>
          </w:rPr>
          <w:t>18-</w:t>
        </w:r>
        <w:r w:rsidR="006D76AB">
          <w:rPr>
            <w:noProof/>
          </w:rPr>
          <w:fldChar w:fldCharType="begin"/>
        </w:r>
        <w:r w:rsidR="006D76AB">
          <w:rPr>
            <w:noProof/>
          </w:rPr>
          <w:instrText xml:space="preserve"> PAGEREF _Toc47622430 \h </w:instrText>
        </w:r>
        <w:r w:rsidR="006D76AB">
          <w:rPr>
            <w:noProof/>
          </w:rPr>
        </w:r>
        <w:r w:rsidR="006D76AB">
          <w:rPr>
            <w:noProof/>
          </w:rPr>
          <w:fldChar w:fldCharType="separate"/>
        </w:r>
        <w:r w:rsidR="00276456">
          <w:rPr>
            <w:noProof/>
          </w:rPr>
          <w:t>1</w:t>
        </w:r>
        <w:r w:rsidR="006D76AB">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31" w:history="1">
        <w:r w:rsidR="006D76AB">
          <w:rPr>
            <w:rStyle w:val="aff8"/>
            <w:rFonts w:ascii="Arial Unicode MS" w:hAnsi="Arial Unicode MS" w:cs="Arial" w:hint="eastAsia"/>
            <w:b/>
            <w:bCs/>
            <w:noProof/>
          </w:rPr>
          <w:t>第十九部分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基金合同的内容摘要</w:t>
        </w:r>
        <w:r w:rsidR="006D76AB">
          <w:rPr>
            <w:noProof/>
          </w:rPr>
          <w:tab/>
        </w:r>
        <w:r w:rsidR="006D76AB">
          <w:rPr>
            <w:rFonts w:hint="eastAsia"/>
            <w:noProof/>
          </w:rPr>
          <w:t>19-</w:t>
        </w:r>
        <w:r w:rsidR="006D76AB">
          <w:rPr>
            <w:noProof/>
          </w:rPr>
          <w:fldChar w:fldCharType="begin"/>
        </w:r>
        <w:r w:rsidR="006D76AB">
          <w:rPr>
            <w:noProof/>
          </w:rPr>
          <w:instrText xml:space="preserve"> PAGEREF _Toc47622431 \h </w:instrText>
        </w:r>
        <w:r w:rsidR="006D76AB">
          <w:rPr>
            <w:noProof/>
          </w:rPr>
        </w:r>
        <w:r w:rsidR="006D76AB">
          <w:rPr>
            <w:noProof/>
          </w:rPr>
          <w:fldChar w:fldCharType="separate"/>
        </w:r>
        <w:r w:rsidR="00276456">
          <w:rPr>
            <w:noProof/>
          </w:rPr>
          <w:t>1</w:t>
        </w:r>
        <w:r w:rsidR="006D76AB">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32" w:history="1">
        <w:r w:rsidR="006D76AB">
          <w:rPr>
            <w:rStyle w:val="aff8"/>
            <w:rFonts w:ascii="Arial Unicode MS" w:hAnsi="Arial Unicode MS" w:cs="Arial" w:hint="eastAsia"/>
            <w:b/>
            <w:bCs/>
            <w:noProof/>
          </w:rPr>
          <w:t>第二十部分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基金托管协议的内容摘要</w:t>
        </w:r>
        <w:r w:rsidR="006D76AB">
          <w:rPr>
            <w:noProof/>
          </w:rPr>
          <w:tab/>
        </w:r>
        <w:r w:rsidR="006D76AB">
          <w:rPr>
            <w:rFonts w:hint="eastAsia"/>
            <w:noProof/>
          </w:rPr>
          <w:t>20-</w:t>
        </w:r>
        <w:r w:rsidR="006D76AB">
          <w:rPr>
            <w:noProof/>
          </w:rPr>
          <w:fldChar w:fldCharType="begin"/>
        </w:r>
        <w:r w:rsidR="006D76AB">
          <w:rPr>
            <w:noProof/>
          </w:rPr>
          <w:instrText xml:space="preserve"> PAGEREF _Toc47622432 \h </w:instrText>
        </w:r>
        <w:r w:rsidR="006D76AB">
          <w:rPr>
            <w:noProof/>
          </w:rPr>
        </w:r>
        <w:r w:rsidR="006D76AB">
          <w:rPr>
            <w:noProof/>
          </w:rPr>
          <w:fldChar w:fldCharType="separate"/>
        </w:r>
        <w:r w:rsidR="00276456">
          <w:rPr>
            <w:noProof/>
          </w:rPr>
          <w:t>1</w:t>
        </w:r>
        <w:r w:rsidR="006D76AB">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33" w:history="1">
        <w:r w:rsidR="006D76AB">
          <w:rPr>
            <w:rStyle w:val="aff8"/>
            <w:rFonts w:ascii="Arial Unicode MS" w:hAnsi="Arial Unicode MS" w:cs="Arial" w:hint="eastAsia"/>
            <w:b/>
            <w:bCs/>
            <w:noProof/>
          </w:rPr>
          <w:t>第二十一部分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对基金份额持有人的服务</w:t>
        </w:r>
        <w:r w:rsidR="006D76AB">
          <w:rPr>
            <w:noProof/>
          </w:rPr>
          <w:tab/>
        </w:r>
        <w:r w:rsidR="006D76AB">
          <w:rPr>
            <w:rFonts w:hint="eastAsia"/>
            <w:noProof/>
          </w:rPr>
          <w:t>21-</w:t>
        </w:r>
        <w:r w:rsidR="006D76AB">
          <w:rPr>
            <w:noProof/>
          </w:rPr>
          <w:fldChar w:fldCharType="begin"/>
        </w:r>
        <w:r w:rsidR="006D76AB">
          <w:rPr>
            <w:noProof/>
          </w:rPr>
          <w:instrText xml:space="preserve"> PAGEREF _Toc47622433 \h </w:instrText>
        </w:r>
        <w:r w:rsidR="006D76AB">
          <w:rPr>
            <w:noProof/>
          </w:rPr>
        </w:r>
        <w:r w:rsidR="006D76AB">
          <w:rPr>
            <w:noProof/>
          </w:rPr>
          <w:fldChar w:fldCharType="separate"/>
        </w:r>
        <w:r w:rsidR="00276456">
          <w:rPr>
            <w:noProof/>
          </w:rPr>
          <w:t>1</w:t>
        </w:r>
        <w:r w:rsidR="006D76AB">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34" w:history="1">
        <w:r w:rsidR="006D76AB">
          <w:rPr>
            <w:rStyle w:val="aff8"/>
            <w:rFonts w:ascii="Arial Unicode MS" w:hAnsi="Arial Unicode MS" w:cs="Arial" w:hint="eastAsia"/>
            <w:b/>
            <w:bCs/>
            <w:noProof/>
          </w:rPr>
          <w:t>第二十二部分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招募说明书的存放及查阅方式</w:t>
        </w:r>
        <w:r w:rsidR="006D76AB">
          <w:rPr>
            <w:noProof/>
          </w:rPr>
          <w:tab/>
        </w:r>
        <w:r w:rsidR="006D76AB">
          <w:rPr>
            <w:rFonts w:hint="eastAsia"/>
            <w:noProof/>
          </w:rPr>
          <w:t>22-</w:t>
        </w:r>
        <w:r w:rsidR="006D76AB">
          <w:rPr>
            <w:noProof/>
          </w:rPr>
          <w:fldChar w:fldCharType="begin"/>
        </w:r>
        <w:r w:rsidR="006D76AB">
          <w:rPr>
            <w:noProof/>
          </w:rPr>
          <w:instrText xml:space="preserve"> PAGEREF _Toc47622434 \h </w:instrText>
        </w:r>
        <w:r w:rsidR="006D76AB">
          <w:rPr>
            <w:noProof/>
          </w:rPr>
        </w:r>
        <w:r w:rsidR="006D76AB">
          <w:rPr>
            <w:noProof/>
          </w:rPr>
          <w:fldChar w:fldCharType="separate"/>
        </w:r>
        <w:r w:rsidR="00276456">
          <w:rPr>
            <w:noProof/>
          </w:rPr>
          <w:t>1</w:t>
        </w:r>
        <w:r w:rsidR="006D76AB">
          <w:rPr>
            <w:noProof/>
          </w:rPr>
          <w:fldChar w:fldCharType="end"/>
        </w:r>
      </w:hyperlink>
    </w:p>
    <w:p w:rsidR="00D5306E" w:rsidRDefault="0054076C">
      <w:pPr>
        <w:pStyle w:val="14"/>
        <w:rPr>
          <w:rFonts w:asciiTheme="minorHAnsi" w:eastAsiaTheme="minorEastAsia" w:hAnsiTheme="minorHAnsi" w:cstheme="minorBidi"/>
          <w:caps w:val="0"/>
          <w:noProof/>
          <w:sz w:val="21"/>
          <w:szCs w:val="22"/>
        </w:rPr>
      </w:pPr>
      <w:hyperlink w:anchor="_Toc47622435" w:history="1">
        <w:r w:rsidR="006D76AB">
          <w:rPr>
            <w:rStyle w:val="aff8"/>
            <w:rFonts w:ascii="Arial Unicode MS" w:hAnsi="Arial Unicode MS" w:cs="Arial" w:hint="eastAsia"/>
            <w:b/>
            <w:bCs/>
            <w:noProof/>
          </w:rPr>
          <w:t>第二十三部分</w:t>
        </w:r>
        <w:r w:rsidR="006D76AB">
          <w:rPr>
            <w:rStyle w:val="aff8"/>
            <w:rFonts w:ascii="Arial Unicode MS" w:hAnsi="Arial Unicode MS" w:cs="Arial"/>
            <w:b/>
            <w:bCs/>
            <w:noProof/>
          </w:rPr>
          <w:t xml:space="preserve">  </w:t>
        </w:r>
        <w:r w:rsidR="006D76AB">
          <w:rPr>
            <w:rStyle w:val="aff8"/>
            <w:rFonts w:ascii="Arial Unicode MS" w:hAnsi="Arial Unicode MS" w:cs="Arial" w:hint="eastAsia"/>
            <w:b/>
            <w:bCs/>
            <w:noProof/>
          </w:rPr>
          <w:t>备查文件</w:t>
        </w:r>
        <w:r w:rsidR="006D76AB">
          <w:rPr>
            <w:noProof/>
          </w:rPr>
          <w:tab/>
        </w:r>
        <w:r w:rsidR="006D76AB">
          <w:rPr>
            <w:rFonts w:hint="eastAsia"/>
            <w:noProof/>
          </w:rPr>
          <w:t>23-1</w:t>
        </w:r>
      </w:hyperlink>
    </w:p>
    <w:p w:rsidR="00D5306E" w:rsidRDefault="006D76AB">
      <w:pPr>
        <w:adjustRightInd w:val="0"/>
        <w:snapToGrid w:val="0"/>
        <w:spacing w:line="360" w:lineRule="auto"/>
        <w:rPr>
          <w:rFonts w:ascii="Arial Unicode MS" w:hAnsi="Arial Unicode MS" w:cs="Arial"/>
          <w:bCs/>
          <w:spacing w:val="120"/>
          <w:szCs w:val="21"/>
        </w:rPr>
        <w:sectPr w:rsidR="00D5306E">
          <w:footerReference w:type="default" r:id="rId12"/>
          <w:headerReference w:type="first" r:id="rId13"/>
          <w:footerReference w:type="first" r:id="rId14"/>
          <w:pgSz w:w="11906" w:h="16838"/>
          <w:pgMar w:top="1440" w:right="1800" w:bottom="1440" w:left="1800" w:header="851" w:footer="992" w:gutter="0"/>
          <w:pgNumType w:start="1"/>
          <w:cols w:space="720"/>
          <w:docGrid w:linePitch="312"/>
        </w:sectPr>
      </w:pPr>
      <w:r>
        <w:rPr>
          <w:rFonts w:ascii="Arial Unicode MS" w:hAnsi="Arial Unicode MS" w:cs="Arial"/>
          <w:bCs/>
          <w:spacing w:val="120"/>
          <w:szCs w:val="21"/>
        </w:rPr>
        <w:fldChar w:fldCharType="end"/>
      </w:r>
    </w:p>
    <w:p w:rsidR="00D5306E" w:rsidRDefault="00D5306E">
      <w:pPr>
        <w:spacing w:line="360" w:lineRule="auto"/>
        <w:ind w:firstLine="105"/>
        <w:rPr>
          <w:rFonts w:ascii="Arial Unicode MS" w:hAnsi="Arial Unicode MS"/>
        </w:rPr>
        <w:sectPr w:rsidR="00D5306E">
          <w:footerReference w:type="default" r:id="rId15"/>
          <w:footerReference w:type="first" r:id="rId16"/>
          <w:type w:val="continuous"/>
          <w:pgSz w:w="11906" w:h="16838"/>
          <w:pgMar w:top="1440" w:right="1800" w:bottom="1440" w:left="1800" w:header="851" w:footer="992" w:gutter="0"/>
          <w:cols w:space="720"/>
          <w:titlePg/>
          <w:docGrid w:linePitch="312"/>
        </w:sectPr>
      </w:pPr>
    </w:p>
    <w:p w:rsidR="00D5306E" w:rsidRDefault="006D76AB">
      <w:pPr>
        <w:pStyle w:val="11"/>
        <w:snapToGrid w:val="0"/>
        <w:spacing w:before="0" w:after="0" w:line="360" w:lineRule="auto"/>
        <w:ind w:firstLineChars="50" w:firstLine="141"/>
        <w:rPr>
          <w:rFonts w:ascii="Arial Unicode MS" w:eastAsia="宋体" w:hAnsi="Arial Unicode MS" w:cs="Arial"/>
          <w:b/>
          <w:bCs/>
          <w:sz w:val="28"/>
          <w:szCs w:val="28"/>
        </w:rPr>
      </w:pPr>
      <w:bookmarkStart w:id="2" w:name="_Toc47622413"/>
      <w:bookmarkStart w:id="3" w:name="_Toc429490278"/>
      <w:bookmarkStart w:id="4" w:name="_Toc47604305"/>
      <w:bookmarkStart w:id="5" w:name="_Toc335232691"/>
      <w:r>
        <w:rPr>
          <w:rFonts w:ascii="Arial Unicode MS" w:eastAsia="宋体" w:hAnsi="Arial Unicode MS" w:cs="Arial"/>
          <w:b/>
          <w:bCs/>
          <w:sz w:val="28"/>
          <w:szCs w:val="28"/>
        </w:rPr>
        <w:lastRenderedPageBreak/>
        <w:t>第一部分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绪言</w:t>
      </w:r>
      <w:bookmarkEnd w:id="2"/>
      <w:bookmarkEnd w:id="3"/>
      <w:bookmarkEnd w:id="4"/>
      <w:bookmarkEnd w:id="5"/>
    </w:p>
    <w:p w:rsidR="00D5306E" w:rsidRDefault="00D5306E">
      <w:pPr>
        <w:autoSpaceDE w:val="0"/>
        <w:autoSpaceDN w:val="0"/>
        <w:adjustRightInd w:val="0"/>
        <w:snapToGrid w:val="0"/>
        <w:spacing w:line="360" w:lineRule="auto"/>
        <w:ind w:firstLineChars="200" w:firstLine="420"/>
        <w:rPr>
          <w:rFonts w:ascii="Arial Unicode MS" w:hAnsi="Arial Unicode MS" w:cs="Arial"/>
          <w:szCs w:val="21"/>
        </w:rPr>
      </w:pPr>
    </w:p>
    <w:p w:rsidR="00D5306E" w:rsidRDefault="006D76AB">
      <w:pPr>
        <w:adjustRightInd w:val="0"/>
        <w:snapToGrid w:val="0"/>
        <w:spacing w:line="360" w:lineRule="auto"/>
        <w:ind w:firstLineChars="200" w:firstLine="420"/>
        <w:rPr>
          <w:rFonts w:ascii="宋体" w:hAnsi="宋体" w:cs="Arial"/>
        </w:rPr>
      </w:pPr>
      <w:r>
        <w:rPr>
          <w:rFonts w:ascii="宋体" w:hAnsi="宋体" w:cs="Arial"/>
        </w:rPr>
        <w:t>《博时成长领航灵活配置混合型证券投资基金招募说明书》（以下简称“招募说明书”或“本招募说明书”）依照</w:t>
      </w:r>
      <w:r>
        <w:rPr>
          <w:rFonts w:ascii="宋体" w:hAnsi="宋体" w:cs="Arial" w:hint="eastAsia"/>
        </w:rPr>
        <w:t>《中华人民共和国证券法》(以下简称“《证券法》”)、</w:t>
      </w:r>
      <w:r>
        <w:rPr>
          <w:rFonts w:ascii="宋体" w:hAnsi="宋体" w:cs="Arial"/>
        </w:rPr>
        <w:t>《中华人民共和国证券投资基金法》（以下简称“《基金法》”）、《</w:t>
      </w:r>
      <w:r>
        <w:rPr>
          <w:rFonts w:ascii="宋体" w:hAnsi="宋体" w:cs="Arial" w:hint="eastAsia"/>
        </w:rPr>
        <w:t>公开募集</w:t>
      </w:r>
      <w:r>
        <w:rPr>
          <w:rFonts w:ascii="宋体" w:hAnsi="宋体" w:cs="Arial"/>
        </w:rPr>
        <w:t>证券投资基金运作管理办法》（以下简称“《运作办法》”）、《</w:t>
      </w:r>
      <w:r>
        <w:rPr>
          <w:rFonts w:ascii="宋体" w:hAnsi="宋体" w:cs="Arial" w:hint="eastAsia"/>
        </w:rPr>
        <w:t>公开募集证券投资基金销售机构监督管理办法</w:t>
      </w:r>
      <w:r>
        <w:rPr>
          <w:rFonts w:ascii="宋体" w:hAnsi="宋体" w:cs="Arial"/>
        </w:rPr>
        <w:t>》（以下简称“《销售办法》”）、《</w:t>
      </w:r>
      <w:r>
        <w:rPr>
          <w:rFonts w:ascii="宋体" w:hAnsi="宋体" w:cs="Arial" w:hint="eastAsia"/>
        </w:rPr>
        <w:t>公开</w:t>
      </w:r>
      <w:r>
        <w:rPr>
          <w:rFonts w:ascii="宋体" w:hAnsi="宋体" w:cs="Arial"/>
        </w:rPr>
        <w:t>募集证券投资基金信息披露管理办法》（以下简称“《信息披露办法》”）</w:t>
      </w:r>
      <w:r>
        <w:rPr>
          <w:rFonts w:ascii="宋体" w:hAnsi="宋体" w:cs="Arial" w:hint="eastAsia"/>
        </w:rPr>
        <w:t>、《公开募集开放式证券投资基金流动性风险管理规定》（以下简称“《流动性风险管理规定》”）</w:t>
      </w:r>
      <w:r>
        <w:rPr>
          <w:rFonts w:ascii="宋体" w:hAnsi="宋体" w:cs="Arial" w:hint="eastAsia"/>
          <w:bCs/>
        </w:rPr>
        <w:t>和其他有关法律法规</w:t>
      </w:r>
      <w:r>
        <w:rPr>
          <w:rFonts w:ascii="宋体" w:hAnsi="宋体" w:cs="Arial"/>
        </w:rPr>
        <w:t>以及《博时成长领航灵活配置混合型证券投资基金基金合同》（以下简称“基金合同”）编写。</w:t>
      </w:r>
    </w:p>
    <w:p w:rsidR="00D5306E" w:rsidRDefault="006D76AB">
      <w:pPr>
        <w:adjustRightInd w:val="0"/>
        <w:snapToGrid w:val="0"/>
        <w:spacing w:line="360" w:lineRule="auto"/>
        <w:ind w:firstLineChars="200" w:firstLine="420"/>
        <w:rPr>
          <w:rFonts w:ascii="宋体" w:hAnsi="宋体" w:cs="Arial"/>
        </w:rPr>
      </w:pPr>
      <w:r>
        <w:rPr>
          <w:rFonts w:ascii="宋体" w:hAnsi="宋体" w:cs="Arial" w:hint="eastAsia"/>
        </w:rPr>
        <w:t>本招募说明书阐述了</w:t>
      </w:r>
      <w:r>
        <w:rPr>
          <w:rFonts w:ascii="宋体" w:hAnsi="宋体" w:cs="Arial"/>
        </w:rPr>
        <w:t>博时成长领航灵活配置混合型证券投资基金</w:t>
      </w:r>
      <w:r>
        <w:rPr>
          <w:rFonts w:ascii="宋体" w:hAnsi="宋体" w:cs="Arial" w:hint="eastAsia"/>
        </w:rPr>
        <w:t>的投资目标、策略、风险、费率等与投资人投资决策有关的必要事项，投资人在作出投资决策前应仔细阅读本招募说明书。</w:t>
      </w:r>
    </w:p>
    <w:p w:rsidR="00D5306E" w:rsidRDefault="006D76AB">
      <w:pPr>
        <w:adjustRightInd w:val="0"/>
        <w:snapToGrid w:val="0"/>
        <w:spacing w:line="360" w:lineRule="auto"/>
        <w:ind w:firstLineChars="200" w:firstLine="420"/>
        <w:rPr>
          <w:rFonts w:ascii="宋体" w:hAnsi="宋体" w:cs="Arial"/>
        </w:rPr>
      </w:pPr>
      <w:r>
        <w:rPr>
          <w:rFonts w:ascii="宋体" w:hAnsi="宋体" w:cs="Arial"/>
        </w:rPr>
        <w:t>基金管理人承诺本招募说明书不存在任何虚假记载、误导性陈述或重大遗漏，并对其真实性、准确性、完整性承担法律责任。</w:t>
      </w:r>
    </w:p>
    <w:p w:rsidR="00D5306E" w:rsidRDefault="006D76AB">
      <w:pPr>
        <w:adjustRightInd w:val="0"/>
        <w:snapToGrid w:val="0"/>
        <w:spacing w:line="360" w:lineRule="auto"/>
        <w:ind w:firstLineChars="200" w:firstLine="420"/>
        <w:rPr>
          <w:rFonts w:ascii="宋体" w:hAnsi="宋体" w:cs="Arial"/>
        </w:rPr>
      </w:pPr>
      <w:r>
        <w:rPr>
          <w:rFonts w:ascii="宋体" w:hAnsi="宋体" w:cs="Arial"/>
        </w:rPr>
        <w:t>博时成长领航灵活配置混合型证券投资基金（以下简称“基金”或“本基金”）是根据本招募说明书所载明的资料申请募集的。本基金管理人没有委托或授权任何其他人提供未在本招募说明书中载明的信息，或对本招募说明书作任何解释或者说明。</w:t>
      </w:r>
    </w:p>
    <w:p w:rsidR="00D5306E" w:rsidRDefault="006D76AB">
      <w:pPr>
        <w:adjustRightInd w:val="0"/>
        <w:snapToGrid w:val="0"/>
        <w:spacing w:line="360" w:lineRule="auto"/>
        <w:ind w:firstLineChars="200" w:firstLine="420"/>
        <w:rPr>
          <w:rFonts w:ascii="宋体" w:hAnsi="宋体" w:cs="Arial"/>
        </w:rPr>
        <w:sectPr w:rsidR="00D5306E">
          <w:headerReference w:type="first" r:id="rId17"/>
          <w:footerReference w:type="first" r:id="rId18"/>
          <w:pgSz w:w="11906" w:h="16838"/>
          <w:pgMar w:top="1440" w:right="1800" w:bottom="1440" w:left="1800" w:header="851" w:footer="992" w:gutter="0"/>
          <w:pgNumType w:start="1"/>
          <w:cols w:space="720"/>
          <w:titlePg/>
          <w:docGrid w:linePitch="312"/>
        </w:sectPr>
      </w:pPr>
      <w:r>
        <w:rPr>
          <w:rFonts w:ascii="宋体" w:hAnsi="宋体" w:cs="Arial"/>
        </w:rPr>
        <w:t>本招募说明书根据本基金的基金合同编写，并经中国证券监督管理委员会（以下简称“中国证监会”）</w:t>
      </w:r>
      <w:r>
        <w:rPr>
          <w:rFonts w:ascii="宋体" w:hAnsi="宋体" w:cs="Arial" w:hint="eastAsia"/>
        </w:rPr>
        <w:t>注册</w:t>
      </w:r>
      <w:r>
        <w:rPr>
          <w:rFonts w:ascii="宋体" w:hAnsi="宋体" w:cs="Arial"/>
        </w:rPr>
        <w:t>。基金合同是约定基金合同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rsidR="00D5306E" w:rsidRDefault="006D76AB">
      <w:pPr>
        <w:pStyle w:val="11"/>
        <w:snapToGrid w:val="0"/>
        <w:spacing w:before="0" w:after="0" w:line="360" w:lineRule="auto"/>
        <w:ind w:firstLineChars="50" w:firstLine="141"/>
        <w:rPr>
          <w:rFonts w:ascii="Arial Unicode MS" w:eastAsia="宋体" w:hAnsi="Arial Unicode MS" w:cs="Arial"/>
          <w:b/>
          <w:bCs/>
          <w:sz w:val="28"/>
          <w:szCs w:val="28"/>
        </w:rPr>
      </w:pPr>
      <w:bookmarkStart w:id="6" w:name="_Toc429490279"/>
      <w:bookmarkStart w:id="7" w:name="_Toc47622414"/>
      <w:bookmarkStart w:id="8" w:name="_Toc214873591"/>
      <w:bookmarkStart w:id="9" w:name="_Toc335232692"/>
      <w:bookmarkStart w:id="10" w:name="_Toc47604306"/>
      <w:r>
        <w:rPr>
          <w:rFonts w:ascii="Arial Unicode MS" w:eastAsia="宋体" w:hAnsi="Arial Unicode MS" w:cs="Arial"/>
          <w:b/>
          <w:bCs/>
          <w:sz w:val="28"/>
          <w:szCs w:val="28"/>
        </w:rPr>
        <w:lastRenderedPageBreak/>
        <w:t>第二部分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释义</w:t>
      </w:r>
      <w:bookmarkEnd w:id="6"/>
      <w:bookmarkEnd w:id="7"/>
      <w:bookmarkEnd w:id="8"/>
      <w:bookmarkEnd w:id="9"/>
      <w:bookmarkEnd w:id="10"/>
    </w:p>
    <w:p w:rsidR="00D5306E" w:rsidRDefault="00D5306E">
      <w:pPr>
        <w:spacing w:line="360" w:lineRule="auto"/>
        <w:rPr>
          <w:rFonts w:ascii="Arial Unicode MS" w:hAnsi="Arial Unicode MS"/>
        </w:rPr>
      </w:pPr>
    </w:p>
    <w:p w:rsidR="00D5306E" w:rsidRDefault="006D76AB">
      <w:pPr>
        <w:spacing w:line="360" w:lineRule="auto"/>
        <w:ind w:firstLineChars="200" w:firstLine="420"/>
        <w:rPr>
          <w:bCs/>
          <w:szCs w:val="21"/>
        </w:rPr>
      </w:pPr>
      <w:r>
        <w:rPr>
          <w:bCs/>
          <w:szCs w:val="21"/>
        </w:rPr>
        <w:t>在本</w:t>
      </w:r>
      <w:r>
        <w:rPr>
          <w:rFonts w:hint="eastAsia"/>
          <w:bCs/>
          <w:szCs w:val="21"/>
        </w:rPr>
        <w:t>招募说明书</w:t>
      </w:r>
      <w:r>
        <w:rPr>
          <w:bCs/>
          <w:szCs w:val="21"/>
        </w:rPr>
        <w:t>中，除非文意另有所指，下列词语或简称具有如下含义：</w:t>
      </w:r>
    </w:p>
    <w:p w:rsidR="00D5306E" w:rsidRDefault="006D76AB">
      <w:pPr>
        <w:spacing w:line="360" w:lineRule="auto"/>
        <w:ind w:firstLineChars="200" w:firstLine="420"/>
        <w:rPr>
          <w:bCs/>
          <w:szCs w:val="21"/>
        </w:rPr>
      </w:pPr>
      <w:bookmarkStart w:id="11" w:name="_Toc214873592"/>
      <w:bookmarkStart w:id="12" w:name="_Toc429490280"/>
      <w:bookmarkStart w:id="13" w:name="_Toc21073393"/>
      <w:bookmarkStart w:id="14" w:name="_Toc12357173"/>
      <w:bookmarkStart w:id="15" w:name="_Toc147463120"/>
      <w:r>
        <w:rPr>
          <w:bCs/>
          <w:szCs w:val="21"/>
        </w:rPr>
        <w:t>1</w:t>
      </w:r>
      <w:r>
        <w:rPr>
          <w:rFonts w:hint="eastAsia"/>
          <w:bCs/>
          <w:szCs w:val="21"/>
        </w:rPr>
        <w:t>、</w:t>
      </w:r>
      <w:r>
        <w:rPr>
          <w:bCs/>
          <w:szCs w:val="21"/>
        </w:rPr>
        <w:t>基金或本基金：指</w:t>
      </w:r>
      <w:r>
        <w:rPr>
          <w:rFonts w:hint="eastAsia"/>
          <w:bCs/>
          <w:szCs w:val="21"/>
        </w:rPr>
        <w:t>博时成长领航灵活配置混合型证券投资基金</w:t>
      </w:r>
    </w:p>
    <w:p w:rsidR="00D5306E" w:rsidRDefault="006D76AB">
      <w:pPr>
        <w:spacing w:line="360" w:lineRule="auto"/>
        <w:ind w:firstLineChars="200" w:firstLine="420"/>
        <w:rPr>
          <w:bCs/>
          <w:szCs w:val="21"/>
        </w:rPr>
      </w:pPr>
      <w:r>
        <w:rPr>
          <w:bCs/>
          <w:szCs w:val="21"/>
        </w:rPr>
        <w:t>2</w:t>
      </w:r>
      <w:r>
        <w:rPr>
          <w:rFonts w:hint="eastAsia"/>
          <w:bCs/>
          <w:szCs w:val="21"/>
        </w:rPr>
        <w:t>、</w:t>
      </w:r>
      <w:r>
        <w:rPr>
          <w:bCs/>
          <w:szCs w:val="21"/>
        </w:rPr>
        <w:t>基金管理人：指</w:t>
      </w:r>
      <w:r>
        <w:rPr>
          <w:rFonts w:hint="eastAsia"/>
          <w:bCs/>
          <w:szCs w:val="21"/>
        </w:rPr>
        <w:t>博时基金管理有限公司</w:t>
      </w:r>
      <w:r>
        <w:rPr>
          <w:bCs/>
          <w:szCs w:val="21"/>
        </w:rPr>
        <w:t xml:space="preserve"> </w:t>
      </w:r>
    </w:p>
    <w:p w:rsidR="00D5306E" w:rsidRDefault="006D76AB">
      <w:pPr>
        <w:spacing w:line="360" w:lineRule="auto"/>
        <w:ind w:firstLineChars="200" w:firstLine="420"/>
        <w:rPr>
          <w:bCs/>
          <w:szCs w:val="21"/>
        </w:rPr>
      </w:pPr>
      <w:r>
        <w:rPr>
          <w:rFonts w:hint="eastAsia"/>
          <w:bCs/>
          <w:szCs w:val="21"/>
        </w:rPr>
        <w:t>3</w:t>
      </w:r>
      <w:r>
        <w:rPr>
          <w:rFonts w:hint="eastAsia"/>
          <w:bCs/>
          <w:szCs w:val="21"/>
        </w:rPr>
        <w:t>、</w:t>
      </w:r>
      <w:r>
        <w:rPr>
          <w:bCs/>
          <w:szCs w:val="21"/>
        </w:rPr>
        <w:t>基金托管人：指</w:t>
      </w:r>
      <w:r>
        <w:rPr>
          <w:rFonts w:hint="eastAsia"/>
          <w:bCs/>
          <w:szCs w:val="21"/>
        </w:rPr>
        <w:t>平安银行股份有限公司</w:t>
      </w:r>
      <w:r>
        <w:rPr>
          <w:bCs/>
          <w:szCs w:val="21"/>
        </w:rPr>
        <w:t xml:space="preserve"> </w:t>
      </w:r>
    </w:p>
    <w:p w:rsidR="00D5306E" w:rsidRDefault="006D76AB">
      <w:pPr>
        <w:spacing w:line="360" w:lineRule="auto"/>
        <w:ind w:firstLineChars="200" w:firstLine="420"/>
        <w:rPr>
          <w:bCs/>
          <w:szCs w:val="21"/>
        </w:rPr>
      </w:pPr>
      <w:r>
        <w:rPr>
          <w:rFonts w:hint="eastAsia"/>
          <w:bCs/>
          <w:szCs w:val="21"/>
        </w:rPr>
        <w:t>4</w:t>
      </w:r>
      <w:r>
        <w:rPr>
          <w:rFonts w:hint="eastAsia"/>
          <w:bCs/>
          <w:szCs w:val="21"/>
        </w:rPr>
        <w:t>、</w:t>
      </w:r>
      <w:r>
        <w:rPr>
          <w:bCs/>
          <w:szCs w:val="21"/>
        </w:rPr>
        <w:t>基金合同：指《</w:t>
      </w:r>
      <w:r>
        <w:rPr>
          <w:rFonts w:hint="eastAsia"/>
          <w:bCs/>
          <w:szCs w:val="21"/>
        </w:rPr>
        <w:t>博时成长领航灵活配置混合型证券投资基金</w:t>
      </w:r>
      <w:r>
        <w:rPr>
          <w:bCs/>
          <w:szCs w:val="21"/>
        </w:rPr>
        <w:t>基金合同》及对基金合同的任何有效修订和补充</w:t>
      </w:r>
    </w:p>
    <w:p w:rsidR="00D5306E" w:rsidRDefault="006D76AB">
      <w:pPr>
        <w:spacing w:line="360" w:lineRule="auto"/>
        <w:ind w:firstLineChars="200" w:firstLine="420"/>
        <w:rPr>
          <w:bCs/>
          <w:szCs w:val="21"/>
        </w:rPr>
      </w:pPr>
      <w:r>
        <w:rPr>
          <w:rFonts w:hint="eastAsia"/>
          <w:bCs/>
          <w:szCs w:val="21"/>
        </w:rPr>
        <w:t>5</w:t>
      </w:r>
      <w:r>
        <w:rPr>
          <w:rFonts w:hint="eastAsia"/>
          <w:bCs/>
          <w:szCs w:val="21"/>
        </w:rPr>
        <w:t>、</w:t>
      </w:r>
      <w:r>
        <w:rPr>
          <w:bCs/>
          <w:szCs w:val="21"/>
        </w:rPr>
        <w:t>托管协议：指基金管理人与基金托管人就本基金签订之《</w:t>
      </w:r>
      <w:r>
        <w:rPr>
          <w:rFonts w:hint="eastAsia"/>
          <w:bCs/>
          <w:szCs w:val="21"/>
        </w:rPr>
        <w:t>博时成长领航灵活配置混合型证券投资基金</w:t>
      </w:r>
      <w:r>
        <w:rPr>
          <w:bCs/>
          <w:szCs w:val="21"/>
        </w:rPr>
        <w:t>托管协议》及对该托管协议的任何有效修订和补充</w:t>
      </w:r>
    </w:p>
    <w:p w:rsidR="00D5306E" w:rsidRDefault="006D76AB">
      <w:pPr>
        <w:spacing w:line="360" w:lineRule="auto"/>
        <w:ind w:firstLineChars="200" w:firstLine="420"/>
        <w:rPr>
          <w:bCs/>
          <w:szCs w:val="21"/>
        </w:rPr>
      </w:pPr>
      <w:r>
        <w:rPr>
          <w:rFonts w:hint="eastAsia"/>
          <w:bCs/>
          <w:szCs w:val="21"/>
        </w:rPr>
        <w:t>6</w:t>
      </w:r>
      <w:r>
        <w:rPr>
          <w:rFonts w:hint="eastAsia"/>
          <w:bCs/>
          <w:szCs w:val="21"/>
        </w:rPr>
        <w:t>、</w:t>
      </w:r>
      <w:r>
        <w:rPr>
          <w:bCs/>
          <w:szCs w:val="21"/>
        </w:rPr>
        <w:t>招募说明书</w:t>
      </w:r>
      <w:r>
        <w:rPr>
          <w:rFonts w:hint="eastAsia"/>
          <w:bCs/>
          <w:szCs w:val="21"/>
        </w:rPr>
        <w:t>或者本招募说明书</w:t>
      </w:r>
      <w:r>
        <w:rPr>
          <w:bCs/>
          <w:szCs w:val="21"/>
        </w:rPr>
        <w:t>：指《</w:t>
      </w:r>
      <w:r>
        <w:rPr>
          <w:rFonts w:hint="eastAsia"/>
          <w:bCs/>
          <w:szCs w:val="21"/>
        </w:rPr>
        <w:t>博时成长领航灵活配置混合型证券投资基金</w:t>
      </w:r>
      <w:r>
        <w:rPr>
          <w:bCs/>
          <w:szCs w:val="21"/>
        </w:rPr>
        <w:t>招募说明书》及其更新</w:t>
      </w:r>
    </w:p>
    <w:p w:rsidR="00D5306E" w:rsidRDefault="006D76AB">
      <w:pPr>
        <w:spacing w:line="360" w:lineRule="auto"/>
        <w:ind w:firstLineChars="200" w:firstLine="420"/>
        <w:rPr>
          <w:bCs/>
          <w:szCs w:val="21"/>
        </w:rPr>
      </w:pPr>
      <w:r>
        <w:rPr>
          <w:rFonts w:hint="eastAsia"/>
          <w:bCs/>
          <w:szCs w:val="21"/>
        </w:rPr>
        <w:t>7</w:t>
      </w:r>
      <w:r>
        <w:rPr>
          <w:rFonts w:hint="eastAsia"/>
          <w:bCs/>
          <w:szCs w:val="21"/>
        </w:rPr>
        <w:t>、基金产品资料概要：指《博时成长领航灵活配置混合型证券投资基金基金产品资料概要》及其更新</w:t>
      </w:r>
    </w:p>
    <w:p w:rsidR="00D5306E" w:rsidRDefault="006D76AB">
      <w:pPr>
        <w:spacing w:line="360" w:lineRule="auto"/>
        <w:ind w:firstLineChars="200" w:firstLine="420"/>
        <w:rPr>
          <w:bCs/>
          <w:szCs w:val="21"/>
        </w:rPr>
      </w:pPr>
      <w:r>
        <w:rPr>
          <w:rFonts w:hint="eastAsia"/>
          <w:bCs/>
          <w:szCs w:val="21"/>
        </w:rPr>
        <w:t>8</w:t>
      </w:r>
      <w:r>
        <w:rPr>
          <w:rFonts w:hint="eastAsia"/>
          <w:bCs/>
          <w:szCs w:val="21"/>
        </w:rPr>
        <w:t>、基金份额发售公告：指《博时成长领航灵活配置混合型证券投资基金基金份额发售公告》</w:t>
      </w:r>
    </w:p>
    <w:p w:rsidR="00D5306E" w:rsidRDefault="006D76AB">
      <w:pPr>
        <w:spacing w:line="360" w:lineRule="auto"/>
        <w:ind w:firstLineChars="200" w:firstLine="420"/>
        <w:rPr>
          <w:bCs/>
          <w:szCs w:val="21"/>
        </w:rPr>
      </w:pPr>
      <w:r>
        <w:rPr>
          <w:rFonts w:hint="eastAsia"/>
          <w:bCs/>
          <w:szCs w:val="21"/>
        </w:rPr>
        <w:t>9</w:t>
      </w:r>
      <w:r>
        <w:rPr>
          <w:rFonts w:hint="eastAsia"/>
          <w:bCs/>
          <w:szCs w:val="21"/>
        </w:rPr>
        <w:t>、法律法规：指中国现行有效并公布实施的法律、行政法规、规范性文件、司法解释、行政规章以及其他对基金合同当事人有约束力的决定、决议、通知等</w:t>
      </w:r>
    </w:p>
    <w:p w:rsidR="00D5306E" w:rsidRDefault="006D76AB">
      <w:pPr>
        <w:spacing w:line="360" w:lineRule="auto"/>
        <w:ind w:firstLineChars="200" w:firstLine="420"/>
        <w:rPr>
          <w:bCs/>
          <w:szCs w:val="21"/>
        </w:rPr>
      </w:pPr>
      <w:r>
        <w:rPr>
          <w:rFonts w:hint="eastAsia"/>
          <w:bCs/>
          <w:szCs w:val="21"/>
        </w:rPr>
        <w:t>10</w:t>
      </w:r>
      <w:r>
        <w:rPr>
          <w:rFonts w:hint="eastAsia"/>
          <w:bCs/>
          <w:szCs w:val="21"/>
        </w:rPr>
        <w:t>、《基金法》：指</w:t>
      </w:r>
      <w:r>
        <w:rPr>
          <w:rFonts w:hint="eastAsia"/>
          <w:bCs/>
          <w:szCs w:val="21"/>
        </w:rPr>
        <w:t>2003</w:t>
      </w:r>
      <w:r>
        <w:rPr>
          <w:rFonts w:hint="eastAsia"/>
          <w:bCs/>
          <w:szCs w:val="21"/>
        </w:rPr>
        <w:t>年</w:t>
      </w:r>
      <w:r>
        <w:rPr>
          <w:rFonts w:hint="eastAsia"/>
          <w:bCs/>
          <w:szCs w:val="21"/>
        </w:rPr>
        <w:t>10</w:t>
      </w:r>
      <w:r>
        <w:rPr>
          <w:rFonts w:hint="eastAsia"/>
          <w:bCs/>
          <w:szCs w:val="21"/>
        </w:rPr>
        <w:t>月</w:t>
      </w:r>
      <w:r>
        <w:rPr>
          <w:rFonts w:hint="eastAsia"/>
          <w:bCs/>
          <w:szCs w:val="21"/>
        </w:rPr>
        <w:t>28</w:t>
      </w:r>
      <w:r>
        <w:rPr>
          <w:rFonts w:hint="eastAsia"/>
          <w:bCs/>
          <w:szCs w:val="21"/>
        </w:rPr>
        <w:t>日经第十届全国人民代表大会常务委员会第五次会议通过，经</w:t>
      </w:r>
      <w:r>
        <w:rPr>
          <w:rFonts w:hint="eastAsia"/>
          <w:bCs/>
          <w:szCs w:val="21"/>
        </w:rPr>
        <w:t>2012</w:t>
      </w:r>
      <w:r>
        <w:rPr>
          <w:rFonts w:hint="eastAsia"/>
          <w:bCs/>
          <w:szCs w:val="21"/>
        </w:rPr>
        <w:t>年</w:t>
      </w:r>
      <w:r>
        <w:rPr>
          <w:rFonts w:hint="eastAsia"/>
          <w:bCs/>
          <w:szCs w:val="21"/>
        </w:rPr>
        <w:t>12</w:t>
      </w:r>
      <w:r>
        <w:rPr>
          <w:rFonts w:hint="eastAsia"/>
          <w:bCs/>
          <w:szCs w:val="21"/>
        </w:rPr>
        <w:t>月</w:t>
      </w:r>
      <w:r>
        <w:rPr>
          <w:rFonts w:hint="eastAsia"/>
          <w:bCs/>
          <w:szCs w:val="21"/>
        </w:rPr>
        <w:t>28</w:t>
      </w:r>
      <w:r>
        <w:rPr>
          <w:rFonts w:hint="eastAsia"/>
          <w:bCs/>
          <w:szCs w:val="21"/>
        </w:rPr>
        <w:t>日第十一届全国人民代表大会常务委员会第三十次会议修订，自</w:t>
      </w:r>
      <w:r>
        <w:rPr>
          <w:rFonts w:hint="eastAsia"/>
          <w:bCs/>
          <w:szCs w:val="21"/>
        </w:rPr>
        <w:t>2013</w:t>
      </w:r>
      <w:r>
        <w:rPr>
          <w:rFonts w:hint="eastAsia"/>
          <w:bCs/>
          <w:szCs w:val="21"/>
        </w:rPr>
        <w:t>年</w:t>
      </w:r>
      <w:r>
        <w:rPr>
          <w:rFonts w:hint="eastAsia"/>
          <w:bCs/>
          <w:szCs w:val="21"/>
        </w:rPr>
        <w:t>6</w:t>
      </w:r>
      <w:r>
        <w:rPr>
          <w:rFonts w:hint="eastAsia"/>
          <w:bCs/>
          <w:szCs w:val="21"/>
        </w:rPr>
        <w:t>月</w:t>
      </w:r>
      <w:r>
        <w:rPr>
          <w:rFonts w:hint="eastAsia"/>
          <w:bCs/>
          <w:szCs w:val="21"/>
        </w:rPr>
        <w:t>1</w:t>
      </w:r>
      <w:r>
        <w:rPr>
          <w:rFonts w:hint="eastAsia"/>
          <w:bCs/>
          <w:szCs w:val="21"/>
        </w:rPr>
        <w:t>日起实施，并经</w:t>
      </w:r>
      <w:r>
        <w:rPr>
          <w:rFonts w:hint="eastAsia"/>
          <w:bCs/>
          <w:szCs w:val="21"/>
        </w:rPr>
        <w:t>2015</w:t>
      </w:r>
      <w:r>
        <w:rPr>
          <w:rFonts w:hint="eastAsia"/>
          <w:bCs/>
          <w:szCs w:val="21"/>
        </w:rPr>
        <w:t>年</w:t>
      </w:r>
      <w:r>
        <w:rPr>
          <w:rFonts w:hint="eastAsia"/>
          <w:bCs/>
          <w:szCs w:val="21"/>
        </w:rPr>
        <w:t>4</w:t>
      </w:r>
      <w:r>
        <w:rPr>
          <w:rFonts w:hint="eastAsia"/>
          <w:bCs/>
          <w:szCs w:val="21"/>
        </w:rPr>
        <w:t>月</w:t>
      </w:r>
      <w:r>
        <w:rPr>
          <w:rFonts w:hint="eastAsia"/>
          <w:bCs/>
          <w:szCs w:val="21"/>
        </w:rPr>
        <w:t>24</w:t>
      </w:r>
      <w:r>
        <w:rPr>
          <w:rFonts w:hint="eastAsia"/>
          <w:bCs/>
          <w:szCs w:val="21"/>
        </w:rPr>
        <w:t>日第十二届全国人民代表大会常务委员会第十四次会议《全国人民代表大会常务委员会关于修改</w:t>
      </w:r>
      <w:r>
        <w:rPr>
          <w:rFonts w:hint="eastAsia"/>
          <w:bCs/>
          <w:szCs w:val="21"/>
        </w:rPr>
        <w:t>&lt;</w:t>
      </w:r>
      <w:r>
        <w:rPr>
          <w:rFonts w:hint="eastAsia"/>
          <w:bCs/>
          <w:szCs w:val="21"/>
        </w:rPr>
        <w:t>中华人民共和国港口法</w:t>
      </w:r>
      <w:r>
        <w:rPr>
          <w:rFonts w:hint="eastAsia"/>
          <w:bCs/>
          <w:szCs w:val="21"/>
        </w:rPr>
        <w:t>&gt;</w:t>
      </w:r>
      <w:r>
        <w:rPr>
          <w:rFonts w:hint="eastAsia"/>
          <w:bCs/>
          <w:szCs w:val="21"/>
        </w:rPr>
        <w:t>等七部法律的决定》修正的《中华人民共和国证券投资基金法》及颁布机关对其不时做出的修订</w:t>
      </w:r>
    </w:p>
    <w:p w:rsidR="00D5306E" w:rsidRDefault="006D76AB">
      <w:pPr>
        <w:spacing w:line="360" w:lineRule="auto"/>
        <w:ind w:firstLineChars="200" w:firstLine="420"/>
        <w:rPr>
          <w:bCs/>
          <w:szCs w:val="21"/>
        </w:rPr>
      </w:pPr>
      <w:r>
        <w:rPr>
          <w:rFonts w:hint="eastAsia"/>
          <w:bCs/>
          <w:szCs w:val="21"/>
        </w:rPr>
        <w:t>11</w:t>
      </w:r>
      <w:r>
        <w:rPr>
          <w:rFonts w:hint="eastAsia"/>
          <w:bCs/>
          <w:szCs w:val="21"/>
        </w:rPr>
        <w:t>、《销售办法》：指中国证监会</w:t>
      </w:r>
      <w:r>
        <w:rPr>
          <w:rFonts w:hint="eastAsia"/>
          <w:bCs/>
          <w:szCs w:val="21"/>
        </w:rPr>
        <w:t>2020</w:t>
      </w:r>
      <w:r>
        <w:rPr>
          <w:rFonts w:hint="eastAsia"/>
          <w:bCs/>
          <w:szCs w:val="21"/>
        </w:rPr>
        <w:t>年</w:t>
      </w:r>
      <w:r>
        <w:rPr>
          <w:rFonts w:hint="eastAsia"/>
          <w:bCs/>
          <w:szCs w:val="21"/>
        </w:rPr>
        <w:t>8</w:t>
      </w:r>
      <w:r>
        <w:rPr>
          <w:rFonts w:hint="eastAsia"/>
          <w:bCs/>
          <w:szCs w:val="21"/>
        </w:rPr>
        <w:t>月</w:t>
      </w:r>
      <w:r>
        <w:rPr>
          <w:rFonts w:hint="eastAsia"/>
          <w:bCs/>
          <w:szCs w:val="21"/>
        </w:rPr>
        <w:t>28</w:t>
      </w:r>
      <w:r>
        <w:rPr>
          <w:rFonts w:hint="eastAsia"/>
          <w:bCs/>
          <w:szCs w:val="21"/>
        </w:rPr>
        <w:t>日颁布、同年</w:t>
      </w:r>
      <w:r>
        <w:rPr>
          <w:rFonts w:hint="eastAsia"/>
          <w:bCs/>
          <w:szCs w:val="21"/>
        </w:rPr>
        <w:t>10</w:t>
      </w:r>
      <w:r>
        <w:rPr>
          <w:rFonts w:hint="eastAsia"/>
          <w:bCs/>
          <w:szCs w:val="21"/>
        </w:rPr>
        <w:t>月</w:t>
      </w:r>
      <w:r>
        <w:rPr>
          <w:rFonts w:hint="eastAsia"/>
          <w:bCs/>
          <w:szCs w:val="21"/>
        </w:rPr>
        <w:t>1</w:t>
      </w:r>
      <w:r>
        <w:rPr>
          <w:rFonts w:hint="eastAsia"/>
          <w:bCs/>
          <w:szCs w:val="21"/>
        </w:rPr>
        <w:t>日实施的《公开募集证券投资基金销售机构监督管理办法》及颁布机关对其不时做出的修订</w:t>
      </w:r>
    </w:p>
    <w:p w:rsidR="00D5306E" w:rsidRDefault="006D76AB">
      <w:pPr>
        <w:spacing w:line="360" w:lineRule="auto"/>
        <w:ind w:firstLineChars="200" w:firstLine="420"/>
        <w:rPr>
          <w:bCs/>
          <w:szCs w:val="21"/>
        </w:rPr>
      </w:pPr>
      <w:r>
        <w:rPr>
          <w:rFonts w:hint="eastAsia"/>
          <w:bCs/>
          <w:szCs w:val="21"/>
        </w:rPr>
        <w:t>12</w:t>
      </w:r>
      <w:r>
        <w:rPr>
          <w:rFonts w:hint="eastAsia"/>
          <w:bCs/>
          <w:szCs w:val="21"/>
        </w:rPr>
        <w:t>、《信息披露办法》：指中国证监会</w:t>
      </w:r>
      <w:r>
        <w:rPr>
          <w:rFonts w:hint="eastAsia"/>
          <w:bCs/>
          <w:szCs w:val="21"/>
        </w:rPr>
        <w:t>2019</w:t>
      </w:r>
      <w:r>
        <w:rPr>
          <w:rFonts w:hint="eastAsia"/>
          <w:bCs/>
          <w:szCs w:val="21"/>
        </w:rPr>
        <w:t>年</w:t>
      </w:r>
      <w:r>
        <w:rPr>
          <w:rFonts w:hint="eastAsia"/>
          <w:bCs/>
          <w:szCs w:val="21"/>
        </w:rPr>
        <w:t>7</w:t>
      </w:r>
      <w:r>
        <w:rPr>
          <w:rFonts w:hint="eastAsia"/>
          <w:bCs/>
          <w:szCs w:val="21"/>
        </w:rPr>
        <w:t>月</w:t>
      </w:r>
      <w:r>
        <w:rPr>
          <w:rFonts w:hint="eastAsia"/>
          <w:bCs/>
          <w:szCs w:val="21"/>
        </w:rPr>
        <w:t>26</w:t>
      </w:r>
      <w:r>
        <w:rPr>
          <w:rFonts w:hint="eastAsia"/>
          <w:bCs/>
          <w:szCs w:val="21"/>
        </w:rPr>
        <w:t>日颁布、同年</w:t>
      </w:r>
      <w:r>
        <w:rPr>
          <w:rFonts w:hint="eastAsia"/>
          <w:bCs/>
          <w:szCs w:val="21"/>
        </w:rPr>
        <w:t>9</w:t>
      </w:r>
      <w:r>
        <w:rPr>
          <w:rFonts w:hint="eastAsia"/>
          <w:bCs/>
          <w:szCs w:val="21"/>
        </w:rPr>
        <w:t>月</w:t>
      </w:r>
      <w:r>
        <w:rPr>
          <w:rFonts w:hint="eastAsia"/>
          <w:bCs/>
          <w:szCs w:val="21"/>
        </w:rPr>
        <w:t>1</w:t>
      </w:r>
      <w:r>
        <w:rPr>
          <w:rFonts w:hint="eastAsia"/>
          <w:bCs/>
          <w:szCs w:val="21"/>
        </w:rPr>
        <w:t>日实施，并经</w:t>
      </w:r>
      <w:r>
        <w:rPr>
          <w:rFonts w:hint="eastAsia"/>
          <w:bCs/>
          <w:szCs w:val="21"/>
        </w:rPr>
        <w:t xml:space="preserve">2020 </w:t>
      </w:r>
      <w:r>
        <w:rPr>
          <w:rFonts w:hint="eastAsia"/>
          <w:bCs/>
          <w:szCs w:val="21"/>
        </w:rPr>
        <w:t>年</w:t>
      </w:r>
      <w:r>
        <w:rPr>
          <w:rFonts w:hint="eastAsia"/>
          <w:bCs/>
          <w:szCs w:val="21"/>
        </w:rPr>
        <w:t>3</w:t>
      </w:r>
      <w:r>
        <w:rPr>
          <w:rFonts w:hint="eastAsia"/>
          <w:bCs/>
          <w:szCs w:val="21"/>
        </w:rPr>
        <w:t>月</w:t>
      </w:r>
      <w:r>
        <w:rPr>
          <w:rFonts w:hint="eastAsia"/>
          <w:bCs/>
          <w:szCs w:val="21"/>
        </w:rPr>
        <w:t>20</w:t>
      </w:r>
      <w:r>
        <w:rPr>
          <w:rFonts w:hint="eastAsia"/>
          <w:bCs/>
          <w:szCs w:val="21"/>
        </w:rPr>
        <w:t>日中国证监会《关于修改部分证券期货规章的决定》修改的《公开募集证券投资基金信息披露管理办法》及颁布机关对其不时做出的修订</w:t>
      </w:r>
    </w:p>
    <w:p w:rsidR="00D5306E" w:rsidRDefault="006D76AB">
      <w:pPr>
        <w:spacing w:line="360" w:lineRule="auto"/>
        <w:ind w:firstLineChars="200" w:firstLine="420"/>
        <w:rPr>
          <w:bCs/>
          <w:szCs w:val="21"/>
        </w:rPr>
      </w:pPr>
      <w:r>
        <w:rPr>
          <w:rFonts w:hint="eastAsia"/>
          <w:bCs/>
          <w:szCs w:val="21"/>
        </w:rPr>
        <w:t>13</w:t>
      </w:r>
      <w:r>
        <w:rPr>
          <w:rFonts w:hint="eastAsia"/>
          <w:bCs/>
          <w:szCs w:val="21"/>
        </w:rPr>
        <w:t>、《运作办法》：指中国证监会</w:t>
      </w:r>
      <w:r>
        <w:rPr>
          <w:rFonts w:hint="eastAsia"/>
          <w:bCs/>
          <w:szCs w:val="21"/>
        </w:rPr>
        <w:t>2014</w:t>
      </w:r>
      <w:r>
        <w:rPr>
          <w:rFonts w:hint="eastAsia"/>
          <w:bCs/>
          <w:szCs w:val="21"/>
        </w:rPr>
        <w:t>年</w:t>
      </w:r>
      <w:r>
        <w:rPr>
          <w:rFonts w:hint="eastAsia"/>
          <w:bCs/>
          <w:szCs w:val="21"/>
        </w:rPr>
        <w:t>7</w:t>
      </w:r>
      <w:r>
        <w:rPr>
          <w:rFonts w:hint="eastAsia"/>
          <w:bCs/>
          <w:szCs w:val="21"/>
        </w:rPr>
        <w:t>月</w:t>
      </w:r>
      <w:r>
        <w:rPr>
          <w:rFonts w:hint="eastAsia"/>
          <w:bCs/>
          <w:szCs w:val="21"/>
        </w:rPr>
        <w:t>7</w:t>
      </w:r>
      <w:r>
        <w:rPr>
          <w:rFonts w:hint="eastAsia"/>
          <w:bCs/>
          <w:szCs w:val="21"/>
        </w:rPr>
        <w:t>日颁布、同年</w:t>
      </w:r>
      <w:r>
        <w:rPr>
          <w:rFonts w:hint="eastAsia"/>
          <w:bCs/>
          <w:szCs w:val="21"/>
        </w:rPr>
        <w:t>8</w:t>
      </w:r>
      <w:r>
        <w:rPr>
          <w:rFonts w:hint="eastAsia"/>
          <w:bCs/>
          <w:szCs w:val="21"/>
        </w:rPr>
        <w:t>月</w:t>
      </w:r>
      <w:r>
        <w:rPr>
          <w:rFonts w:hint="eastAsia"/>
          <w:bCs/>
          <w:szCs w:val="21"/>
        </w:rPr>
        <w:t>8</w:t>
      </w:r>
      <w:r>
        <w:rPr>
          <w:rFonts w:hint="eastAsia"/>
          <w:bCs/>
          <w:szCs w:val="21"/>
        </w:rPr>
        <w:t>日实施的《公开募集证券投资基金运作管理办法》及颁布机关对其不时做出的修订</w:t>
      </w:r>
    </w:p>
    <w:p w:rsidR="00D5306E" w:rsidRDefault="006D76AB">
      <w:pPr>
        <w:spacing w:line="360" w:lineRule="auto"/>
        <w:ind w:firstLineChars="200" w:firstLine="420"/>
        <w:rPr>
          <w:bCs/>
          <w:szCs w:val="21"/>
        </w:rPr>
      </w:pPr>
      <w:r>
        <w:rPr>
          <w:rFonts w:hint="eastAsia"/>
          <w:bCs/>
          <w:szCs w:val="21"/>
        </w:rPr>
        <w:t>14</w:t>
      </w:r>
      <w:r>
        <w:rPr>
          <w:rFonts w:hint="eastAsia"/>
          <w:bCs/>
          <w:szCs w:val="21"/>
        </w:rPr>
        <w:t>、《流动性风险管理规定》：指中国证监会</w:t>
      </w:r>
      <w:r>
        <w:rPr>
          <w:rFonts w:hint="eastAsia"/>
          <w:bCs/>
          <w:szCs w:val="21"/>
        </w:rPr>
        <w:t>2017</w:t>
      </w:r>
      <w:r>
        <w:rPr>
          <w:rFonts w:hint="eastAsia"/>
          <w:bCs/>
          <w:szCs w:val="21"/>
        </w:rPr>
        <w:t>年</w:t>
      </w:r>
      <w:r>
        <w:rPr>
          <w:rFonts w:hint="eastAsia"/>
          <w:bCs/>
          <w:szCs w:val="21"/>
        </w:rPr>
        <w:t>8</w:t>
      </w:r>
      <w:r>
        <w:rPr>
          <w:rFonts w:hint="eastAsia"/>
          <w:bCs/>
          <w:szCs w:val="21"/>
        </w:rPr>
        <w:t>月</w:t>
      </w:r>
      <w:r>
        <w:rPr>
          <w:rFonts w:hint="eastAsia"/>
          <w:bCs/>
          <w:szCs w:val="21"/>
        </w:rPr>
        <w:t>31</w:t>
      </w:r>
      <w:r>
        <w:rPr>
          <w:rFonts w:hint="eastAsia"/>
          <w:bCs/>
          <w:szCs w:val="21"/>
        </w:rPr>
        <w:t>日颁布、同年</w:t>
      </w:r>
      <w:r>
        <w:rPr>
          <w:rFonts w:hint="eastAsia"/>
          <w:bCs/>
          <w:szCs w:val="21"/>
        </w:rPr>
        <w:t>10</w:t>
      </w:r>
      <w:r>
        <w:rPr>
          <w:rFonts w:hint="eastAsia"/>
          <w:bCs/>
          <w:szCs w:val="21"/>
        </w:rPr>
        <w:t>月</w:t>
      </w:r>
      <w:r>
        <w:rPr>
          <w:rFonts w:hint="eastAsia"/>
          <w:bCs/>
          <w:szCs w:val="21"/>
        </w:rPr>
        <w:t>1</w:t>
      </w:r>
      <w:r>
        <w:rPr>
          <w:rFonts w:hint="eastAsia"/>
          <w:bCs/>
          <w:szCs w:val="21"/>
        </w:rPr>
        <w:t>日实施的《公开募集开放式证券投资基金流动性风险管理规定》及颁布机关对其不时做出的修订</w:t>
      </w:r>
    </w:p>
    <w:p w:rsidR="00D5306E" w:rsidRDefault="006D76AB">
      <w:pPr>
        <w:spacing w:line="360" w:lineRule="auto"/>
        <w:ind w:firstLineChars="200" w:firstLine="420"/>
        <w:rPr>
          <w:bCs/>
          <w:szCs w:val="21"/>
        </w:rPr>
      </w:pPr>
      <w:r>
        <w:rPr>
          <w:rFonts w:hint="eastAsia"/>
          <w:bCs/>
          <w:szCs w:val="21"/>
        </w:rPr>
        <w:lastRenderedPageBreak/>
        <w:t>15</w:t>
      </w:r>
      <w:r>
        <w:rPr>
          <w:rFonts w:hint="eastAsia"/>
          <w:bCs/>
          <w:szCs w:val="21"/>
        </w:rPr>
        <w:t>、中国证监会：指中国证券监督管理委员会</w:t>
      </w:r>
    </w:p>
    <w:p w:rsidR="00D5306E" w:rsidRDefault="006D76AB">
      <w:pPr>
        <w:spacing w:line="360" w:lineRule="auto"/>
        <w:ind w:firstLineChars="200" w:firstLine="420"/>
        <w:rPr>
          <w:bCs/>
          <w:szCs w:val="21"/>
        </w:rPr>
      </w:pPr>
      <w:r>
        <w:rPr>
          <w:rFonts w:hint="eastAsia"/>
          <w:bCs/>
          <w:szCs w:val="21"/>
        </w:rPr>
        <w:t>16</w:t>
      </w:r>
      <w:r>
        <w:rPr>
          <w:rFonts w:hint="eastAsia"/>
          <w:bCs/>
          <w:szCs w:val="21"/>
        </w:rPr>
        <w:t>、银行业监督管理机构：指中国人民银行和</w:t>
      </w:r>
      <w:r>
        <w:rPr>
          <w:rFonts w:hint="eastAsia"/>
          <w:bCs/>
          <w:szCs w:val="21"/>
        </w:rPr>
        <w:t>/</w:t>
      </w:r>
      <w:r>
        <w:rPr>
          <w:rFonts w:hint="eastAsia"/>
          <w:bCs/>
          <w:szCs w:val="21"/>
        </w:rPr>
        <w:t>或中国银行保险监督管理委员会</w:t>
      </w:r>
    </w:p>
    <w:p w:rsidR="00D5306E" w:rsidRDefault="006D76AB">
      <w:pPr>
        <w:spacing w:line="360" w:lineRule="auto"/>
        <w:ind w:firstLineChars="200" w:firstLine="420"/>
        <w:rPr>
          <w:bCs/>
          <w:szCs w:val="21"/>
        </w:rPr>
      </w:pPr>
      <w:r>
        <w:rPr>
          <w:rFonts w:hint="eastAsia"/>
          <w:bCs/>
          <w:szCs w:val="21"/>
        </w:rPr>
        <w:t>17</w:t>
      </w:r>
      <w:r>
        <w:rPr>
          <w:rFonts w:hint="eastAsia"/>
          <w:bCs/>
          <w:szCs w:val="21"/>
        </w:rPr>
        <w:t>、基金合同当事人：指受基金合同约束，根据基金合同享有权利并承担义务的法律主体，包括基金管理人、基金托管人和基金份额持有人</w:t>
      </w:r>
    </w:p>
    <w:p w:rsidR="00D5306E" w:rsidRDefault="006D76AB">
      <w:pPr>
        <w:spacing w:line="360" w:lineRule="auto"/>
        <w:ind w:firstLineChars="200" w:firstLine="420"/>
        <w:rPr>
          <w:bCs/>
          <w:szCs w:val="21"/>
        </w:rPr>
      </w:pPr>
      <w:r>
        <w:rPr>
          <w:rFonts w:hint="eastAsia"/>
          <w:bCs/>
          <w:szCs w:val="21"/>
        </w:rPr>
        <w:t>18</w:t>
      </w:r>
      <w:r>
        <w:rPr>
          <w:rFonts w:hint="eastAsia"/>
          <w:bCs/>
          <w:szCs w:val="21"/>
        </w:rPr>
        <w:t>、个人投资者：指依据有关法律法规规定可投资于证券投资基金的自然人</w:t>
      </w:r>
    </w:p>
    <w:p w:rsidR="00D5306E" w:rsidRDefault="006D76AB">
      <w:pPr>
        <w:spacing w:line="360" w:lineRule="auto"/>
        <w:ind w:firstLineChars="200" w:firstLine="420"/>
        <w:rPr>
          <w:bCs/>
          <w:szCs w:val="21"/>
        </w:rPr>
      </w:pPr>
      <w:r>
        <w:rPr>
          <w:rFonts w:hint="eastAsia"/>
          <w:bCs/>
          <w:szCs w:val="21"/>
        </w:rPr>
        <w:t>19</w:t>
      </w:r>
      <w:r>
        <w:rPr>
          <w:rFonts w:hint="eastAsia"/>
          <w:bCs/>
          <w:szCs w:val="21"/>
        </w:rPr>
        <w:t>、机构投资者：指依法可以投资证券投资基金的、在中华人民共和国境内合法登记并存续或经有关政府部门批准设立并存续的企业法人、事业法人、社会团体或其他组织</w:t>
      </w:r>
    </w:p>
    <w:p w:rsidR="00D5306E" w:rsidRDefault="006D76AB">
      <w:pPr>
        <w:spacing w:line="360" w:lineRule="auto"/>
        <w:ind w:firstLineChars="200" w:firstLine="420"/>
        <w:rPr>
          <w:bCs/>
          <w:szCs w:val="21"/>
        </w:rPr>
      </w:pPr>
      <w:r>
        <w:rPr>
          <w:rFonts w:hint="eastAsia"/>
          <w:bCs/>
          <w:szCs w:val="21"/>
        </w:rPr>
        <w:t>20</w:t>
      </w:r>
      <w:r>
        <w:rPr>
          <w:rFonts w:hint="eastAsia"/>
          <w:bCs/>
          <w:szCs w:val="21"/>
        </w:rPr>
        <w:t>、合格境外机构投资者：指符合《合格境外机构投资者和人民币合格境外机构投资者境内证券期货投资管理办法》及相关法律法规规定可以投资于在中国境内依法募集的证券投资基金的中国境外的机构投资者</w:t>
      </w:r>
    </w:p>
    <w:p w:rsidR="00D5306E" w:rsidRDefault="006D76AB">
      <w:pPr>
        <w:spacing w:line="360" w:lineRule="auto"/>
        <w:ind w:firstLineChars="200" w:firstLine="420"/>
        <w:rPr>
          <w:bCs/>
          <w:szCs w:val="21"/>
        </w:rPr>
      </w:pPr>
      <w:r>
        <w:rPr>
          <w:rFonts w:hint="eastAsia"/>
          <w:bCs/>
          <w:szCs w:val="21"/>
        </w:rPr>
        <w:t>21</w:t>
      </w:r>
      <w:r>
        <w:rPr>
          <w:rFonts w:hint="eastAsia"/>
          <w:bCs/>
          <w:szCs w:val="21"/>
        </w:rPr>
        <w:t>、人民币合格境外机构投资者：指按照《合格境外机构投资者和人民币合格境外机构投资者境内证券期货投资管理办法》及相关法律法规规定，运用来自境外的人民币资金进行境内证券投资的境外法人</w:t>
      </w:r>
    </w:p>
    <w:p w:rsidR="00D5306E" w:rsidRDefault="006D76AB">
      <w:pPr>
        <w:spacing w:line="360" w:lineRule="auto"/>
        <w:ind w:firstLineChars="200" w:firstLine="420"/>
        <w:rPr>
          <w:bCs/>
          <w:szCs w:val="21"/>
        </w:rPr>
      </w:pPr>
      <w:r>
        <w:rPr>
          <w:rFonts w:hint="eastAsia"/>
          <w:bCs/>
          <w:szCs w:val="21"/>
        </w:rPr>
        <w:t>22</w:t>
      </w:r>
      <w:r>
        <w:rPr>
          <w:rFonts w:hint="eastAsia"/>
          <w:bCs/>
          <w:szCs w:val="21"/>
        </w:rPr>
        <w:t>、投资人、投资者：指个人投资者、机构投资者、合格境外机构投资者和人民币合格境外机构投资者以及法律法规或中国证监会允许购买证券投资基金的其他投资人的合称</w:t>
      </w:r>
    </w:p>
    <w:p w:rsidR="00D5306E" w:rsidRDefault="006D76AB">
      <w:pPr>
        <w:spacing w:line="360" w:lineRule="auto"/>
        <w:ind w:firstLineChars="200" w:firstLine="420"/>
        <w:rPr>
          <w:bCs/>
          <w:szCs w:val="21"/>
        </w:rPr>
      </w:pPr>
      <w:r>
        <w:rPr>
          <w:rFonts w:hint="eastAsia"/>
          <w:bCs/>
          <w:szCs w:val="21"/>
        </w:rPr>
        <w:t>23</w:t>
      </w:r>
      <w:r>
        <w:rPr>
          <w:rFonts w:hint="eastAsia"/>
          <w:bCs/>
          <w:szCs w:val="21"/>
        </w:rPr>
        <w:t>、基金份额持有人：指依基金合同和招募说明书合法取得基金份额的投资人</w:t>
      </w:r>
    </w:p>
    <w:p w:rsidR="00D5306E" w:rsidRDefault="006D76AB">
      <w:pPr>
        <w:spacing w:line="360" w:lineRule="auto"/>
        <w:ind w:firstLineChars="200" w:firstLine="420"/>
        <w:rPr>
          <w:bCs/>
          <w:szCs w:val="21"/>
        </w:rPr>
      </w:pPr>
      <w:r>
        <w:rPr>
          <w:rFonts w:hint="eastAsia"/>
          <w:bCs/>
          <w:szCs w:val="21"/>
        </w:rPr>
        <w:t>24</w:t>
      </w:r>
      <w:r>
        <w:rPr>
          <w:rFonts w:hint="eastAsia"/>
          <w:bCs/>
          <w:szCs w:val="21"/>
        </w:rPr>
        <w:t>、基金销售业务：指基金管理人或销售机构宣传推介基金，发售基金份额，办理基金份额的申购、赎回、转换、转托管及定期定额投资等业务</w:t>
      </w:r>
    </w:p>
    <w:p w:rsidR="00D5306E" w:rsidRDefault="006D76AB">
      <w:pPr>
        <w:spacing w:line="360" w:lineRule="auto"/>
        <w:ind w:firstLineChars="200" w:firstLine="420"/>
        <w:rPr>
          <w:bCs/>
          <w:szCs w:val="21"/>
        </w:rPr>
      </w:pPr>
      <w:r>
        <w:rPr>
          <w:rFonts w:hint="eastAsia"/>
          <w:bCs/>
          <w:szCs w:val="21"/>
        </w:rPr>
        <w:t>25</w:t>
      </w:r>
      <w:r>
        <w:rPr>
          <w:rFonts w:hint="eastAsia"/>
          <w:bCs/>
          <w:szCs w:val="21"/>
        </w:rPr>
        <w:t>、销售机构：指直销机构和代销机构</w:t>
      </w:r>
    </w:p>
    <w:p w:rsidR="00D5306E" w:rsidRDefault="006D76AB">
      <w:pPr>
        <w:spacing w:line="360" w:lineRule="auto"/>
        <w:ind w:firstLineChars="200" w:firstLine="420"/>
        <w:rPr>
          <w:bCs/>
          <w:szCs w:val="21"/>
        </w:rPr>
      </w:pPr>
      <w:r>
        <w:rPr>
          <w:rFonts w:hint="eastAsia"/>
          <w:bCs/>
          <w:szCs w:val="21"/>
        </w:rPr>
        <w:t>26</w:t>
      </w:r>
      <w:r>
        <w:rPr>
          <w:rFonts w:hint="eastAsia"/>
          <w:bCs/>
          <w:szCs w:val="21"/>
        </w:rPr>
        <w:t>、直销机构：指博时基金管理有限公司</w:t>
      </w:r>
    </w:p>
    <w:p w:rsidR="00D5306E" w:rsidRDefault="006D76AB">
      <w:pPr>
        <w:spacing w:line="360" w:lineRule="auto"/>
        <w:ind w:firstLineChars="200" w:firstLine="420"/>
        <w:rPr>
          <w:bCs/>
          <w:szCs w:val="21"/>
        </w:rPr>
      </w:pPr>
      <w:r>
        <w:rPr>
          <w:rFonts w:hint="eastAsia"/>
          <w:bCs/>
          <w:szCs w:val="21"/>
        </w:rPr>
        <w:t>27</w:t>
      </w:r>
      <w:r>
        <w:rPr>
          <w:rFonts w:hint="eastAsia"/>
          <w:bCs/>
          <w:szCs w:val="21"/>
        </w:rPr>
        <w:t>、代销机构：指符合《销售办法》和中国证监会规定的其他条件，取得基金销售业务资格并与基金管理人签订了基金销售服务协议，办理基金销售业务的机构</w:t>
      </w:r>
    </w:p>
    <w:p w:rsidR="00D5306E" w:rsidRDefault="006D76AB">
      <w:pPr>
        <w:spacing w:line="360" w:lineRule="auto"/>
        <w:ind w:firstLineChars="200" w:firstLine="420"/>
        <w:rPr>
          <w:bCs/>
          <w:szCs w:val="21"/>
        </w:rPr>
      </w:pPr>
      <w:r>
        <w:rPr>
          <w:rFonts w:hint="eastAsia"/>
          <w:bCs/>
          <w:szCs w:val="21"/>
        </w:rPr>
        <w:t>28</w:t>
      </w:r>
      <w:r>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D5306E" w:rsidRDefault="006D76AB">
      <w:pPr>
        <w:spacing w:line="360" w:lineRule="auto"/>
        <w:ind w:firstLineChars="200" w:firstLine="420"/>
        <w:rPr>
          <w:bCs/>
          <w:szCs w:val="21"/>
        </w:rPr>
      </w:pPr>
      <w:r>
        <w:rPr>
          <w:rFonts w:hint="eastAsia"/>
          <w:bCs/>
          <w:szCs w:val="21"/>
        </w:rPr>
        <w:t>29</w:t>
      </w:r>
      <w:r>
        <w:rPr>
          <w:rFonts w:hint="eastAsia"/>
          <w:bCs/>
          <w:szCs w:val="21"/>
        </w:rPr>
        <w:t>、登记机构：指办理登记业务的机构。基金的登记机构为博时基金管理有限公司或接受博时基金管理有限公司委托代为办理登记业务的机构</w:t>
      </w:r>
    </w:p>
    <w:p w:rsidR="00D5306E" w:rsidRDefault="006D76AB">
      <w:pPr>
        <w:spacing w:line="360" w:lineRule="auto"/>
        <w:ind w:firstLineChars="200" w:firstLine="420"/>
        <w:rPr>
          <w:bCs/>
          <w:szCs w:val="21"/>
        </w:rPr>
      </w:pPr>
      <w:r>
        <w:rPr>
          <w:rFonts w:hint="eastAsia"/>
          <w:bCs/>
          <w:szCs w:val="21"/>
        </w:rPr>
        <w:t>30</w:t>
      </w:r>
      <w:r>
        <w:rPr>
          <w:rFonts w:hint="eastAsia"/>
          <w:bCs/>
          <w:szCs w:val="21"/>
        </w:rPr>
        <w:t>、基金账户：指登记机构为投资人开立的、记录其持有的、基金管理人所管理的基金份额余额及其变动情况的账户</w:t>
      </w:r>
    </w:p>
    <w:p w:rsidR="00D5306E" w:rsidRDefault="006D76AB">
      <w:pPr>
        <w:spacing w:line="360" w:lineRule="auto"/>
        <w:ind w:firstLineChars="200" w:firstLine="420"/>
        <w:rPr>
          <w:bCs/>
          <w:szCs w:val="21"/>
        </w:rPr>
      </w:pPr>
      <w:r>
        <w:rPr>
          <w:rFonts w:hint="eastAsia"/>
          <w:bCs/>
          <w:szCs w:val="21"/>
        </w:rPr>
        <w:t>31</w:t>
      </w:r>
      <w:r>
        <w:rPr>
          <w:rFonts w:hint="eastAsia"/>
          <w:bCs/>
          <w:szCs w:val="21"/>
        </w:rPr>
        <w:t>、基金交易账户：指销售机构为投资人开立的、记录投资人通过该销售机构办理认购、申购、赎回、转换、转托管及定期定额投资等业务而引起的基金份额变动及结余情况的账户</w:t>
      </w:r>
    </w:p>
    <w:p w:rsidR="00D5306E" w:rsidRDefault="006D76AB">
      <w:pPr>
        <w:spacing w:line="360" w:lineRule="auto"/>
        <w:ind w:firstLineChars="200" w:firstLine="420"/>
        <w:rPr>
          <w:bCs/>
          <w:szCs w:val="21"/>
        </w:rPr>
      </w:pPr>
      <w:r>
        <w:rPr>
          <w:rFonts w:hint="eastAsia"/>
          <w:bCs/>
          <w:szCs w:val="21"/>
        </w:rPr>
        <w:t>32</w:t>
      </w:r>
      <w:r>
        <w:rPr>
          <w:rFonts w:hint="eastAsia"/>
          <w:bCs/>
          <w:szCs w:val="21"/>
        </w:rPr>
        <w:t>、基金合同生效日：指基金募集达到法律法规规定及基金合同规定的条件，基金管理人</w:t>
      </w:r>
      <w:r>
        <w:rPr>
          <w:rFonts w:hint="eastAsia"/>
          <w:bCs/>
          <w:szCs w:val="21"/>
        </w:rPr>
        <w:lastRenderedPageBreak/>
        <w:t>向中国证监会办理基金备案手续完毕，并获得中国证监会书面确认的日期</w:t>
      </w:r>
    </w:p>
    <w:p w:rsidR="00D5306E" w:rsidRDefault="006D76AB">
      <w:pPr>
        <w:spacing w:line="360" w:lineRule="auto"/>
        <w:ind w:firstLineChars="200" w:firstLine="420"/>
        <w:rPr>
          <w:bCs/>
          <w:szCs w:val="21"/>
        </w:rPr>
      </w:pPr>
      <w:r>
        <w:rPr>
          <w:rFonts w:hint="eastAsia"/>
          <w:bCs/>
          <w:szCs w:val="21"/>
        </w:rPr>
        <w:t>33</w:t>
      </w:r>
      <w:r>
        <w:rPr>
          <w:rFonts w:hint="eastAsia"/>
          <w:bCs/>
          <w:szCs w:val="21"/>
        </w:rPr>
        <w:t>、基金合同终止日：指基金合同规定的基金合同终止事由出现后，基金财产清算完毕，清算结果报中国证监会备案并予以公告的日期</w:t>
      </w:r>
    </w:p>
    <w:p w:rsidR="00D5306E" w:rsidRDefault="006D76AB">
      <w:pPr>
        <w:spacing w:line="360" w:lineRule="auto"/>
        <w:ind w:firstLineChars="200" w:firstLine="420"/>
        <w:rPr>
          <w:bCs/>
          <w:szCs w:val="21"/>
        </w:rPr>
      </w:pPr>
      <w:r>
        <w:rPr>
          <w:rFonts w:hint="eastAsia"/>
          <w:bCs/>
          <w:szCs w:val="21"/>
        </w:rPr>
        <w:t>34</w:t>
      </w:r>
      <w:r>
        <w:rPr>
          <w:rFonts w:hint="eastAsia"/>
          <w:bCs/>
          <w:szCs w:val="21"/>
        </w:rPr>
        <w:t>、基金募集期：指自基金份额发售之日起至发售结束之日止的期间，最长不得超过</w:t>
      </w:r>
      <w:r>
        <w:rPr>
          <w:rFonts w:hint="eastAsia"/>
          <w:bCs/>
          <w:szCs w:val="21"/>
        </w:rPr>
        <w:t>3</w:t>
      </w:r>
      <w:r>
        <w:rPr>
          <w:rFonts w:hint="eastAsia"/>
          <w:bCs/>
          <w:szCs w:val="21"/>
        </w:rPr>
        <w:t>个月</w:t>
      </w:r>
    </w:p>
    <w:p w:rsidR="00D5306E" w:rsidRDefault="006D76AB">
      <w:pPr>
        <w:spacing w:line="360" w:lineRule="auto"/>
        <w:ind w:firstLineChars="200" w:firstLine="420"/>
        <w:rPr>
          <w:bCs/>
          <w:szCs w:val="21"/>
        </w:rPr>
      </w:pPr>
      <w:r>
        <w:rPr>
          <w:rFonts w:hint="eastAsia"/>
          <w:bCs/>
          <w:szCs w:val="21"/>
        </w:rPr>
        <w:t>35</w:t>
      </w:r>
      <w:r>
        <w:rPr>
          <w:rFonts w:hint="eastAsia"/>
          <w:bCs/>
          <w:szCs w:val="21"/>
        </w:rPr>
        <w:t>、存续期：指基金合同生效至终止之间的不定期期限</w:t>
      </w:r>
    </w:p>
    <w:p w:rsidR="00D5306E" w:rsidRDefault="006D76AB">
      <w:pPr>
        <w:spacing w:line="360" w:lineRule="auto"/>
        <w:ind w:firstLineChars="200" w:firstLine="420"/>
        <w:rPr>
          <w:bCs/>
          <w:szCs w:val="21"/>
        </w:rPr>
      </w:pPr>
      <w:r>
        <w:rPr>
          <w:rFonts w:hint="eastAsia"/>
          <w:bCs/>
          <w:szCs w:val="21"/>
        </w:rPr>
        <w:t>36</w:t>
      </w:r>
      <w:r>
        <w:rPr>
          <w:rFonts w:hint="eastAsia"/>
          <w:bCs/>
          <w:szCs w:val="21"/>
        </w:rPr>
        <w:t>、工作日：指上海证券交易所、深圳证券交易所及相关期货交易所的正常交易日</w:t>
      </w:r>
    </w:p>
    <w:p w:rsidR="00D5306E" w:rsidRDefault="006D76AB">
      <w:pPr>
        <w:spacing w:line="360" w:lineRule="auto"/>
        <w:ind w:firstLineChars="200" w:firstLine="420"/>
        <w:rPr>
          <w:bCs/>
          <w:szCs w:val="21"/>
        </w:rPr>
      </w:pPr>
      <w:r>
        <w:rPr>
          <w:rFonts w:hint="eastAsia"/>
          <w:bCs/>
          <w:szCs w:val="21"/>
        </w:rPr>
        <w:t>37</w:t>
      </w:r>
      <w:r>
        <w:rPr>
          <w:rFonts w:hint="eastAsia"/>
          <w:bCs/>
          <w:szCs w:val="21"/>
        </w:rPr>
        <w:t>、</w:t>
      </w:r>
      <w:r>
        <w:rPr>
          <w:rFonts w:hint="eastAsia"/>
          <w:bCs/>
          <w:szCs w:val="21"/>
        </w:rPr>
        <w:t>T</w:t>
      </w:r>
      <w:r>
        <w:rPr>
          <w:rFonts w:hint="eastAsia"/>
          <w:bCs/>
          <w:szCs w:val="21"/>
        </w:rPr>
        <w:t>日：指销售机构在规定时间受理投资人申购、赎回或其他业务申请的开放日</w:t>
      </w:r>
    </w:p>
    <w:p w:rsidR="00D5306E" w:rsidRDefault="006D76AB">
      <w:pPr>
        <w:spacing w:line="360" w:lineRule="auto"/>
        <w:ind w:firstLineChars="200" w:firstLine="420"/>
        <w:rPr>
          <w:bCs/>
          <w:szCs w:val="21"/>
        </w:rPr>
      </w:pPr>
      <w:r>
        <w:rPr>
          <w:rFonts w:hint="eastAsia"/>
          <w:bCs/>
          <w:szCs w:val="21"/>
        </w:rPr>
        <w:t>38</w:t>
      </w:r>
      <w:r>
        <w:rPr>
          <w:rFonts w:hint="eastAsia"/>
          <w:bCs/>
          <w:szCs w:val="21"/>
        </w:rPr>
        <w:t>、</w:t>
      </w:r>
      <w:r>
        <w:rPr>
          <w:rFonts w:hint="eastAsia"/>
          <w:bCs/>
          <w:szCs w:val="21"/>
        </w:rPr>
        <w:t>T+n</w:t>
      </w:r>
      <w:r>
        <w:rPr>
          <w:rFonts w:hint="eastAsia"/>
          <w:bCs/>
          <w:szCs w:val="21"/>
        </w:rPr>
        <w:t>日：指自</w:t>
      </w:r>
      <w:r>
        <w:rPr>
          <w:rFonts w:hint="eastAsia"/>
          <w:bCs/>
          <w:szCs w:val="21"/>
        </w:rPr>
        <w:t>T</w:t>
      </w:r>
      <w:r>
        <w:rPr>
          <w:rFonts w:hint="eastAsia"/>
          <w:bCs/>
          <w:szCs w:val="21"/>
        </w:rPr>
        <w:t>日起第</w:t>
      </w:r>
      <w:r>
        <w:rPr>
          <w:rFonts w:hint="eastAsia"/>
          <w:bCs/>
          <w:szCs w:val="21"/>
        </w:rPr>
        <w:t>n</w:t>
      </w:r>
      <w:r>
        <w:rPr>
          <w:rFonts w:hint="eastAsia"/>
          <w:bCs/>
          <w:szCs w:val="21"/>
        </w:rPr>
        <w:t>个工作日</w:t>
      </w:r>
      <w:r>
        <w:rPr>
          <w:rFonts w:hint="eastAsia"/>
          <w:bCs/>
          <w:szCs w:val="21"/>
        </w:rPr>
        <w:t>(</w:t>
      </w:r>
      <w:r>
        <w:rPr>
          <w:rFonts w:hint="eastAsia"/>
          <w:bCs/>
          <w:szCs w:val="21"/>
        </w:rPr>
        <w:t>不包含</w:t>
      </w:r>
      <w:r>
        <w:rPr>
          <w:rFonts w:hint="eastAsia"/>
          <w:bCs/>
          <w:szCs w:val="21"/>
        </w:rPr>
        <w:t>T</w:t>
      </w:r>
      <w:r>
        <w:rPr>
          <w:rFonts w:hint="eastAsia"/>
          <w:bCs/>
          <w:szCs w:val="21"/>
        </w:rPr>
        <w:t>日</w:t>
      </w:r>
      <w:r>
        <w:rPr>
          <w:rFonts w:hint="eastAsia"/>
          <w:bCs/>
          <w:szCs w:val="21"/>
        </w:rPr>
        <w:t>)</w:t>
      </w:r>
    </w:p>
    <w:p w:rsidR="00D5306E" w:rsidRDefault="006D76AB">
      <w:pPr>
        <w:spacing w:line="360" w:lineRule="auto"/>
        <w:ind w:firstLineChars="200" w:firstLine="420"/>
        <w:rPr>
          <w:bCs/>
          <w:szCs w:val="21"/>
        </w:rPr>
      </w:pPr>
      <w:r>
        <w:rPr>
          <w:rFonts w:hint="eastAsia"/>
          <w:bCs/>
          <w:szCs w:val="21"/>
        </w:rPr>
        <w:t>39</w:t>
      </w:r>
      <w:r>
        <w:rPr>
          <w:rFonts w:hint="eastAsia"/>
          <w:bCs/>
          <w:szCs w:val="21"/>
        </w:rPr>
        <w:t>、开放日：指为投资人办理基金份额申购、赎回或其他业务的工作日（若本基金参与港股通交易且该工作日为非港股通交易日时，则基金管理人可根据实际情况决定本基金是否开放申购、赎回及转换业务，具体以届时提前发布的公告为准）</w:t>
      </w:r>
    </w:p>
    <w:p w:rsidR="00D5306E" w:rsidRDefault="006D76AB">
      <w:pPr>
        <w:spacing w:line="360" w:lineRule="auto"/>
        <w:ind w:firstLineChars="200" w:firstLine="420"/>
        <w:rPr>
          <w:bCs/>
          <w:szCs w:val="21"/>
        </w:rPr>
      </w:pPr>
      <w:r>
        <w:rPr>
          <w:rFonts w:hint="eastAsia"/>
          <w:bCs/>
          <w:szCs w:val="21"/>
        </w:rPr>
        <w:t>40</w:t>
      </w:r>
      <w:r>
        <w:rPr>
          <w:rFonts w:hint="eastAsia"/>
          <w:bCs/>
          <w:szCs w:val="21"/>
        </w:rPr>
        <w:t>、开放时间：指开放日基金接受申购、赎回或其他交易的时间段</w:t>
      </w:r>
    </w:p>
    <w:p w:rsidR="00D5306E" w:rsidRDefault="006D76AB">
      <w:pPr>
        <w:spacing w:line="360" w:lineRule="auto"/>
        <w:ind w:firstLineChars="200" w:firstLine="420"/>
        <w:rPr>
          <w:bCs/>
          <w:szCs w:val="21"/>
        </w:rPr>
      </w:pPr>
      <w:r>
        <w:rPr>
          <w:rFonts w:hint="eastAsia"/>
          <w:bCs/>
          <w:szCs w:val="21"/>
        </w:rPr>
        <w:t>41</w:t>
      </w:r>
      <w:r>
        <w:rPr>
          <w:rFonts w:hint="eastAsia"/>
          <w:bCs/>
          <w:szCs w:val="21"/>
        </w:rPr>
        <w:t>、《业务规则》：指《博时基金管理有限公司开放式基金业务规则》，是规范基金管理人所管理的开放式证券投资基金登记方面的业务规则，由基金管理人和投资人共同遵守</w:t>
      </w:r>
    </w:p>
    <w:p w:rsidR="00D5306E" w:rsidRDefault="006D76AB">
      <w:pPr>
        <w:spacing w:line="360" w:lineRule="auto"/>
        <w:ind w:firstLineChars="200" w:firstLine="420"/>
        <w:rPr>
          <w:bCs/>
          <w:szCs w:val="21"/>
        </w:rPr>
      </w:pPr>
      <w:r>
        <w:rPr>
          <w:rFonts w:hint="eastAsia"/>
          <w:bCs/>
          <w:szCs w:val="21"/>
        </w:rPr>
        <w:t>42</w:t>
      </w:r>
      <w:r>
        <w:rPr>
          <w:rFonts w:hint="eastAsia"/>
          <w:bCs/>
          <w:szCs w:val="21"/>
        </w:rPr>
        <w:t>、认购：指在基金募集期内，投资人根据基金合同和招募说明书的规定申请购买基金份额的行为</w:t>
      </w:r>
    </w:p>
    <w:p w:rsidR="00D5306E" w:rsidRDefault="006D76AB">
      <w:pPr>
        <w:spacing w:line="360" w:lineRule="auto"/>
        <w:ind w:firstLineChars="200" w:firstLine="420"/>
        <w:rPr>
          <w:bCs/>
          <w:szCs w:val="21"/>
        </w:rPr>
      </w:pPr>
      <w:r>
        <w:rPr>
          <w:rFonts w:hint="eastAsia"/>
          <w:bCs/>
          <w:szCs w:val="21"/>
        </w:rPr>
        <w:t>43</w:t>
      </w:r>
      <w:r>
        <w:rPr>
          <w:rFonts w:hint="eastAsia"/>
          <w:bCs/>
          <w:szCs w:val="21"/>
        </w:rPr>
        <w:t>、申购：指基金合同生效后，投资人根据基金合同和招募说明书的规定申请购买基金份额的行为</w:t>
      </w:r>
    </w:p>
    <w:p w:rsidR="00D5306E" w:rsidRDefault="006D76AB">
      <w:pPr>
        <w:spacing w:line="360" w:lineRule="auto"/>
        <w:ind w:firstLineChars="200" w:firstLine="420"/>
        <w:rPr>
          <w:bCs/>
          <w:szCs w:val="21"/>
        </w:rPr>
      </w:pPr>
      <w:r>
        <w:rPr>
          <w:rFonts w:hint="eastAsia"/>
          <w:bCs/>
          <w:szCs w:val="21"/>
        </w:rPr>
        <w:t>44</w:t>
      </w:r>
      <w:r>
        <w:rPr>
          <w:rFonts w:hint="eastAsia"/>
          <w:bCs/>
          <w:szCs w:val="21"/>
        </w:rPr>
        <w:t>、赎回：指基金合同生效后，基金份额持有人按基金合同和招募说明书规定的条件要求将基金份额兑换为现金的行为</w:t>
      </w:r>
    </w:p>
    <w:p w:rsidR="00D5306E" w:rsidRDefault="006D76AB">
      <w:pPr>
        <w:spacing w:line="360" w:lineRule="auto"/>
        <w:ind w:firstLineChars="200" w:firstLine="420"/>
        <w:rPr>
          <w:bCs/>
          <w:szCs w:val="21"/>
        </w:rPr>
      </w:pPr>
      <w:r>
        <w:rPr>
          <w:rFonts w:hint="eastAsia"/>
          <w:bCs/>
          <w:szCs w:val="21"/>
        </w:rPr>
        <w:t>45</w:t>
      </w:r>
      <w:r>
        <w:rPr>
          <w:rFonts w:hint="eastAsia"/>
          <w:bCs/>
          <w:szCs w:val="21"/>
        </w:rPr>
        <w:t>、基金转换：指基金份额持有人按照基金合同和基金管理人届时有效公告规定的条件，申请将其持有基金管理人管理的、某一基金的基金份额转换为基金管理人管理的其他基金基金份额的行为</w:t>
      </w:r>
    </w:p>
    <w:p w:rsidR="00D5306E" w:rsidRDefault="006D76AB">
      <w:pPr>
        <w:spacing w:line="360" w:lineRule="auto"/>
        <w:ind w:firstLineChars="200" w:firstLine="420"/>
        <w:rPr>
          <w:bCs/>
          <w:szCs w:val="21"/>
        </w:rPr>
      </w:pPr>
      <w:r>
        <w:rPr>
          <w:rFonts w:hint="eastAsia"/>
          <w:bCs/>
          <w:szCs w:val="21"/>
        </w:rPr>
        <w:t>46</w:t>
      </w:r>
      <w:r>
        <w:rPr>
          <w:rFonts w:hint="eastAsia"/>
          <w:bCs/>
          <w:szCs w:val="21"/>
        </w:rPr>
        <w:t>、转托管：指基金份额持有人在本基金的不同销售机构之间实施的变更所持基金份额销售机构的操作</w:t>
      </w:r>
    </w:p>
    <w:p w:rsidR="00D5306E" w:rsidRDefault="006D76AB">
      <w:pPr>
        <w:spacing w:line="360" w:lineRule="auto"/>
        <w:ind w:firstLineChars="200" w:firstLine="420"/>
        <w:rPr>
          <w:bCs/>
          <w:szCs w:val="21"/>
        </w:rPr>
      </w:pPr>
      <w:r>
        <w:rPr>
          <w:rFonts w:hint="eastAsia"/>
          <w:bCs/>
          <w:szCs w:val="21"/>
        </w:rPr>
        <w:t>47</w:t>
      </w:r>
      <w:r>
        <w:rPr>
          <w:rFonts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D5306E" w:rsidRDefault="006D76AB">
      <w:pPr>
        <w:spacing w:line="360" w:lineRule="auto"/>
        <w:ind w:firstLineChars="200" w:firstLine="420"/>
        <w:rPr>
          <w:bCs/>
          <w:szCs w:val="21"/>
        </w:rPr>
      </w:pPr>
      <w:r>
        <w:rPr>
          <w:rFonts w:hint="eastAsia"/>
          <w:bCs/>
          <w:szCs w:val="21"/>
        </w:rPr>
        <w:t>48</w:t>
      </w:r>
      <w:r>
        <w:rPr>
          <w:rFonts w:hint="eastAsia"/>
          <w:bCs/>
          <w:szCs w:val="21"/>
        </w:rPr>
        <w:t>、巨额赎回：指本基金单个开放日，基金净赎回申请</w:t>
      </w:r>
      <w:r>
        <w:rPr>
          <w:rFonts w:hint="eastAsia"/>
          <w:bCs/>
          <w:szCs w:val="21"/>
        </w:rPr>
        <w:t>(</w:t>
      </w:r>
      <w:r>
        <w:rPr>
          <w:rFonts w:hint="eastAsia"/>
          <w:bCs/>
          <w:szCs w:val="21"/>
        </w:rPr>
        <w:t>赎回申请份额总数加上基金转换中转出申请份额总数后扣除申购申请份额总数及基金转换中转入申请份额总数后的余额</w:t>
      </w:r>
      <w:r>
        <w:rPr>
          <w:rFonts w:hint="eastAsia"/>
          <w:bCs/>
          <w:szCs w:val="21"/>
        </w:rPr>
        <w:t>)</w:t>
      </w:r>
      <w:r>
        <w:rPr>
          <w:rFonts w:hint="eastAsia"/>
          <w:bCs/>
          <w:szCs w:val="21"/>
        </w:rPr>
        <w:t>超过上一工作日基金总份额的</w:t>
      </w:r>
      <w:r>
        <w:rPr>
          <w:rFonts w:hint="eastAsia"/>
          <w:bCs/>
          <w:szCs w:val="21"/>
        </w:rPr>
        <w:t>10%</w:t>
      </w:r>
    </w:p>
    <w:p w:rsidR="00D5306E" w:rsidRDefault="006D76AB">
      <w:pPr>
        <w:spacing w:line="360" w:lineRule="auto"/>
        <w:ind w:firstLineChars="200" w:firstLine="420"/>
        <w:rPr>
          <w:bCs/>
          <w:szCs w:val="21"/>
        </w:rPr>
      </w:pPr>
      <w:r>
        <w:rPr>
          <w:rFonts w:hint="eastAsia"/>
          <w:bCs/>
          <w:szCs w:val="21"/>
        </w:rPr>
        <w:lastRenderedPageBreak/>
        <w:t>49</w:t>
      </w:r>
      <w:r>
        <w:rPr>
          <w:rFonts w:hint="eastAsia"/>
          <w:bCs/>
          <w:szCs w:val="21"/>
        </w:rPr>
        <w:t>、元：指人民币元</w:t>
      </w:r>
    </w:p>
    <w:p w:rsidR="00D5306E" w:rsidRDefault="006D76AB">
      <w:pPr>
        <w:spacing w:line="360" w:lineRule="auto"/>
        <w:ind w:firstLineChars="200" w:firstLine="420"/>
        <w:rPr>
          <w:bCs/>
          <w:szCs w:val="21"/>
        </w:rPr>
      </w:pPr>
      <w:r>
        <w:rPr>
          <w:rFonts w:hint="eastAsia"/>
          <w:bCs/>
          <w:szCs w:val="21"/>
        </w:rPr>
        <w:t>50</w:t>
      </w:r>
      <w:r>
        <w:rPr>
          <w:rFonts w:hint="eastAsia"/>
          <w:bCs/>
          <w:szCs w:val="21"/>
        </w:rPr>
        <w:t>、基金收益：指基金投资所得红利、股息、债券利息、买卖证券价差、银行存款利息、已实现的其他合法收入及因运用基金财产带来的成本和费用的节约</w:t>
      </w:r>
    </w:p>
    <w:p w:rsidR="00D5306E" w:rsidRDefault="006D76AB">
      <w:pPr>
        <w:spacing w:line="360" w:lineRule="auto"/>
        <w:ind w:firstLineChars="200" w:firstLine="420"/>
        <w:rPr>
          <w:bCs/>
          <w:szCs w:val="21"/>
        </w:rPr>
      </w:pPr>
      <w:r>
        <w:rPr>
          <w:rFonts w:hint="eastAsia"/>
          <w:bCs/>
          <w:szCs w:val="21"/>
        </w:rPr>
        <w:t>51</w:t>
      </w:r>
      <w:r>
        <w:rPr>
          <w:rFonts w:hint="eastAsia"/>
          <w:bCs/>
          <w:szCs w:val="21"/>
        </w:rPr>
        <w:t>、基金资产总值：指基金拥有的各类有价证券、银行存款本息、基金应收款项及其他资产的价值总和</w:t>
      </w:r>
    </w:p>
    <w:p w:rsidR="00D5306E" w:rsidRDefault="006D76AB">
      <w:pPr>
        <w:spacing w:line="360" w:lineRule="auto"/>
        <w:ind w:firstLineChars="200" w:firstLine="420"/>
        <w:rPr>
          <w:bCs/>
          <w:szCs w:val="21"/>
        </w:rPr>
      </w:pPr>
      <w:r>
        <w:rPr>
          <w:rFonts w:hint="eastAsia"/>
          <w:bCs/>
          <w:szCs w:val="21"/>
        </w:rPr>
        <w:t>52</w:t>
      </w:r>
      <w:r>
        <w:rPr>
          <w:rFonts w:hint="eastAsia"/>
          <w:bCs/>
          <w:szCs w:val="21"/>
        </w:rPr>
        <w:t>、基金资产净值：指基金资产总值减去基金负债后的价值</w:t>
      </w:r>
    </w:p>
    <w:p w:rsidR="00D5306E" w:rsidRDefault="006D76AB">
      <w:pPr>
        <w:spacing w:line="360" w:lineRule="auto"/>
        <w:ind w:firstLineChars="200" w:firstLine="420"/>
        <w:rPr>
          <w:bCs/>
          <w:szCs w:val="21"/>
        </w:rPr>
      </w:pPr>
      <w:r>
        <w:rPr>
          <w:rFonts w:hint="eastAsia"/>
          <w:bCs/>
          <w:szCs w:val="21"/>
        </w:rPr>
        <w:t>53</w:t>
      </w:r>
      <w:r>
        <w:rPr>
          <w:rFonts w:hint="eastAsia"/>
          <w:bCs/>
          <w:szCs w:val="21"/>
        </w:rPr>
        <w:t>、基金份额净值：指计算日基金资产净值除以计算日该类基金份额总数</w:t>
      </w:r>
    </w:p>
    <w:p w:rsidR="00D5306E" w:rsidRDefault="006D76AB">
      <w:pPr>
        <w:spacing w:line="360" w:lineRule="auto"/>
        <w:ind w:firstLineChars="200" w:firstLine="420"/>
        <w:rPr>
          <w:bCs/>
          <w:szCs w:val="21"/>
        </w:rPr>
      </w:pPr>
      <w:r>
        <w:rPr>
          <w:rFonts w:hint="eastAsia"/>
          <w:bCs/>
          <w:szCs w:val="21"/>
        </w:rPr>
        <w:t>54</w:t>
      </w:r>
      <w:r>
        <w:rPr>
          <w:rFonts w:hint="eastAsia"/>
          <w:bCs/>
          <w:szCs w:val="21"/>
        </w:rPr>
        <w:t>、基金资产估值：指计算评估基金资产和负债的价值，以确定基金资产净值和基金份额净值的过程</w:t>
      </w:r>
    </w:p>
    <w:p w:rsidR="00D5306E" w:rsidRDefault="006D76AB">
      <w:pPr>
        <w:spacing w:line="360" w:lineRule="auto"/>
        <w:ind w:firstLineChars="200" w:firstLine="420"/>
        <w:rPr>
          <w:bCs/>
          <w:szCs w:val="21"/>
        </w:rPr>
      </w:pPr>
      <w:r>
        <w:rPr>
          <w:rFonts w:hint="eastAsia"/>
          <w:bCs/>
          <w:szCs w:val="21"/>
        </w:rPr>
        <w:t>55</w:t>
      </w:r>
      <w:r>
        <w:rPr>
          <w:rFonts w:hint="eastAsia"/>
          <w:bCs/>
          <w:szCs w:val="21"/>
        </w:rPr>
        <w:t>、基金份额分类：指本基金分设两类基金份额，即</w:t>
      </w:r>
      <w:r>
        <w:rPr>
          <w:rFonts w:hint="eastAsia"/>
          <w:bCs/>
          <w:szCs w:val="21"/>
        </w:rPr>
        <w:t>A</w:t>
      </w:r>
      <w:r>
        <w:rPr>
          <w:rFonts w:hint="eastAsia"/>
          <w:bCs/>
          <w:szCs w:val="21"/>
        </w:rPr>
        <w:t>类基金份额和</w:t>
      </w:r>
      <w:r>
        <w:rPr>
          <w:rFonts w:hint="eastAsia"/>
          <w:bCs/>
          <w:szCs w:val="21"/>
        </w:rPr>
        <w:t>C</w:t>
      </w:r>
      <w:r>
        <w:rPr>
          <w:rFonts w:hint="eastAsia"/>
          <w:bCs/>
          <w:szCs w:val="21"/>
        </w:rPr>
        <w:t>类基金份额。两类基金份额分设不同的基金代码，分别计算基金份额净值，计算公式为计算日各类别基金资产净值除以计算日发售在外的该类别基金份额总数</w:t>
      </w:r>
    </w:p>
    <w:p w:rsidR="00D5306E" w:rsidRDefault="006D76AB">
      <w:pPr>
        <w:spacing w:line="360" w:lineRule="auto"/>
        <w:ind w:firstLineChars="200" w:firstLine="420"/>
        <w:rPr>
          <w:bCs/>
          <w:szCs w:val="21"/>
        </w:rPr>
      </w:pPr>
      <w:r>
        <w:rPr>
          <w:rFonts w:hint="eastAsia"/>
          <w:bCs/>
          <w:szCs w:val="21"/>
        </w:rPr>
        <w:t>56</w:t>
      </w:r>
      <w:r>
        <w:rPr>
          <w:rFonts w:hint="eastAsia"/>
          <w:bCs/>
          <w:szCs w:val="21"/>
        </w:rPr>
        <w:t>、</w:t>
      </w:r>
      <w:r>
        <w:rPr>
          <w:rFonts w:hint="eastAsia"/>
          <w:bCs/>
          <w:szCs w:val="21"/>
        </w:rPr>
        <w:t>A</w:t>
      </w:r>
      <w:r>
        <w:rPr>
          <w:rFonts w:hint="eastAsia"/>
          <w:bCs/>
          <w:szCs w:val="21"/>
        </w:rPr>
        <w:t>类基金份额：指在投资者认购、申购时收取认购、申购费用，不从本类别基金资产中计提销售服务费的基金份额</w:t>
      </w:r>
    </w:p>
    <w:p w:rsidR="00D5306E" w:rsidRDefault="006D76AB">
      <w:pPr>
        <w:spacing w:line="360" w:lineRule="auto"/>
        <w:ind w:firstLineChars="200" w:firstLine="420"/>
        <w:rPr>
          <w:bCs/>
          <w:szCs w:val="21"/>
        </w:rPr>
      </w:pPr>
      <w:r>
        <w:rPr>
          <w:rFonts w:hint="eastAsia"/>
          <w:bCs/>
          <w:szCs w:val="21"/>
        </w:rPr>
        <w:t>57</w:t>
      </w:r>
      <w:r>
        <w:rPr>
          <w:rFonts w:hint="eastAsia"/>
          <w:bCs/>
          <w:szCs w:val="21"/>
        </w:rPr>
        <w:t>、</w:t>
      </w:r>
      <w:r>
        <w:rPr>
          <w:rFonts w:hint="eastAsia"/>
          <w:bCs/>
          <w:szCs w:val="21"/>
        </w:rPr>
        <w:t>C</w:t>
      </w:r>
      <w:r>
        <w:rPr>
          <w:rFonts w:hint="eastAsia"/>
          <w:bCs/>
          <w:szCs w:val="21"/>
        </w:rPr>
        <w:t>类基金份额：指在投资者认购、申购时不收取认购、申购费用，但从本类别基金资产中计提销售服务费的基金份额</w:t>
      </w:r>
    </w:p>
    <w:p w:rsidR="00D5306E" w:rsidRDefault="006D76AB">
      <w:pPr>
        <w:spacing w:line="360" w:lineRule="auto"/>
        <w:ind w:firstLineChars="200" w:firstLine="420"/>
        <w:rPr>
          <w:bCs/>
          <w:szCs w:val="21"/>
        </w:rPr>
      </w:pPr>
      <w:r>
        <w:rPr>
          <w:rFonts w:hint="eastAsia"/>
          <w:bCs/>
          <w:szCs w:val="21"/>
        </w:rPr>
        <w:t>58</w:t>
      </w:r>
      <w:r>
        <w:rPr>
          <w:rFonts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rsidR="00D5306E" w:rsidRDefault="006D76AB">
      <w:pPr>
        <w:spacing w:line="360" w:lineRule="auto"/>
        <w:ind w:firstLineChars="200" w:firstLine="420"/>
        <w:rPr>
          <w:bCs/>
          <w:szCs w:val="21"/>
        </w:rPr>
      </w:pPr>
      <w:r>
        <w:rPr>
          <w:rFonts w:hint="eastAsia"/>
          <w:bCs/>
          <w:szCs w:val="21"/>
        </w:rPr>
        <w:t>59</w:t>
      </w:r>
      <w:r>
        <w:rPr>
          <w:rFonts w:hint="eastAsia"/>
          <w:bCs/>
          <w:szCs w:val="21"/>
        </w:rPr>
        <w:t>、销售服务费：指从基金财产中计提的，用于本基金市场推广、销售以及基金份额持有人服务的费用</w:t>
      </w:r>
    </w:p>
    <w:p w:rsidR="00D5306E" w:rsidRDefault="006D76AB">
      <w:pPr>
        <w:spacing w:line="360" w:lineRule="auto"/>
        <w:ind w:firstLineChars="200" w:firstLine="420"/>
        <w:rPr>
          <w:bCs/>
          <w:szCs w:val="21"/>
        </w:rPr>
      </w:pPr>
      <w:r>
        <w:rPr>
          <w:rFonts w:hint="eastAsia"/>
          <w:bCs/>
          <w:szCs w:val="21"/>
        </w:rPr>
        <w:t>60</w:t>
      </w:r>
      <w:r>
        <w:rPr>
          <w:rFonts w:hint="eastAsia"/>
          <w:bCs/>
          <w:szCs w:val="21"/>
        </w:rPr>
        <w:t>、流动性受限资产：指由于法律法规、监管、合同或操作障碍等原因无法以合理价格予以变现的资产，包括但不限于到期日在</w:t>
      </w:r>
      <w:r>
        <w:rPr>
          <w:rFonts w:hint="eastAsia"/>
          <w:bCs/>
          <w:szCs w:val="21"/>
        </w:rPr>
        <w:t>10</w:t>
      </w:r>
      <w:r>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D5306E" w:rsidRDefault="006D76AB">
      <w:pPr>
        <w:spacing w:line="360" w:lineRule="auto"/>
        <w:ind w:firstLineChars="200" w:firstLine="420"/>
        <w:rPr>
          <w:bCs/>
          <w:szCs w:val="21"/>
        </w:rPr>
      </w:pPr>
      <w:r>
        <w:rPr>
          <w:rFonts w:hint="eastAsia"/>
          <w:bCs/>
          <w:szCs w:val="21"/>
        </w:rPr>
        <w:t>61</w:t>
      </w:r>
      <w:r>
        <w:rPr>
          <w:rFonts w:hint="eastAsia"/>
          <w:bCs/>
          <w:szCs w:val="21"/>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D5306E" w:rsidRDefault="006D76AB">
      <w:pPr>
        <w:spacing w:line="360" w:lineRule="auto"/>
        <w:ind w:firstLineChars="200" w:firstLine="420"/>
        <w:rPr>
          <w:bCs/>
          <w:szCs w:val="21"/>
        </w:rPr>
      </w:pPr>
      <w:r>
        <w:rPr>
          <w:rFonts w:hint="eastAsia"/>
          <w:bCs/>
          <w:szCs w:val="21"/>
        </w:rPr>
        <w:t>62</w:t>
      </w:r>
      <w:r>
        <w:rPr>
          <w:rFonts w:hint="eastAsia"/>
          <w:bCs/>
          <w:szCs w:val="21"/>
        </w:rPr>
        <w:t>、港股通：是指内地投资者委托内地证券公司，经由上海证券交易所和深圳证券交易所设立的证券交易服务公司，向香港联合交易所进行申报，买卖规定范围内的香港联合交易所上市的股票的交易机制</w:t>
      </w:r>
    </w:p>
    <w:p w:rsidR="00D5306E" w:rsidRDefault="006D76AB">
      <w:pPr>
        <w:spacing w:line="360" w:lineRule="auto"/>
        <w:ind w:firstLineChars="200" w:firstLine="420"/>
        <w:rPr>
          <w:bCs/>
          <w:szCs w:val="21"/>
        </w:rPr>
      </w:pPr>
      <w:r>
        <w:rPr>
          <w:rFonts w:hint="eastAsia"/>
          <w:bCs/>
          <w:szCs w:val="21"/>
        </w:rPr>
        <w:t>63</w:t>
      </w:r>
      <w:r>
        <w:rPr>
          <w:rFonts w:hint="eastAsia"/>
          <w:bCs/>
          <w:szCs w:val="21"/>
        </w:rPr>
        <w:t>、信用衍生品：指符合证券交易所或银行间市场相关业务规则，专门用于管理信用风险</w:t>
      </w:r>
      <w:r>
        <w:rPr>
          <w:rFonts w:hint="eastAsia"/>
          <w:bCs/>
          <w:szCs w:val="21"/>
        </w:rPr>
        <w:lastRenderedPageBreak/>
        <w:t>的信用衍生工具</w:t>
      </w:r>
    </w:p>
    <w:p w:rsidR="00D5306E" w:rsidRDefault="006D76AB">
      <w:pPr>
        <w:spacing w:line="360" w:lineRule="auto"/>
        <w:ind w:firstLineChars="200" w:firstLine="420"/>
        <w:rPr>
          <w:bCs/>
          <w:szCs w:val="21"/>
        </w:rPr>
      </w:pPr>
      <w:r>
        <w:rPr>
          <w:rFonts w:hint="eastAsia"/>
          <w:bCs/>
          <w:szCs w:val="21"/>
        </w:rPr>
        <w:t>64</w:t>
      </w:r>
      <w:r>
        <w:rPr>
          <w:rFonts w:hint="eastAsia"/>
          <w:bCs/>
          <w:szCs w:val="21"/>
        </w:rPr>
        <w:t>、信用保护买方：亦称信用保护购买方，指接受信用风险保护的一方</w:t>
      </w:r>
    </w:p>
    <w:p w:rsidR="00D5306E" w:rsidRDefault="006D76AB">
      <w:pPr>
        <w:spacing w:line="360" w:lineRule="auto"/>
        <w:ind w:firstLineChars="200" w:firstLine="420"/>
        <w:rPr>
          <w:bCs/>
          <w:szCs w:val="21"/>
        </w:rPr>
      </w:pPr>
      <w:r>
        <w:rPr>
          <w:rFonts w:hint="eastAsia"/>
          <w:bCs/>
          <w:szCs w:val="21"/>
        </w:rPr>
        <w:t>65</w:t>
      </w:r>
      <w:r>
        <w:rPr>
          <w:rFonts w:hint="eastAsia"/>
          <w:bCs/>
          <w:szCs w:val="21"/>
        </w:rPr>
        <w:t>、信用保护卖方：亦称信用保护提供方，指提供信用风险保护的一方</w:t>
      </w:r>
    </w:p>
    <w:p w:rsidR="00D5306E" w:rsidRDefault="006D76AB">
      <w:pPr>
        <w:spacing w:line="360" w:lineRule="auto"/>
        <w:ind w:firstLineChars="200" w:firstLine="420"/>
        <w:rPr>
          <w:bCs/>
          <w:szCs w:val="21"/>
        </w:rPr>
      </w:pPr>
      <w:r>
        <w:rPr>
          <w:rFonts w:hint="eastAsia"/>
          <w:bCs/>
          <w:szCs w:val="21"/>
        </w:rPr>
        <w:t>66</w:t>
      </w:r>
      <w:r>
        <w:rPr>
          <w:rFonts w:hint="eastAsia"/>
          <w:bCs/>
          <w:szCs w:val="21"/>
        </w:rPr>
        <w:t>、名义本金：亦称交易名义本金，是一笔信用衍生产品交易提供信用风险保护的金额，各项支付和结算以此金额为计算基准</w:t>
      </w:r>
    </w:p>
    <w:p w:rsidR="00D5306E" w:rsidRDefault="006D76AB">
      <w:pPr>
        <w:spacing w:line="360" w:lineRule="auto"/>
        <w:ind w:firstLineChars="200" w:firstLine="420"/>
        <w:rPr>
          <w:bCs/>
          <w:szCs w:val="21"/>
        </w:rPr>
      </w:pPr>
      <w:r>
        <w:rPr>
          <w:rFonts w:hint="eastAsia"/>
          <w:bCs/>
          <w:szCs w:val="21"/>
        </w:rPr>
        <w:t>67</w:t>
      </w:r>
      <w:r>
        <w:rPr>
          <w:rFonts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D5306E" w:rsidRDefault="006D76AB">
      <w:pPr>
        <w:spacing w:line="360" w:lineRule="auto"/>
        <w:ind w:firstLineChars="200" w:firstLine="420"/>
        <w:rPr>
          <w:bCs/>
          <w:szCs w:val="21"/>
        </w:rPr>
      </w:pPr>
      <w:r>
        <w:rPr>
          <w:rFonts w:hint="eastAsia"/>
          <w:bCs/>
          <w:szCs w:val="21"/>
        </w:rPr>
        <w:t>68</w:t>
      </w:r>
      <w:r>
        <w:rPr>
          <w:rFonts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D5306E" w:rsidRDefault="006D76AB">
      <w:pPr>
        <w:spacing w:line="360" w:lineRule="auto"/>
        <w:ind w:firstLineChars="200" w:firstLine="420"/>
        <w:rPr>
          <w:bCs/>
          <w:szCs w:val="21"/>
        </w:rPr>
      </w:pPr>
      <w:r>
        <w:rPr>
          <w:rFonts w:hint="eastAsia"/>
          <w:bCs/>
          <w:szCs w:val="21"/>
        </w:rPr>
        <w:t>69</w:t>
      </w:r>
      <w:r>
        <w:rPr>
          <w:rFonts w:hint="eastAsia"/>
          <w:bCs/>
          <w:szCs w:val="21"/>
        </w:rPr>
        <w:t>、不可抗力：指基金合同当事人不能预见、不能避免且不能克服的客观事件</w:t>
      </w:r>
    </w:p>
    <w:p w:rsidR="00D5306E" w:rsidRDefault="00D5306E">
      <w:pPr>
        <w:spacing w:line="360" w:lineRule="auto"/>
        <w:ind w:firstLineChars="200" w:firstLine="480"/>
        <w:rPr>
          <w:bCs/>
          <w:sz w:val="24"/>
          <w:szCs w:val="20"/>
        </w:rPr>
      </w:pPr>
    </w:p>
    <w:p w:rsidR="00D5306E" w:rsidRDefault="00D5306E">
      <w:pPr>
        <w:spacing w:line="360" w:lineRule="auto"/>
        <w:ind w:firstLineChars="200" w:firstLine="480"/>
        <w:rPr>
          <w:bCs/>
          <w:sz w:val="24"/>
          <w:szCs w:val="20"/>
        </w:rPr>
        <w:sectPr w:rsidR="00D5306E">
          <w:footerReference w:type="default" r:id="rId19"/>
          <w:pgSz w:w="12240" w:h="15840"/>
          <w:pgMar w:top="1440" w:right="1800" w:bottom="1440" w:left="1800" w:header="720" w:footer="720" w:gutter="0"/>
          <w:pgNumType w:start="1"/>
          <w:cols w:space="720"/>
        </w:sectPr>
      </w:pPr>
    </w:p>
    <w:p w:rsidR="00D5306E" w:rsidRDefault="006D76AB">
      <w:pPr>
        <w:pStyle w:val="11"/>
        <w:snapToGrid w:val="0"/>
        <w:spacing w:before="0" w:after="0" w:line="360" w:lineRule="auto"/>
        <w:ind w:firstLineChars="50" w:firstLine="141"/>
        <w:rPr>
          <w:rFonts w:ascii="Arial Unicode MS" w:eastAsia="宋体" w:hAnsi="Arial Unicode MS" w:cs="Arial"/>
          <w:b/>
          <w:bCs/>
          <w:sz w:val="28"/>
          <w:szCs w:val="28"/>
        </w:rPr>
      </w:pPr>
      <w:bookmarkStart w:id="16" w:name="_Toc47622415"/>
      <w:bookmarkStart w:id="17" w:name="_Toc47604307"/>
      <w:r>
        <w:rPr>
          <w:rFonts w:ascii="Arial Unicode MS" w:eastAsia="宋体" w:hAnsi="Arial Unicode MS" w:cs="Arial"/>
          <w:b/>
          <w:bCs/>
          <w:sz w:val="28"/>
          <w:szCs w:val="28"/>
        </w:rPr>
        <w:lastRenderedPageBreak/>
        <w:t>第三部分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基金管理人</w:t>
      </w:r>
      <w:bookmarkEnd w:id="11"/>
      <w:bookmarkEnd w:id="12"/>
      <w:bookmarkEnd w:id="13"/>
      <w:bookmarkEnd w:id="14"/>
      <w:bookmarkEnd w:id="15"/>
      <w:bookmarkEnd w:id="16"/>
      <w:bookmarkEnd w:id="17"/>
    </w:p>
    <w:p w:rsidR="00D5306E" w:rsidRDefault="006D76AB">
      <w:pPr>
        <w:spacing w:line="360" w:lineRule="auto"/>
        <w:ind w:firstLineChars="200" w:firstLine="422"/>
        <w:rPr>
          <w:rFonts w:ascii="宋体" w:hAnsi="宋体"/>
          <w:b/>
          <w:kern w:val="0"/>
          <w:szCs w:val="21"/>
        </w:rPr>
      </w:pPr>
      <w:bookmarkStart w:id="18" w:name="_Toc524923215"/>
      <w:bookmarkStart w:id="19" w:name="_Toc214873593"/>
      <w:r>
        <w:rPr>
          <w:rFonts w:ascii="宋体" w:hAnsi="宋体" w:hint="eastAsia"/>
          <w:b/>
          <w:kern w:val="0"/>
          <w:szCs w:val="21"/>
        </w:rPr>
        <w:t>一、基金管理人概况</w:t>
      </w:r>
    </w:p>
    <w:p w:rsidR="00D5306E" w:rsidRDefault="006D76AB">
      <w:pPr>
        <w:spacing w:line="360" w:lineRule="auto"/>
        <w:ind w:firstLineChars="200" w:firstLine="420"/>
        <w:rPr>
          <w:rFonts w:ascii="宋体" w:hAnsi="宋体"/>
          <w:kern w:val="0"/>
          <w:szCs w:val="21"/>
        </w:rPr>
      </w:pPr>
      <w:r>
        <w:rPr>
          <w:rFonts w:ascii="宋体" w:hAnsi="宋体" w:hint="eastAsia"/>
          <w:kern w:val="0"/>
          <w:szCs w:val="21"/>
        </w:rPr>
        <w:t>名称：</w:t>
      </w:r>
      <w:r>
        <w:rPr>
          <w:rFonts w:ascii="宋体" w:hAnsi="宋体" w:hint="eastAsia"/>
          <w:kern w:val="0"/>
          <w:szCs w:val="21"/>
        </w:rPr>
        <w:tab/>
        <w:t>博时基金管理有限公司</w:t>
      </w:r>
    </w:p>
    <w:p w:rsidR="00D5306E" w:rsidRDefault="006D76AB">
      <w:pPr>
        <w:spacing w:line="360" w:lineRule="auto"/>
        <w:ind w:firstLineChars="200" w:firstLine="420"/>
        <w:rPr>
          <w:rFonts w:ascii="宋体" w:hAnsi="宋体"/>
          <w:kern w:val="0"/>
          <w:szCs w:val="21"/>
        </w:rPr>
      </w:pPr>
      <w:r>
        <w:rPr>
          <w:rFonts w:ascii="宋体" w:hAnsi="宋体" w:hint="eastAsia"/>
          <w:kern w:val="0"/>
          <w:szCs w:val="21"/>
        </w:rPr>
        <w:t>住所：</w:t>
      </w:r>
      <w:r>
        <w:rPr>
          <w:rFonts w:ascii="宋体" w:hAnsi="宋体" w:hint="eastAsia"/>
          <w:kern w:val="0"/>
          <w:szCs w:val="21"/>
        </w:rPr>
        <w:tab/>
        <w:t>深圳市福田区莲花街道福新社区益田路5999号基金大厦21层</w:t>
      </w:r>
    </w:p>
    <w:p w:rsidR="00D5306E" w:rsidRDefault="006D76AB">
      <w:pPr>
        <w:spacing w:line="360" w:lineRule="auto"/>
        <w:ind w:firstLineChars="200" w:firstLine="420"/>
        <w:rPr>
          <w:rFonts w:ascii="宋体" w:hAnsi="宋体"/>
          <w:kern w:val="0"/>
          <w:szCs w:val="21"/>
        </w:rPr>
      </w:pPr>
      <w:r>
        <w:rPr>
          <w:rFonts w:ascii="宋体" w:hAnsi="宋体" w:hint="eastAsia"/>
          <w:kern w:val="0"/>
          <w:szCs w:val="21"/>
        </w:rPr>
        <w:t>办公地址：</w:t>
      </w:r>
      <w:r>
        <w:rPr>
          <w:rFonts w:ascii="宋体" w:hAnsi="宋体" w:hint="eastAsia"/>
          <w:kern w:val="0"/>
          <w:szCs w:val="21"/>
        </w:rPr>
        <w:tab/>
        <w:t>广东省深圳市福田区益田路5999号基金大厦21层</w:t>
      </w:r>
    </w:p>
    <w:p w:rsidR="00D5306E" w:rsidRDefault="006D76AB">
      <w:pPr>
        <w:spacing w:line="360" w:lineRule="auto"/>
        <w:ind w:firstLineChars="200" w:firstLine="420"/>
        <w:rPr>
          <w:rFonts w:ascii="宋体" w:hAnsi="宋体"/>
          <w:kern w:val="0"/>
          <w:szCs w:val="21"/>
        </w:rPr>
      </w:pPr>
      <w:r>
        <w:rPr>
          <w:rFonts w:ascii="宋体" w:hAnsi="宋体" w:hint="eastAsia"/>
          <w:kern w:val="0"/>
          <w:szCs w:val="21"/>
        </w:rPr>
        <w:t>法定代表人：江向阳</w:t>
      </w:r>
    </w:p>
    <w:p w:rsidR="00D5306E" w:rsidRDefault="006D76AB">
      <w:pPr>
        <w:spacing w:line="360" w:lineRule="auto"/>
        <w:ind w:firstLineChars="200" w:firstLine="420"/>
        <w:rPr>
          <w:rFonts w:ascii="宋体" w:hAnsi="宋体"/>
          <w:kern w:val="0"/>
          <w:szCs w:val="21"/>
        </w:rPr>
      </w:pPr>
      <w:r>
        <w:rPr>
          <w:rFonts w:ascii="宋体" w:hAnsi="宋体" w:hint="eastAsia"/>
          <w:kern w:val="0"/>
          <w:szCs w:val="21"/>
        </w:rPr>
        <w:t>成立时间：</w:t>
      </w:r>
      <w:r>
        <w:rPr>
          <w:rFonts w:ascii="宋体" w:hAnsi="宋体" w:hint="eastAsia"/>
          <w:kern w:val="0"/>
          <w:szCs w:val="21"/>
        </w:rPr>
        <w:tab/>
        <w:t>1998年7月13日</w:t>
      </w:r>
    </w:p>
    <w:p w:rsidR="00D5306E" w:rsidRDefault="006D76AB">
      <w:pPr>
        <w:spacing w:line="360" w:lineRule="auto"/>
        <w:ind w:firstLineChars="200" w:firstLine="420"/>
        <w:rPr>
          <w:rFonts w:ascii="宋体" w:hAnsi="宋体"/>
          <w:kern w:val="0"/>
          <w:szCs w:val="21"/>
        </w:rPr>
      </w:pPr>
      <w:r>
        <w:rPr>
          <w:rFonts w:ascii="宋体" w:hAnsi="宋体" w:hint="eastAsia"/>
          <w:kern w:val="0"/>
          <w:szCs w:val="21"/>
        </w:rPr>
        <w:t>注册资本：</w:t>
      </w:r>
      <w:r>
        <w:rPr>
          <w:rFonts w:ascii="宋体" w:hAnsi="宋体" w:hint="eastAsia"/>
          <w:kern w:val="0"/>
          <w:szCs w:val="21"/>
        </w:rPr>
        <w:tab/>
        <w:t>2.5亿元人民币</w:t>
      </w:r>
    </w:p>
    <w:p w:rsidR="00D5306E" w:rsidRDefault="006D76AB">
      <w:pPr>
        <w:spacing w:line="360" w:lineRule="auto"/>
        <w:ind w:firstLineChars="200" w:firstLine="420"/>
        <w:rPr>
          <w:rFonts w:ascii="宋体" w:hAnsi="宋体"/>
          <w:kern w:val="0"/>
          <w:szCs w:val="21"/>
        </w:rPr>
      </w:pPr>
      <w:r>
        <w:rPr>
          <w:rFonts w:ascii="宋体" w:hAnsi="宋体" w:hint="eastAsia"/>
          <w:kern w:val="0"/>
          <w:szCs w:val="21"/>
        </w:rPr>
        <w:t>存续期间：</w:t>
      </w:r>
      <w:r>
        <w:rPr>
          <w:rFonts w:ascii="宋体" w:hAnsi="宋体" w:hint="eastAsia"/>
          <w:kern w:val="0"/>
          <w:szCs w:val="21"/>
        </w:rPr>
        <w:tab/>
        <w:t>持续经营</w:t>
      </w:r>
    </w:p>
    <w:p w:rsidR="00D5306E" w:rsidRDefault="006D76AB">
      <w:pPr>
        <w:spacing w:line="360" w:lineRule="auto"/>
        <w:ind w:firstLineChars="200" w:firstLine="420"/>
        <w:rPr>
          <w:rFonts w:ascii="宋体" w:hAnsi="宋体"/>
          <w:kern w:val="0"/>
          <w:szCs w:val="21"/>
        </w:rPr>
      </w:pPr>
      <w:r>
        <w:rPr>
          <w:rFonts w:ascii="宋体" w:hAnsi="宋体" w:hint="eastAsia"/>
          <w:kern w:val="0"/>
          <w:szCs w:val="21"/>
        </w:rPr>
        <w:t>联系人：    韩强</w:t>
      </w:r>
    </w:p>
    <w:p w:rsidR="00D5306E" w:rsidRDefault="006D76AB">
      <w:pPr>
        <w:spacing w:line="360" w:lineRule="auto"/>
        <w:ind w:firstLineChars="200" w:firstLine="420"/>
        <w:rPr>
          <w:rFonts w:ascii="宋体" w:hAnsi="宋体"/>
          <w:kern w:val="0"/>
          <w:szCs w:val="21"/>
        </w:rPr>
      </w:pPr>
      <w:r>
        <w:rPr>
          <w:rFonts w:ascii="宋体" w:hAnsi="宋体" w:hint="eastAsia"/>
          <w:kern w:val="0"/>
          <w:szCs w:val="21"/>
        </w:rPr>
        <w:t>联系电话：  （0755）8316 9999</w:t>
      </w:r>
    </w:p>
    <w:p w:rsidR="004A3137" w:rsidRPr="00542E19" w:rsidRDefault="004A3137" w:rsidP="00542E19">
      <w:pPr>
        <w:spacing w:line="360" w:lineRule="auto"/>
        <w:ind w:firstLineChars="200" w:firstLine="420"/>
        <w:rPr>
          <w:rFonts w:ascii="宋体" w:hAnsi="宋体"/>
          <w:kern w:val="0"/>
          <w:szCs w:val="21"/>
        </w:rPr>
      </w:pPr>
      <w:r w:rsidRPr="004A3137">
        <w:rPr>
          <w:rFonts w:ascii="宋体" w:hAnsi="宋体" w:hint="eastAsia"/>
          <w:kern w:val="0"/>
          <w:szCs w:val="21"/>
        </w:rPr>
        <w:t>博时基金管理有限公司（以下简称“公司”）经中国证监会证监基字[1998]26号文批准设立。目前公司股东为招商证券股份有限公司，持有股份49%</w:t>
      </w:r>
      <w:r w:rsidRPr="00B859B2">
        <w:rPr>
          <w:rFonts w:ascii="宋体" w:hAnsi="宋体" w:hint="eastAsia"/>
          <w:kern w:val="0"/>
          <w:szCs w:val="21"/>
        </w:rPr>
        <w:t>；中国长城资产管理公司，持有股份</w:t>
      </w:r>
      <w:r w:rsidRPr="00B859B2">
        <w:rPr>
          <w:rFonts w:ascii="宋体" w:hAnsi="宋体"/>
          <w:kern w:val="0"/>
          <w:szCs w:val="21"/>
        </w:rPr>
        <w:t>25%；天津港（集团）有限公司，持有股份</w:t>
      </w:r>
      <w:r w:rsidRPr="00542E19">
        <w:rPr>
          <w:rFonts w:ascii="宋体" w:hAnsi="宋体"/>
          <w:kern w:val="0"/>
          <w:szCs w:val="21"/>
        </w:rPr>
        <w:t>6％；上海汇华实业有限公司，持有股份12％；上海盛业股权投资基金有限公司，持有股份6％；广厦建设集团有限责任公司，持有股份2%。注册资本为2.5亿元人民币。</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公司设立了投资决策委员会。投资决策委员会负责指导基金资产的运作、确定基本的投资策略和投资组合的原则。</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公司下设两大总部和三十四</w:t>
      </w:r>
      <w:r w:rsidRPr="004A3137">
        <w:rPr>
          <w:rFonts w:ascii="宋体" w:hAnsi="宋体" w:hint="eastAsia"/>
          <w:kern w:val="0"/>
          <w:szCs w:val="21"/>
        </w:rPr>
        <w:t>个直属部门，分别是：权益投资总部、固定收益总部以及宏观策略部、交易部、指数与量化投资部、多元资产管理部、年金投资部、绝对收益投资部、基础设施投资管理部、</w:t>
      </w:r>
      <w:r w:rsidRPr="00542E19">
        <w:rPr>
          <w:rFonts w:ascii="宋体" w:hAnsi="宋体" w:hint="eastAsia"/>
          <w:kern w:val="0"/>
          <w:szCs w:val="21"/>
        </w:rPr>
        <w:t>综合解决方案业务部、</w:t>
      </w:r>
      <w:r w:rsidRPr="004A3137">
        <w:rPr>
          <w:rFonts w:ascii="宋体" w:hAnsi="宋体" w:hint="eastAsia"/>
          <w:kern w:val="0"/>
          <w:szCs w:val="21"/>
        </w:rPr>
        <w:t>产品规划部、销售管理部、客户服务中心、市场部、养老金业务中心</w:t>
      </w:r>
      <w:r w:rsidRPr="00B859B2">
        <w:rPr>
          <w:rFonts w:ascii="宋体" w:hAnsi="宋体" w:hint="eastAsia"/>
          <w:kern w:val="0"/>
          <w:szCs w:val="21"/>
        </w:rPr>
        <w:t>、战略客户部、机构</w:t>
      </w:r>
      <w:r w:rsidRPr="00B859B2">
        <w:rPr>
          <w:rFonts w:ascii="宋体" w:hAnsi="宋体"/>
          <w:kern w:val="0"/>
          <w:szCs w:val="21"/>
        </w:rPr>
        <w:t>-北京、机构</w:t>
      </w:r>
      <w:r w:rsidRPr="00542E19">
        <w:rPr>
          <w:rFonts w:ascii="宋体" w:hAnsi="宋体"/>
          <w:kern w:val="0"/>
          <w:szCs w:val="21"/>
        </w:rPr>
        <w:t>-上海、机构-南方、券商业务部、零售-北京、零售-上海、零售-南方、零售-西部、零售-中部、央企业务部、互联网金融部、财富管理部、董事会办公室、办公室、人力资源部、财务部、信息技术部、基金运作部、风险管理部和监察法律部。</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及相关工作。研究部负责完成对宏观经济、投资策略、行业上市公司及市场的研究。固定收益总部负责公司所管理资产的固定收益投资管理及相关工作。固定收益总部下设现金管理组、公募基金组、专户组、指数与创新组、国际组和研究组，分别负责各类固定收益资产的研究和投资工作。</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市场部负责市场竞争分析、市场政策的拟订；牵头组织落实公司总体市场战略，协同产品和投资体系以及机构业务团队的协同；拟订年度市场计划和费用预算，具体负责机构业务</w:t>
      </w:r>
      <w:r w:rsidRPr="00542E19">
        <w:rPr>
          <w:rFonts w:ascii="宋体" w:hAnsi="宋体" w:hint="eastAsia"/>
          <w:kern w:val="0"/>
          <w:szCs w:val="21"/>
        </w:rPr>
        <w:lastRenderedPageBreak/>
        <w:t>的绩效考核和费用管理；机构产品营销组织和销售支持；专户业务中台服务与运营支持等工作。战略客户部集中服务国有银行、政策性银行、大型头部保险公司、中央汇金公司等重要金融机构。机构</w:t>
      </w:r>
      <w:r w:rsidRPr="00542E19">
        <w:rPr>
          <w:rFonts w:ascii="宋体" w:hAnsi="宋体"/>
          <w:kern w:val="0"/>
          <w:szCs w:val="21"/>
        </w:rPr>
        <w:t>-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台运作协调、相关信息服务等工作。券商业务部</w:t>
      </w:r>
      <w:r w:rsidRPr="00542E19">
        <w:rPr>
          <w:rFonts w:ascii="宋体" w:hAnsi="宋体" w:hint="eastAsia"/>
          <w:kern w:val="0"/>
          <w:szCs w:val="21"/>
        </w:rPr>
        <w:t>负责券商渠道的开拓和销售服务、大宗交易业务、融券业务、做市商业务、股指期货业务等工作。</w:t>
      </w:r>
      <w:r w:rsidRPr="004A3137">
        <w:rPr>
          <w:rFonts w:ascii="宋体" w:hAnsi="宋体" w:hint="eastAsia"/>
          <w:kern w:val="0"/>
          <w:szCs w:val="21"/>
        </w:rPr>
        <w:t>零售-北京、零售-上海、零售-南方、零售</w:t>
      </w:r>
      <w:r w:rsidRPr="00B859B2">
        <w:rPr>
          <w:rFonts w:ascii="宋体" w:hAnsi="宋体"/>
          <w:kern w:val="0"/>
          <w:szCs w:val="21"/>
        </w:rPr>
        <w:t>-西部、零售-中部负责公司全国范围内零售客户的渠道销售和服务。央企业务部负责招商局集团签约机构客户、重要中央企业及其财务公司等客户的拓展、合作业务落地与服务等工作。销售管理部负责总行渠道维护，零售产品营销组织、销售督导；营销策划及公募销售支持；营销培训管理；渠道代销支持与服务；零售体系的绩效考核与费</w:t>
      </w:r>
      <w:r w:rsidRPr="00542E19">
        <w:rPr>
          <w:rFonts w:ascii="宋体" w:hAnsi="宋体"/>
          <w:kern w:val="0"/>
          <w:szCs w:val="21"/>
        </w:rPr>
        <w:t>用管理等工作。</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宏观策略部负责为投委会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基础设施投资管理部负责公司所管理基础设施资产的投资管理、项目运营、内部控制、风险管理及相关工作。综合解决方案业务部负责通过</w:t>
      </w:r>
      <w:r w:rsidRPr="00542E19">
        <w:rPr>
          <w:rFonts w:ascii="宋体" w:hAnsi="宋体"/>
          <w:kern w:val="0"/>
          <w:szCs w:val="21"/>
        </w:rPr>
        <w:t>FOF/MOM主动管理资产配置，为客户量身定制跨一二级市场解决方案，同时负责主动管理资产的投资管理、产品运营、内部控制、风险管理等工作。</w:t>
      </w:r>
      <w:r w:rsidRPr="004A3137">
        <w:rPr>
          <w:rFonts w:ascii="宋体" w:hAnsi="宋体" w:hint="eastAsia"/>
          <w:kern w:val="0"/>
          <w:szCs w:val="21"/>
        </w:rPr>
        <w:t>产品规划部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w:t>
      </w:r>
      <w:r w:rsidRPr="00B859B2">
        <w:rPr>
          <w:rFonts w:ascii="宋体" w:hAnsi="宋体" w:hint="eastAsia"/>
          <w:kern w:val="0"/>
          <w:szCs w:val="21"/>
        </w:rPr>
        <w:t>运营，推动公司相关业务在互联网平台的整合与创新。财富管理部负责高端客户的理财服务与销售。客户服务中心负责负责电话咨询与服务；网络咨询与服务；电话呼出业务；营销数据分析统计、直销柜台业务等工作。</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w:t>
      </w:r>
      <w:r w:rsidRPr="00542E19">
        <w:rPr>
          <w:rFonts w:ascii="宋体" w:hAnsi="宋体"/>
          <w:kern w:val="0"/>
          <w:szCs w:val="21"/>
        </w:rPr>
        <w:t>IT系统安全及数据备份等工作。基金运作部负责基金会计和基金注册登记等业务。风险管理部</w:t>
      </w:r>
      <w:r w:rsidRPr="00542E19">
        <w:rPr>
          <w:rFonts w:ascii="宋体" w:hAnsi="宋体" w:hint="eastAsia"/>
          <w:kern w:val="0"/>
          <w:szCs w:val="21"/>
        </w:rPr>
        <w:lastRenderedPageBreak/>
        <w:t>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另设北京分公司和上海分公司，分别负责对驻京、沪人员日常行政管理和对赴京、沪、处理公务人员给予协助。此外，还设有全资子公司博时资本管理有限公司，以及境外子公司博时基金（国际）有限公司。</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截止到</w:t>
      </w:r>
      <w:r w:rsidRPr="00542E19">
        <w:rPr>
          <w:rFonts w:ascii="宋体" w:hAnsi="宋体"/>
          <w:kern w:val="0"/>
          <w:szCs w:val="21"/>
        </w:rPr>
        <w:t>2020年9月30日，公司总人数为636人，其中研究员和基金经理超过90%拥有硕士及以上学位。</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公司已经建立健全投资管理制度、风险控制制度、内部监察制度、财务管理制度、人事管理制度、信息披露制度和员工行为准则等公司管理制度体系。</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二、主要成员情况</w:t>
      </w:r>
    </w:p>
    <w:p w:rsidR="004A3137" w:rsidRPr="004A3137" w:rsidRDefault="004A3137" w:rsidP="00542E19">
      <w:pPr>
        <w:spacing w:line="360" w:lineRule="auto"/>
        <w:ind w:firstLineChars="200" w:firstLine="420"/>
        <w:rPr>
          <w:rFonts w:ascii="宋体" w:hAnsi="宋体"/>
          <w:kern w:val="0"/>
          <w:szCs w:val="21"/>
        </w:rPr>
      </w:pPr>
      <w:r w:rsidRPr="004A3137">
        <w:rPr>
          <w:rFonts w:ascii="宋体" w:hAnsi="宋体" w:hint="eastAsia"/>
          <w:kern w:val="0"/>
          <w:szCs w:val="21"/>
        </w:rPr>
        <w:t>1、基金管理人董事会成员</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江向阳先生，博士。中共党员，南开大学国际金融博士，清华大学金融媒体</w:t>
      </w:r>
      <w:r w:rsidRPr="00542E19">
        <w:rPr>
          <w:rFonts w:ascii="宋体" w:hAnsi="宋体"/>
          <w:kern w:val="0"/>
          <w:szCs w:val="21"/>
        </w:rPr>
        <w:t>EMBA</w:t>
      </w:r>
      <w:r w:rsidRPr="00542E19">
        <w:rPr>
          <w:rFonts w:ascii="宋体" w:hAnsi="宋体" w:hint="eastAsia"/>
          <w:kern w:val="0"/>
          <w:szCs w:val="21"/>
        </w:rPr>
        <w:t>。</w:t>
      </w:r>
      <w:hyperlink r:id="rId20" w:history="1">
        <w:dir w:val="ltr">
          <w:r w:rsidRPr="00542E19">
            <w:rPr>
              <w:rFonts w:ascii="宋体" w:hAnsi="宋体"/>
              <w:kern w:val="0"/>
            </w:rPr>
            <w:t>1986-1990</w:t>
          </w:r>
          <w:r w:rsidRPr="00542E19">
            <w:rPr>
              <w:rFonts w:ascii="MS Gothic" w:eastAsia="MS Gothic" w:hAnsi="MS Gothic" w:cs="MS Gothic"/>
              <w:kern w:val="0"/>
              <w:szCs w:val="21"/>
            </w:rPr>
            <w:t>‬</w:t>
          </w:r>
          <w:r w:rsidRPr="00542E19">
            <w:rPr>
              <w:rFonts w:ascii="MS Gothic" w:eastAsia="MS Gothic" w:hAnsi="MS Gothic" w:cs="MS Gothic"/>
              <w:kern w:val="0"/>
              <w:szCs w:val="21"/>
            </w:rPr>
            <w:t>‬</w:t>
          </w:r>
          <w:r w:rsidRPr="00542E19">
            <w:rPr>
              <w:rFonts w:ascii="MS Gothic" w:eastAsia="MS Gothic" w:hAnsi="MS Gothic" w:cs="MS Gothic"/>
              <w:kern w:val="0"/>
              <w:szCs w:val="21"/>
            </w:rPr>
            <w:t>‬</w:t>
          </w:r>
          <w:r w:rsidRPr="00542E19">
            <w:rPr>
              <w:rFonts w:ascii="MS Gothic" w:eastAsia="MS Gothic" w:hAnsi="MS Gothic" w:cs="MS Gothic"/>
              <w:kern w:val="0"/>
              <w:szCs w:val="21"/>
            </w:rPr>
            <w:t>‬</w:t>
          </w:r>
        </w:dir>
      </w:hyperlink>
      <w:r w:rsidRPr="00542E19">
        <w:rPr>
          <w:rFonts w:ascii="宋体" w:hAnsi="宋体" w:hint="eastAsia"/>
          <w:kern w:val="0"/>
          <w:szCs w:val="21"/>
        </w:rPr>
        <w:t>年就读于北京师范大学信息与情报学系，获学士学位；</w:t>
      </w:r>
      <w:hyperlink r:id="rId21" w:history="1">
        <w:dir w:val="ltr">
          <w:r w:rsidRPr="00542E19">
            <w:rPr>
              <w:rFonts w:ascii="宋体" w:hAnsi="宋体"/>
              <w:kern w:val="0"/>
            </w:rPr>
            <w:t>1994-1997</w:t>
          </w:r>
          <w:r w:rsidRPr="00542E19">
            <w:rPr>
              <w:rFonts w:ascii="MS Gothic" w:eastAsia="MS Gothic" w:hAnsi="MS Gothic" w:cs="MS Gothic"/>
              <w:kern w:val="0"/>
              <w:szCs w:val="21"/>
            </w:rPr>
            <w:t>‬</w:t>
          </w:r>
          <w:r w:rsidRPr="00542E19">
            <w:rPr>
              <w:rFonts w:ascii="MS Gothic" w:eastAsia="MS Gothic" w:hAnsi="MS Gothic" w:cs="MS Gothic"/>
              <w:kern w:val="0"/>
              <w:szCs w:val="21"/>
            </w:rPr>
            <w:t>‬</w:t>
          </w:r>
          <w:r w:rsidRPr="00542E19">
            <w:rPr>
              <w:rFonts w:ascii="MS Gothic" w:eastAsia="MS Gothic" w:hAnsi="MS Gothic" w:cs="MS Gothic"/>
              <w:kern w:val="0"/>
              <w:szCs w:val="21"/>
            </w:rPr>
            <w:t>‬</w:t>
          </w:r>
          <w:r w:rsidRPr="00542E19">
            <w:rPr>
              <w:rFonts w:ascii="MS Gothic" w:eastAsia="MS Gothic" w:hAnsi="MS Gothic" w:cs="MS Gothic"/>
              <w:kern w:val="0"/>
              <w:szCs w:val="21"/>
            </w:rPr>
            <w:t>‬</w:t>
          </w:r>
        </w:dir>
      </w:hyperlink>
      <w:r w:rsidRPr="00542E19">
        <w:rPr>
          <w:rFonts w:ascii="宋体" w:hAnsi="宋体" w:hint="eastAsia"/>
          <w:kern w:val="0"/>
          <w:szCs w:val="21"/>
        </w:rPr>
        <w:t>年就读于中国政法大学研究生院，获法学硕士学位；</w:t>
      </w:r>
      <w:hyperlink r:id="rId22" w:history="1">
        <w:dir w:val="ltr">
          <w:r w:rsidRPr="00542E19">
            <w:rPr>
              <w:rFonts w:ascii="宋体" w:hAnsi="宋体"/>
              <w:kern w:val="0"/>
            </w:rPr>
            <w:t>2003-2006</w:t>
          </w:r>
          <w:r w:rsidRPr="00542E19">
            <w:rPr>
              <w:rFonts w:ascii="MS Gothic" w:eastAsia="MS Gothic" w:hAnsi="MS Gothic" w:cs="MS Gothic"/>
              <w:kern w:val="0"/>
              <w:szCs w:val="21"/>
            </w:rPr>
            <w:t>‬</w:t>
          </w:r>
          <w:r w:rsidRPr="00542E19">
            <w:rPr>
              <w:rFonts w:ascii="MS Gothic" w:eastAsia="MS Gothic" w:hAnsi="MS Gothic" w:cs="MS Gothic"/>
              <w:kern w:val="0"/>
              <w:szCs w:val="21"/>
            </w:rPr>
            <w:t>‬</w:t>
          </w:r>
          <w:r w:rsidRPr="00542E19">
            <w:rPr>
              <w:rFonts w:ascii="MS Gothic" w:eastAsia="MS Gothic" w:hAnsi="MS Gothic" w:cs="MS Gothic"/>
              <w:kern w:val="0"/>
              <w:szCs w:val="21"/>
            </w:rPr>
            <w:t>‬</w:t>
          </w:r>
          <w:r w:rsidRPr="00542E19">
            <w:rPr>
              <w:rFonts w:ascii="MS Gothic" w:eastAsia="MS Gothic" w:hAnsi="MS Gothic" w:cs="MS Gothic"/>
              <w:kern w:val="0"/>
              <w:szCs w:val="21"/>
            </w:rPr>
            <w:t>‬</w:t>
          </w:r>
        </w:dir>
      </w:hyperlink>
      <w:r w:rsidRPr="00542E19">
        <w:rPr>
          <w:rFonts w:ascii="宋体" w:hAnsi="宋体" w:hint="eastAsia"/>
          <w:kern w:val="0"/>
          <w:szCs w:val="21"/>
        </w:rPr>
        <w:t>年，就读于南开大学国际经济研究所，获国际金融博士学位。</w:t>
      </w:r>
      <w:r w:rsidRPr="00542E19">
        <w:rPr>
          <w:rFonts w:ascii="宋体" w:hAnsi="宋体"/>
          <w:kern w:val="0"/>
          <w:szCs w:val="21"/>
        </w:rPr>
        <w:t>1997</w:t>
      </w:r>
      <w:r w:rsidRPr="00542E19">
        <w:rPr>
          <w:rFonts w:ascii="宋体" w:hAnsi="宋体" w:hint="eastAsia"/>
          <w:kern w:val="0"/>
          <w:szCs w:val="21"/>
        </w:rPr>
        <w:t>年</w:t>
      </w:r>
      <w:r w:rsidRPr="00542E19">
        <w:rPr>
          <w:rFonts w:ascii="宋体" w:hAnsi="宋体"/>
          <w:kern w:val="0"/>
          <w:szCs w:val="21"/>
        </w:rPr>
        <w:t>8</w:t>
      </w:r>
      <w:r w:rsidRPr="00542E19">
        <w:rPr>
          <w:rFonts w:ascii="宋体" w:hAnsi="宋体" w:hint="eastAsia"/>
          <w:kern w:val="0"/>
          <w:szCs w:val="21"/>
        </w:rPr>
        <w:t>月至</w:t>
      </w:r>
      <w:r w:rsidRPr="00542E19">
        <w:rPr>
          <w:rFonts w:ascii="宋体" w:hAnsi="宋体"/>
          <w:kern w:val="0"/>
          <w:szCs w:val="21"/>
        </w:rPr>
        <w:t>2014</w:t>
      </w:r>
      <w:r w:rsidRPr="00542E19">
        <w:rPr>
          <w:rFonts w:ascii="宋体" w:hAnsi="宋体" w:hint="eastAsia"/>
          <w:kern w:val="0"/>
          <w:szCs w:val="21"/>
        </w:rPr>
        <w:t>年</w:t>
      </w:r>
      <w:r w:rsidRPr="00542E19">
        <w:rPr>
          <w:rFonts w:ascii="宋体" w:hAnsi="宋体"/>
          <w:kern w:val="0"/>
          <w:szCs w:val="21"/>
        </w:rPr>
        <w:t>12</w:t>
      </w:r>
      <w:r w:rsidRPr="00542E19">
        <w:rPr>
          <w:rFonts w:ascii="宋体" w:hAnsi="宋体" w:hint="eastAsia"/>
          <w:kern w:val="0"/>
          <w:szCs w:val="21"/>
        </w:rPr>
        <w:t>月就职于中国证监会，历任办公厅、党办副主任兼新闻办（网信办）主任；中国证监会办公厅副巡视员；中国证监会深圳专员办处长、副专员；中国证监会期货监管部副处长、处长。</w:t>
      </w:r>
      <w:r w:rsidRPr="00542E19">
        <w:rPr>
          <w:rFonts w:ascii="宋体" w:hAnsi="宋体"/>
          <w:kern w:val="0"/>
          <w:szCs w:val="21"/>
        </w:rPr>
        <w:t>2015</w:t>
      </w:r>
      <w:r w:rsidRPr="00542E19">
        <w:rPr>
          <w:rFonts w:ascii="宋体" w:hAnsi="宋体" w:hint="eastAsia"/>
          <w:kern w:val="0"/>
          <w:szCs w:val="21"/>
        </w:rPr>
        <w:t>年</w:t>
      </w:r>
      <w:r w:rsidRPr="00542E19">
        <w:rPr>
          <w:rFonts w:ascii="宋体" w:hAnsi="宋体"/>
          <w:kern w:val="0"/>
          <w:szCs w:val="21"/>
        </w:rPr>
        <w:t>1</w:t>
      </w:r>
      <w:r w:rsidRPr="00542E19">
        <w:rPr>
          <w:rFonts w:ascii="宋体" w:hAnsi="宋体" w:hint="eastAsia"/>
          <w:kern w:val="0"/>
          <w:szCs w:val="21"/>
        </w:rPr>
        <w:t>月至</w:t>
      </w:r>
      <w:r w:rsidRPr="00542E19">
        <w:rPr>
          <w:rFonts w:ascii="宋体" w:hAnsi="宋体"/>
          <w:kern w:val="0"/>
          <w:szCs w:val="21"/>
        </w:rPr>
        <w:t>7</w:t>
      </w:r>
      <w:r w:rsidRPr="00542E19">
        <w:rPr>
          <w:rFonts w:ascii="宋体" w:hAnsi="宋体" w:hint="eastAsia"/>
          <w:kern w:val="0"/>
          <w:szCs w:val="21"/>
        </w:rPr>
        <w:t>月，任招商局金融集团副总经理、博时基金管理有限公司党委副书记。</w:t>
      </w:r>
      <w:r w:rsidRPr="00542E19">
        <w:rPr>
          <w:rFonts w:ascii="宋体" w:hAnsi="宋体"/>
          <w:kern w:val="0"/>
          <w:szCs w:val="21"/>
        </w:rPr>
        <w:t>2015</w:t>
      </w:r>
      <w:r w:rsidRPr="00542E19">
        <w:rPr>
          <w:rFonts w:ascii="宋体" w:hAnsi="宋体" w:hint="eastAsia"/>
          <w:kern w:val="0"/>
          <w:szCs w:val="21"/>
        </w:rPr>
        <w:t>年</w:t>
      </w:r>
      <w:r w:rsidRPr="00542E19">
        <w:rPr>
          <w:rFonts w:ascii="宋体" w:hAnsi="宋体"/>
          <w:kern w:val="0"/>
          <w:szCs w:val="21"/>
        </w:rPr>
        <w:t>7</w:t>
      </w:r>
      <w:r w:rsidRPr="00542E19">
        <w:rPr>
          <w:rFonts w:ascii="宋体" w:hAnsi="宋体" w:hint="eastAsia"/>
          <w:kern w:val="0"/>
          <w:szCs w:val="21"/>
        </w:rPr>
        <w:t>月至</w:t>
      </w:r>
      <w:r w:rsidRPr="00542E19">
        <w:rPr>
          <w:rFonts w:ascii="宋体" w:hAnsi="宋体"/>
          <w:kern w:val="0"/>
          <w:szCs w:val="21"/>
        </w:rPr>
        <w:t>2020</w:t>
      </w:r>
      <w:r w:rsidRPr="00542E19">
        <w:rPr>
          <w:rFonts w:ascii="宋体" w:hAnsi="宋体" w:hint="eastAsia"/>
          <w:kern w:val="0"/>
          <w:szCs w:val="21"/>
        </w:rPr>
        <w:t>年</w:t>
      </w:r>
      <w:r w:rsidRPr="00542E19">
        <w:rPr>
          <w:rFonts w:ascii="宋体" w:hAnsi="宋体"/>
          <w:kern w:val="0"/>
          <w:szCs w:val="21"/>
        </w:rPr>
        <w:t>10</w:t>
      </w:r>
      <w:r w:rsidRPr="00542E19">
        <w:rPr>
          <w:rFonts w:ascii="宋体" w:hAnsi="宋体" w:hint="eastAsia"/>
          <w:kern w:val="0"/>
          <w:szCs w:val="21"/>
        </w:rPr>
        <w:t>月任博时基金管理有限公司总经理。自</w:t>
      </w:r>
      <w:r w:rsidRPr="00542E19">
        <w:rPr>
          <w:rFonts w:ascii="宋体" w:hAnsi="宋体"/>
          <w:kern w:val="0"/>
          <w:szCs w:val="21"/>
        </w:rPr>
        <w:t>2020</w:t>
      </w:r>
      <w:r w:rsidRPr="00542E19">
        <w:rPr>
          <w:rFonts w:ascii="宋体" w:hAnsi="宋体" w:hint="eastAsia"/>
          <w:kern w:val="0"/>
          <w:szCs w:val="21"/>
        </w:rPr>
        <w:t>年</w:t>
      </w:r>
      <w:r w:rsidRPr="00542E19">
        <w:rPr>
          <w:rFonts w:ascii="宋体" w:hAnsi="宋体"/>
          <w:kern w:val="0"/>
          <w:szCs w:val="21"/>
        </w:rPr>
        <w:t>1</w:t>
      </w:r>
      <w:r w:rsidRPr="00542E19">
        <w:rPr>
          <w:rFonts w:ascii="宋体" w:hAnsi="宋体" w:hint="eastAsia"/>
          <w:kern w:val="0"/>
          <w:szCs w:val="21"/>
        </w:rPr>
        <w:t>月</w:t>
      </w:r>
      <w:r w:rsidRPr="00542E19">
        <w:rPr>
          <w:rFonts w:ascii="宋体" w:hAnsi="宋体"/>
          <w:kern w:val="0"/>
          <w:szCs w:val="21"/>
        </w:rPr>
        <w:t>9</w:t>
      </w:r>
      <w:r w:rsidRPr="00542E19">
        <w:rPr>
          <w:rFonts w:ascii="宋体" w:hAnsi="宋体" w:hint="eastAsia"/>
          <w:kern w:val="0"/>
          <w:szCs w:val="21"/>
        </w:rPr>
        <w:t>日至</w:t>
      </w:r>
      <w:r w:rsidRPr="00542E19">
        <w:rPr>
          <w:rFonts w:ascii="宋体" w:hAnsi="宋体"/>
          <w:kern w:val="0"/>
          <w:szCs w:val="21"/>
        </w:rPr>
        <w:t>2020</w:t>
      </w:r>
      <w:r w:rsidRPr="00542E19">
        <w:rPr>
          <w:rFonts w:ascii="宋体" w:hAnsi="宋体" w:hint="eastAsia"/>
          <w:kern w:val="0"/>
          <w:szCs w:val="21"/>
        </w:rPr>
        <w:t>年</w:t>
      </w:r>
      <w:r w:rsidRPr="00542E19">
        <w:rPr>
          <w:rFonts w:ascii="宋体" w:hAnsi="宋体"/>
          <w:kern w:val="0"/>
          <w:szCs w:val="21"/>
        </w:rPr>
        <w:t>4</w:t>
      </w:r>
      <w:r w:rsidRPr="00542E19">
        <w:rPr>
          <w:rFonts w:ascii="宋体" w:hAnsi="宋体" w:hint="eastAsia"/>
          <w:kern w:val="0"/>
          <w:szCs w:val="21"/>
        </w:rPr>
        <w:t>月</w:t>
      </w:r>
      <w:r w:rsidRPr="00542E19">
        <w:rPr>
          <w:rFonts w:ascii="宋体" w:hAnsi="宋体"/>
          <w:kern w:val="0"/>
          <w:szCs w:val="21"/>
        </w:rPr>
        <w:t>15</w:t>
      </w:r>
      <w:r w:rsidRPr="00542E19">
        <w:rPr>
          <w:rFonts w:ascii="宋体" w:hAnsi="宋体" w:hint="eastAsia"/>
          <w:kern w:val="0"/>
          <w:szCs w:val="21"/>
        </w:rPr>
        <w:t>日代为履行博时基金董事长职务。自</w:t>
      </w:r>
      <w:r w:rsidRPr="00542E19">
        <w:rPr>
          <w:rFonts w:ascii="宋体" w:hAnsi="宋体"/>
          <w:kern w:val="0"/>
          <w:szCs w:val="21"/>
        </w:rPr>
        <w:t>2020</w:t>
      </w:r>
      <w:r w:rsidRPr="00542E19">
        <w:rPr>
          <w:rFonts w:ascii="宋体" w:hAnsi="宋体" w:hint="eastAsia"/>
          <w:kern w:val="0"/>
          <w:szCs w:val="21"/>
        </w:rPr>
        <w:t>年</w:t>
      </w:r>
      <w:r w:rsidRPr="00542E19">
        <w:rPr>
          <w:rFonts w:ascii="宋体" w:hAnsi="宋体"/>
          <w:kern w:val="0"/>
          <w:szCs w:val="21"/>
        </w:rPr>
        <w:t>4</w:t>
      </w:r>
      <w:r w:rsidRPr="00542E19">
        <w:rPr>
          <w:rFonts w:ascii="宋体" w:hAnsi="宋体" w:hint="eastAsia"/>
          <w:kern w:val="0"/>
          <w:szCs w:val="21"/>
        </w:rPr>
        <w:t>月</w:t>
      </w:r>
      <w:r w:rsidRPr="00542E19">
        <w:rPr>
          <w:rFonts w:ascii="宋体" w:hAnsi="宋体"/>
          <w:kern w:val="0"/>
          <w:szCs w:val="21"/>
        </w:rPr>
        <w:t>1</w:t>
      </w:r>
      <w:r w:rsidRPr="00542E19">
        <w:rPr>
          <w:rFonts w:ascii="宋体" w:hAnsi="宋体" w:hint="eastAsia"/>
          <w:kern w:val="0"/>
          <w:szCs w:val="21"/>
        </w:rPr>
        <w:t>日起任博时基金管理有限公司党委书记。自</w:t>
      </w:r>
      <w:r w:rsidRPr="00542E19">
        <w:rPr>
          <w:rFonts w:ascii="宋体" w:hAnsi="宋体"/>
          <w:kern w:val="0"/>
          <w:szCs w:val="21"/>
        </w:rPr>
        <w:t>2020</w:t>
      </w:r>
      <w:r w:rsidRPr="00542E19">
        <w:rPr>
          <w:rFonts w:ascii="宋体" w:hAnsi="宋体" w:hint="eastAsia"/>
          <w:kern w:val="0"/>
          <w:szCs w:val="21"/>
        </w:rPr>
        <w:t>年</w:t>
      </w:r>
      <w:r w:rsidRPr="00542E19">
        <w:rPr>
          <w:rFonts w:ascii="宋体" w:hAnsi="宋体"/>
          <w:kern w:val="0"/>
          <w:szCs w:val="21"/>
        </w:rPr>
        <w:t>4</w:t>
      </w:r>
      <w:r w:rsidRPr="00542E19">
        <w:rPr>
          <w:rFonts w:ascii="宋体" w:hAnsi="宋体" w:hint="eastAsia"/>
          <w:kern w:val="0"/>
          <w:szCs w:val="21"/>
        </w:rPr>
        <w:t>月</w:t>
      </w:r>
      <w:r w:rsidRPr="00542E19">
        <w:rPr>
          <w:rFonts w:ascii="宋体" w:hAnsi="宋体"/>
          <w:kern w:val="0"/>
          <w:szCs w:val="21"/>
        </w:rPr>
        <w:t>15</w:t>
      </w:r>
      <w:r w:rsidRPr="00542E19">
        <w:rPr>
          <w:rFonts w:ascii="宋体" w:hAnsi="宋体" w:hint="eastAsia"/>
          <w:kern w:val="0"/>
          <w:szCs w:val="21"/>
        </w:rPr>
        <w:t>日起，任博时基金管理有限公司董事长。</w:t>
      </w:r>
      <w:r w:rsidR="00E07739">
        <w:t>‬</w:t>
      </w:r>
      <w:r w:rsidR="00E07739">
        <w:t>‬</w:t>
      </w:r>
      <w:r w:rsidR="00E07739">
        <w:t>‬</w:t>
      </w:r>
      <w:r w:rsidR="0054076C">
        <w:t>‬</w:t>
      </w:r>
      <w:r w:rsidR="0054076C">
        <w:t>‬</w:t>
      </w:r>
      <w:r w:rsidR="0054076C">
        <w:t>‬</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苏敏女士</w:t>
      </w:r>
      <w:r w:rsidRPr="00542E19">
        <w:rPr>
          <w:rFonts w:ascii="宋体" w:hAnsi="宋体"/>
          <w:kern w:val="0"/>
          <w:szCs w:val="21"/>
        </w:rPr>
        <w:t>,</w:t>
      </w:r>
      <w:r w:rsidRPr="00542E19">
        <w:rPr>
          <w:rFonts w:ascii="宋体" w:hAnsi="宋体" w:hint="eastAsia"/>
          <w:kern w:val="0"/>
          <w:szCs w:val="21"/>
        </w:rPr>
        <w:t>分别于</w:t>
      </w:r>
      <w:r w:rsidRPr="00542E19">
        <w:rPr>
          <w:rFonts w:ascii="宋体" w:hAnsi="宋体"/>
          <w:kern w:val="0"/>
          <w:szCs w:val="21"/>
        </w:rPr>
        <w:t xml:space="preserve">1990 </w:t>
      </w:r>
      <w:r w:rsidRPr="00542E19">
        <w:rPr>
          <w:rFonts w:ascii="宋体" w:hAnsi="宋体" w:hint="eastAsia"/>
          <w:kern w:val="0"/>
          <w:szCs w:val="21"/>
        </w:rPr>
        <w:t>年</w:t>
      </w:r>
      <w:r w:rsidRPr="00542E19">
        <w:rPr>
          <w:rFonts w:ascii="宋体" w:hAnsi="宋体"/>
          <w:kern w:val="0"/>
          <w:szCs w:val="21"/>
        </w:rPr>
        <w:t xml:space="preserve">7 </w:t>
      </w:r>
      <w:r w:rsidRPr="00542E19">
        <w:rPr>
          <w:rFonts w:ascii="宋体" w:hAnsi="宋体" w:hint="eastAsia"/>
          <w:kern w:val="0"/>
          <w:szCs w:val="21"/>
        </w:rPr>
        <w:t>月及</w:t>
      </w:r>
      <w:r w:rsidRPr="00542E19">
        <w:rPr>
          <w:rFonts w:ascii="宋体" w:hAnsi="宋体"/>
          <w:kern w:val="0"/>
          <w:szCs w:val="21"/>
        </w:rPr>
        <w:t xml:space="preserve">2002 </w:t>
      </w:r>
      <w:r w:rsidRPr="00542E19">
        <w:rPr>
          <w:rFonts w:ascii="宋体" w:hAnsi="宋体" w:hint="eastAsia"/>
          <w:kern w:val="0"/>
          <w:szCs w:val="21"/>
        </w:rPr>
        <w:t>年</w:t>
      </w:r>
      <w:r w:rsidRPr="00542E19">
        <w:rPr>
          <w:rFonts w:ascii="宋体" w:hAnsi="宋体"/>
          <w:kern w:val="0"/>
          <w:szCs w:val="21"/>
        </w:rPr>
        <w:t xml:space="preserve">12 </w:t>
      </w:r>
      <w:r w:rsidRPr="00542E19">
        <w:rPr>
          <w:rFonts w:ascii="宋体" w:hAnsi="宋体" w:hint="eastAsia"/>
          <w:kern w:val="0"/>
          <w:szCs w:val="21"/>
        </w:rPr>
        <w:t>月获得上海财经大学金融专业学士学位和中国科学技术大学工商管理硕士学位。苏女士分别于</w:t>
      </w:r>
      <w:r w:rsidRPr="00542E19">
        <w:rPr>
          <w:rFonts w:ascii="宋体" w:hAnsi="宋体"/>
          <w:kern w:val="0"/>
          <w:szCs w:val="21"/>
        </w:rPr>
        <w:t xml:space="preserve">1998 </w:t>
      </w:r>
      <w:r w:rsidRPr="00542E19">
        <w:rPr>
          <w:rFonts w:ascii="宋体" w:hAnsi="宋体" w:hint="eastAsia"/>
          <w:kern w:val="0"/>
          <w:szCs w:val="21"/>
        </w:rPr>
        <w:t>年</w:t>
      </w:r>
      <w:r w:rsidRPr="00542E19">
        <w:rPr>
          <w:rFonts w:ascii="宋体" w:hAnsi="宋体"/>
          <w:kern w:val="0"/>
          <w:szCs w:val="21"/>
        </w:rPr>
        <w:t xml:space="preserve">6 </w:t>
      </w:r>
      <w:r w:rsidRPr="00542E19">
        <w:rPr>
          <w:rFonts w:ascii="宋体" w:hAnsi="宋体" w:hint="eastAsia"/>
          <w:kern w:val="0"/>
          <w:szCs w:val="21"/>
        </w:rPr>
        <w:t>月、</w:t>
      </w:r>
      <w:r w:rsidRPr="00542E19">
        <w:rPr>
          <w:rFonts w:ascii="宋体" w:hAnsi="宋体"/>
          <w:kern w:val="0"/>
          <w:szCs w:val="21"/>
        </w:rPr>
        <w:t xml:space="preserve">1999 </w:t>
      </w:r>
      <w:r w:rsidRPr="00542E19">
        <w:rPr>
          <w:rFonts w:ascii="宋体" w:hAnsi="宋体" w:hint="eastAsia"/>
          <w:kern w:val="0"/>
          <w:szCs w:val="21"/>
        </w:rPr>
        <w:t>年</w:t>
      </w:r>
      <w:r w:rsidRPr="00542E19">
        <w:rPr>
          <w:rFonts w:ascii="宋体" w:hAnsi="宋体"/>
          <w:kern w:val="0"/>
          <w:szCs w:val="21"/>
        </w:rPr>
        <w:t xml:space="preserve">6 </w:t>
      </w:r>
      <w:r w:rsidRPr="00542E19">
        <w:rPr>
          <w:rFonts w:ascii="宋体" w:hAnsi="宋体" w:hint="eastAsia"/>
          <w:kern w:val="0"/>
          <w:szCs w:val="21"/>
        </w:rPr>
        <w:t>月及</w:t>
      </w:r>
      <w:r w:rsidRPr="00542E19">
        <w:rPr>
          <w:rFonts w:ascii="宋体" w:hAnsi="宋体"/>
          <w:kern w:val="0"/>
          <w:szCs w:val="21"/>
        </w:rPr>
        <w:t xml:space="preserve">2008 </w:t>
      </w:r>
      <w:r w:rsidRPr="00542E19">
        <w:rPr>
          <w:rFonts w:ascii="宋体" w:hAnsi="宋体" w:hint="eastAsia"/>
          <w:kern w:val="0"/>
          <w:szCs w:val="21"/>
        </w:rPr>
        <w:t>年</w:t>
      </w:r>
      <w:r w:rsidRPr="00542E19">
        <w:rPr>
          <w:rFonts w:ascii="宋体" w:hAnsi="宋体"/>
          <w:kern w:val="0"/>
          <w:szCs w:val="21"/>
        </w:rPr>
        <w:t xml:space="preserve">6 </w:t>
      </w:r>
      <w:r w:rsidRPr="00542E19">
        <w:rPr>
          <w:rFonts w:ascii="宋体" w:hAnsi="宋体" w:hint="eastAsia"/>
          <w:kern w:val="0"/>
          <w:szCs w:val="21"/>
        </w:rPr>
        <w:t>月获中国注册会计师协会授予的注册会计师资格、中国资产评估协会授予的注册资产评估师资格及安徽省人力资源和社会保障厅授予的高级会计师职称。苏女士拥有管理金融类公司及上市公司的经验，其经验包括：自</w:t>
      </w:r>
      <w:r w:rsidRPr="00542E19">
        <w:rPr>
          <w:rFonts w:ascii="宋体" w:hAnsi="宋体"/>
          <w:kern w:val="0"/>
          <w:szCs w:val="21"/>
        </w:rPr>
        <w:t xml:space="preserve">2015 </w:t>
      </w:r>
      <w:r w:rsidRPr="00542E19">
        <w:rPr>
          <w:rFonts w:ascii="宋体" w:hAnsi="宋体" w:hint="eastAsia"/>
          <w:kern w:val="0"/>
          <w:szCs w:val="21"/>
        </w:rPr>
        <w:t>年</w:t>
      </w:r>
      <w:r w:rsidRPr="00542E19">
        <w:rPr>
          <w:rFonts w:ascii="宋体" w:hAnsi="宋体"/>
          <w:kern w:val="0"/>
          <w:szCs w:val="21"/>
        </w:rPr>
        <w:t xml:space="preserve">9 </w:t>
      </w:r>
      <w:r w:rsidRPr="00542E19">
        <w:rPr>
          <w:rFonts w:ascii="宋体" w:hAnsi="宋体" w:hint="eastAsia"/>
          <w:kern w:val="0"/>
          <w:szCs w:val="21"/>
        </w:rPr>
        <w:t>月及</w:t>
      </w:r>
      <w:r w:rsidRPr="00542E19">
        <w:rPr>
          <w:rFonts w:ascii="宋体" w:hAnsi="宋体"/>
          <w:kern w:val="0"/>
          <w:szCs w:val="21"/>
        </w:rPr>
        <w:t xml:space="preserve">2015 </w:t>
      </w:r>
      <w:r w:rsidRPr="00542E19">
        <w:rPr>
          <w:rFonts w:ascii="宋体" w:hAnsi="宋体" w:hint="eastAsia"/>
          <w:kern w:val="0"/>
          <w:szCs w:val="21"/>
        </w:rPr>
        <w:t>年</w:t>
      </w:r>
      <w:r w:rsidRPr="00542E19">
        <w:rPr>
          <w:rFonts w:ascii="宋体" w:hAnsi="宋体"/>
          <w:kern w:val="0"/>
          <w:szCs w:val="21"/>
        </w:rPr>
        <w:t xml:space="preserve">12 </w:t>
      </w:r>
      <w:r w:rsidRPr="00542E19">
        <w:rPr>
          <w:rFonts w:ascii="宋体" w:hAnsi="宋体" w:hint="eastAsia"/>
          <w:kern w:val="0"/>
          <w:szCs w:val="21"/>
        </w:rPr>
        <w:t>月起任招商局金融集团有限公司总经理及董事；自</w:t>
      </w:r>
      <w:r w:rsidRPr="00542E19">
        <w:rPr>
          <w:rFonts w:ascii="宋体" w:hAnsi="宋体"/>
          <w:kern w:val="0"/>
          <w:szCs w:val="21"/>
        </w:rPr>
        <w:t>2016</w:t>
      </w:r>
      <w:r w:rsidRPr="00542E19">
        <w:rPr>
          <w:rFonts w:ascii="宋体" w:hAnsi="宋体" w:hint="eastAsia"/>
          <w:kern w:val="0"/>
          <w:szCs w:val="21"/>
        </w:rPr>
        <w:t>年</w:t>
      </w:r>
      <w:r w:rsidRPr="00542E19">
        <w:rPr>
          <w:rFonts w:ascii="宋体" w:hAnsi="宋体"/>
          <w:kern w:val="0"/>
          <w:szCs w:val="21"/>
        </w:rPr>
        <w:t>6</w:t>
      </w:r>
      <w:r w:rsidRPr="00542E19">
        <w:rPr>
          <w:rFonts w:ascii="宋体" w:hAnsi="宋体" w:hint="eastAsia"/>
          <w:kern w:val="0"/>
          <w:szCs w:val="21"/>
        </w:rPr>
        <w:t>月起任招商证券股份有限公司（上海证券交易所上市公司，股票代码：</w:t>
      </w:r>
      <w:r w:rsidRPr="00542E19">
        <w:rPr>
          <w:rFonts w:ascii="宋体" w:hAnsi="宋体"/>
          <w:kern w:val="0"/>
          <w:szCs w:val="21"/>
        </w:rPr>
        <w:t>600999</w:t>
      </w:r>
      <w:r w:rsidRPr="00542E19">
        <w:rPr>
          <w:rFonts w:ascii="宋体" w:hAnsi="宋体" w:hint="eastAsia"/>
          <w:kern w:val="0"/>
          <w:szCs w:val="21"/>
        </w:rPr>
        <w:t>；香港联交所上市公司，股票代码：</w:t>
      </w:r>
      <w:r w:rsidRPr="00542E19">
        <w:rPr>
          <w:rFonts w:ascii="宋体" w:hAnsi="宋体"/>
          <w:kern w:val="0"/>
          <w:szCs w:val="21"/>
        </w:rPr>
        <w:t>6099</w:t>
      </w:r>
      <w:r w:rsidRPr="00542E19">
        <w:rPr>
          <w:rFonts w:ascii="宋体" w:hAnsi="宋体" w:hint="eastAsia"/>
          <w:kern w:val="0"/>
          <w:szCs w:val="21"/>
        </w:rPr>
        <w:t>）董事；自</w:t>
      </w:r>
      <w:r w:rsidRPr="00542E19">
        <w:rPr>
          <w:rFonts w:ascii="宋体" w:hAnsi="宋体"/>
          <w:kern w:val="0"/>
          <w:szCs w:val="21"/>
        </w:rPr>
        <w:t xml:space="preserve">2014 </w:t>
      </w:r>
      <w:r w:rsidRPr="00542E19">
        <w:rPr>
          <w:rFonts w:ascii="宋体" w:hAnsi="宋体" w:hint="eastAsia"/>
          <w:kern w:val="0"/>
          <w:szCs w:val="21"/>
        </w:rPr>
        <w:t>年</w:t>
      </w:r>
      <w:r w:rsidRPr="00542E19">
        <w:rPr>
          <w:rFonts w:ascii="宋体" w:hAnsi="宋体"/>
          <w:kern w:val="0"/>
          <w:szCs w:val="21"/>
        </w:rPr>
        <w:t xml:space="preserve">9 </w:t>
      </w:r>
      <w:r w:rsidRPr="00542E19">
        <w:rPr>
          <w:rFonts w:ascii="宋体" w:hAnsi="宋体" w:hint="eastAsia"/>
          <w:kern w:val="0"/>
          <w:szCs w:val="21"/>
        </w:rPr>
        <w:t>月起担任招商银行股份有限公司（上海证券交易所上市公司，股票代码：</w:t>
      </w:r>
      <w:r w:rsidRPr="00542E19">
        <w:rPr>
          <w:rFonts w:ascii="宋体" w:hAnsi="宋体"/>
          <w:kern w:val="0"/>
          <w:szCs w:val="21"/>
        </w:rPr>
        <w:t>600036</w:t>
      </w:r>
      <w:r w:rsidRPr="00542E19">
        <w:rPr>
          <w:rFonts w:ascii="宋体" w:hAnsi="宋体" w:hint="eastAsia"/>
          <w:kern w:val="0"/>
          <w:szCs w:val="21"/>
        </w:rPr>
        <w:t>；香港联交所上市公司，股票代码：</w:t>
      </w:r>
      <w:r w:rsidRPr="00542E19">
        <w:rPr>
          <w:rFonts w:ascii="宋体" w:hAnsi="宋体"/>
          <w:kern w:val="0"/>
          <w:szCs w:val="21"/>
        </w:rPr>
        <w:t>3968</w:t>
      </w:r>
      <w:r w:rsidRPr="00542E19">
        <w:rPr>
          <w:rFonts w:ascii="宋体" w:hAnsi="宋体" w:hint="eastAsia"/>
          <w:kern w:val="0"/>
          <w:szCs w:val="21"/>
        </w:rPr>
        <w:t>）董事。自</w:t>
      </w:r>
      <w:r w:rsidRPr="00542E19">
        <w:rPr>
          <w:rFonts w:ascii="宋体" w:hAnsi="宋体"/>
          <w:kern w:val="0"/>
          <w:szCs w:val="21"/>
        </w:rPr>
        <w:t xml:space="preserve">2016 </w:t>
      </w:r>
      <w:r w:rsidRPr="00542E19">
        <w:rPr>
          <w:rFonts w:ascii="宋体" w:hAnsi="宋体" w:hint="eastAsia"/>
          <w:kern w:val="0"/>
          <w:szCs w:val="21"/>
        </w:rPr>
        <w:t>年</w:t>
      </w:r>
      <w:r w:rsidRPr="00542E19">
        <w:rPr>
          <w:rFonts w:ascii="宋体" w:hAnsi="宋体"/>
          <w:kern w:val="0"/>
          <w:szCs w:val="21"/>
        </w:rPr>
        <w:t xml:space="preserve">1 </w:t>
      </w:r>
      <w:r w:rsidRPr="00542E19">
        <w:rPr>
          <w:rFonts w:ascii="宋体" w:hAnsi="宋体" w:hint="eastAsia"/>
          <w:kern w:val="0"/>
          <w:szCs w:val="21"/>
        </w:rPr>
        <w:t>月至</w:t>
      </w:r>
      <w:r w:rsidRPr="00542E19">
        <w:rPr>
          <w:rFonts w:ascii="宋体" w:hAnsi="宋体"/>
          <w:kern w:val="0"/>
          <w:szCs w:val="21"/>
        </w:rPr>
        <w:t>2018</w:t>
      </w:r>
      <w:r w:rsidRPr="00542E19">
        <w:rPr>
          <w:rFonts w:ascii="宋体" w:hAnsi="宋体" w:hint="eastAsia"/>
          <w:kern w:val="0"/>
          <w:szCs w:val="21"/>
        </w:rPr>
        <w:t>年</w:t>
      </w:r>
      <w:r w:rsidRPr="00542E19">
        <w:rPr>
          <w:rFonts w:ascii="宋体" w:hAnsi="宋体"/>
          <w:kern w:val="0"/>
          <w:szCs w:val="21"/>
        </w:rPr>
        <w:t>8</w:t>
      </w:r>
      <w:r w:rsidRPr="00542E19">
        <w:rPr>
          <w:rFonts w:ascii="宋体" w:hAnsi="宋体" w:hint="eastAsia"/>
          <w:kern w:val="0"/>
          <w:szCs w:val="21"/>
        </w:rPr>
        <w:t>月任招商局资本投资有限责任公司监事；自</w:t>
      </w:r>
      <w:r w:rsidRPr="00542E19">
        <w:rPr>
          <w:rFonts w:ascii="宋体" w:hAnsi="宋体"/>
          <w:kern w:val="0"/>
          <w:szCs w:val="21"/>
        </w:rPr>
        <w:t xml:space="preserve">2015 </w:t>
      </w:r>
      <w:r w:rsidRPr="00542E19">
        <w:rPr>
          <w:rFonts w:ascii="宋体" w:hAnsi="宋体" w:hint="eastAsia"/>
          <w:kern w:val="0"/>
          <w:szCs w:val="21"/>
        </w:rPr>
        <w:t>年</w:t>
      </w:r>
      <w:r w:rsidRPr="00542E19">
        <w:rPr>
          <w:rFonts w:ascii="宋体" w:hAnsi="宋体"/>
          <w:kern w:val="0"/>
          <w:szCs w:val="21"/>
        </w:rPr>
        <w:t xml:space="preserve">11 </w:t>
      </w:r>
      <w:r w:rsidRPr="00542E19">
        <w:rPr>
          <w:rFonts w:ascii="宋体" w:hAnsi="宋体" w:hint="eastAsia"/>
          <w:kern w:val="0"/>
          <w:szCs w:val="21"/>
        </w:rPr>
        <w:t>月至</w:t>
      </w:r>
      <w:r w:rsidRPr="00542E19">
        <w:rPr>
          <w:rFonts w:ascii="宋体" w:hAnsi="宋体"/>
          <w:kern w:val="0"/>
          <w:szCs w:val="21"/>
        </w:rPr>
        <w:t>2018</w:t>
      </w:r>
      <w:r w:rsidRPr="00542E19">
        <w:rPr>
          <w:rFonts w:ascii="宋体" w:hAnsi="宋体" w:hint="eastAsia"/>
          <w:kern w:val="0"/>
          <w:szCs w:val="21"/>
        </w:rPr>
        <w:t>年</w:t>
      </w:r>
      <w:r w:rsidRPr="00542E19">
        <w:rPr>
          <w:rFonts w:ascii="宋体" w:hAnsi="宋体"/>
          <w:kern w:val="0"/>
          <w:szCs w:val="21"/>
        </w:rPr>
        <w:t>8</w:t>
      </w:r>
      <w:r w:rsidRPr="00542E19">
        <w:rPr>
          <w:rFonts w:ascii="宋体" w:hAnsi="宋体" w:hint="eastAsia"/>
          <w:kern w:val="0"/>
          <w:szCs w:val="21"/>
        </w:rPr>
        <w:t>月任招商局创新投资管理有限公司董事；自</w:t>
      </w:r>
      <w:r w:rsidRPr="00542E19">
        <w:rPr>
          <w:rFonts w:ascii="宋体" w:hAnsi="宋体"/>
          <w:kern w:val="0"/>
          <w:szCs w:val="21"/>
        </w:rPr>
        <w:t xml:space="preserve">2015 </w:t>
      </w:r>
      <w:r w:rsidRPr="00542E19">
        <w:rPr>
          <w:rFonts w:ascii="宋体" w:hAnsi="宋体" w:hint="eastAsia"/>
          <w:kern w:val="0"/>
          <w:szCs w:val="21"/>
        </w:rPr>
        <w:t>年</w:t>
      </w:r>
      <w:r w:rsidRPr="00542E19">
        <w:rPr>
          <w:rFonts w:ascii="宋体" w:hAnsi="宋体"/>
          <w:kern w:val="0"/>
          <w:szCs w:val="21"/>
        </w:rPr>
        <w:t xml:space="preserve">11 </w:t>
      </w:r>
      <w:r w:rsidRPr="00542E19">
        <w:rPr>
          <w:rFonts w:ascii="宋体" w:hAnsi="宋体" w:hint="eastAsia"/>
          <w:kern w:val="0"/>
          <w:szCs w:val="21"/>
        </w:rPr>
        <w:t>月至</w:t>
      </w:r>
      <w:r w:rsidRPr="00542E19">
        <w:rPr>
          <w:rFonts w:ascii="宋体" w:hAnsi="宋体"/>
          <w:kern w:val="0"/>
          <w:szCs w:val="21"/>
        </w:rPr>
        <w:t xml:space="preserve">2017 </w:t>
      </w:r>
      <w:r w:rsidRPr="00542E19">
        <w:rPr>
          <w:rFonts w:ascii="宋体" w:hAnsi="宋体" w:hint="eastAsia"/>
          <w:kern w:val="0"/>
          <w:szCs w:val="21"/>
        </w:rPr>
        <w:t>年</w:t>
      </w:r>
      <w:r w:rsidRPr="00542E19">
        <w:rPr>
          <w:rFonts w:ascii="宋体" w:hAnsi="宋体"/>
          <w:kern w:val="0"/>
          <w:szCs w:val="21"/>
        </w:rPr>
        <w:t xml:space="preserve">4 </w:t>
      </w:r>
      <w:r w:rsidRPr="00542E19">
        <w:rPr>
          <w:rFonts w:ascii="宋体" w:hAnsi="宋体" w:hint="eastAsia"/>
          <w:kern w:val="0"/>
          <w:szCs w:val="21"/>
        </w:rPr>
        <w:t>月任深圳招商启航互联网投资管理有限公司董事长；自</w:t>
      </w:r>
      <w:r w:rsidRPr="00542E19">
        <w:rPr>
          <w:rFonts w:ascii="宋体" w:hAnsi="宋体"/>
          <w:kern w:val="0"/>
          <w:szCs w:val="21"/>
        </w:rPr>
        <w:t xml:space="preserve">2013 </w:t>
      </w:r>
      <w:r w:rsidRPr="00542E19">
        <w:rPr>
          <w:rFonts w:ascii="宋体" w:hAnsi="宋体" w:hint="eastAsia"/>
          <w:kern w:val="0"/>
          <w:szCs w:val="21"/>
        </w:rPr>
        <w:t>年</w:t>
      </w:r>
      <w:r w:rsidRPr="00542E19">
        <w:rPr>
          <w:rFonts w:ascii="宋体" w:hAnsi="宋体"/>
          <w:kern w:val="0"/>
          <w:szCs w:val="21"/>
        </w:rPr>
        <w:t xml:space="preserve">5 </w:t>
      </w:r>
      <w:r w:rsidRPr="00542E19">
        <w:rPr>
          <w:rFonts w:ascii="宋体" w:hAnsi="宋体" w:hint="eastAsia"/>
          <w:kern w:val="0"/>
          <w:szCs w:val="21"/>
        </w:rPr>
        <w:t>月</w:t>
      </w:r>
      <w:r w:rsidRPr="00542E19">
        <w:rPr>
          <w:rFonts w:ascii="宋体" w:hAnsi="宋体" w:hint="eastAsia"/>
          <w:kern w:val="0"/>
          <w:szCs w:val="21"/>
        </w:rPr>
        <w:lastRenderedPageBreak/>
        <w:t>至</w:t>
      </w:r>
      <w:r w:rsidRPr="00542E19">
        <w:rPr>
          <w:rFonts w:ascii="宋体" w:hAnsi="宋体"/>
          <w:kern w:val="0"/>
          <w:szCs w:val="21"/>
        </w:rPr>
        <w:t xml:space="preserve">2015 </w:t>
      </w:r>
      <w:r w:rsidRPr="00542E19">
        <w:rPr>
          <w:rFonts w:ascii="宋体" w:hAnsi="宋体" w:hint="eastAsia"/>
          <w:kern w:val="0"/>
          <w:szCs w:val="21"/>
        </w:rPr>
        <w:t>年</w:t>
      </w:r>
      <w:r w:rsidRPr="00542E19">
        <w:rPr>
          <w:rFonts w:ascii="宋体" w:hAnsi="宋体"/>
          <w:kern w:val="0"/>
          <w:szCs w:val="21"/>
        </w:rPr>
        <w:t xml:space="preserve">8 </w:t>
      </w:r>
      <w:r w:rsidRPr="00542E19">
        <w:rPr>
          <w:rFonts w:ascii="宋体" w:hAnsi="宋体" w:hint="eastAsia"/>
          <w:kern w:val="0"/>
          <w:szCs w:val="21"/>
        </w:rPr>
        <w:t>月任中远海运能源运输股份有限公司（上海证券交易所上市公司，股票代码：</w:t>
      </w:r>
      <w:r w:rsidRPr="00542E19">
        <w:rPr>
          <w:rFonts w:ascii="宋体" w:hAnsi="宋体"/>
          <w:kern w:val="0"/>
          <w:szCs w:val="21"/>
        </w:rPr>
        <w:t>600026</w:t>
      </w:r>
      <w:r w:rsidRPr="00542E19">
        <w:rPr>
          <w:rFonts w:ascii="宋体" w:hAnsi="宋体" w:hint="eastAsia"/>
          <w:kern w:val="0"/>
          <w:szCs w:val="21"/>
        </w:rPr>
        <w:t>；香港联交所上市公司，股票代码：</w:t>
      </w:r>
      <w:r w:rsidRPr="00542E19">
        <w:rPr>
          <w:rFonts w:ascii="宋体" w:hAnsi="宋体"/>
          <w:kern w:val="0"/>
          <w:szCs w:val="21"/>
        </w:rPr>
        <w:t>1138</w:t>
      </w:r>
      <w:r w:rsidRPr="00542E19">
        <w:rPr>
          <w:rFonts w:ascii="宋体" w:hAnsi="宋体" w:hint="eastAsia"/>
          <w:kern w:val="0"/>
          <w:szCs w:val="21"/>
        </w:rPr>
        <w:t>）董事；自</w:t>
      </w:r>
      <w:r w:rsidRPr="00542E19">
        <w:rPr>
          <w:rFonts w:ascii="宋体" w:hAnsi="宋体"/>
          <w:kern w:val="0"/>
          <w:szCs w:val="21"/>
        </w:rPr>
        <w:t xml:space="preserve">2013 </w:t>
      </w:r>
      <w:r w:rsidRPr="00542E19">
        <w:rPr>
          <w:rFonts w:ascii="宋体" w:hAnsi="宋体" w:hint="eastAsia"/>
          <w:kern w:val="0"/>
          <w:szCs w:val="21"/>
        </w:rPr>
        <w:t>年</w:t>
      </w:r>
      <w:r w:rsidRPr="00542E19">
        <w:rPr>
          <w:rFonts w:ascii="宋体" w:hAnsi="宋体"/>
          <w:kern w:val="0"/>
          <w:szCs w:val="21"/>
        </w:rPr>
        <w:t>6</w:t>
      </w:r>
      <w:r w:rsidRPr="00542E19">
        <w:rPr>
          <w:rFonts w:ascii="宋体" w:hAnsi="宋体" w:hint="eastAsia"/>
          <w:kern w:val="0"/>
          <w:szCs w:val="21"/>
        </w:rPr>
        <w:t>月至</w:t>
      </w:r>
      <w:r w:rsidRPr="00542E19">
        <w:rPr>
          <w:rFonts w:ascii="宋体" w:hAnsi="宋体"/>
          <w:kern w:val="0"/>
          <w:szCs w:val="21"/>
        </w:rPr>
        <w:t xml:space="preserve">2015 </w:t>
      </w:r>
      <w:r w:rsidRPr="00542E19">
        <w:rPr>
          <w:rFonts w:ascii="宋体" w:hAnsi="宋体" w:hint="eastAsia"/>
          <w:kern w:val="0"/>
          <w:szCs w:val="21"/>
        </w:rPr>
        <w:t>年</w:t>
      </w:r>
      <w:r w:rsidRPr="00542E19">
        <w:rPr>
          <w:rFonts w:ascii="宋体" w:hAnsi="宋体"/>
          <w:kern w:val="0"/>
          <w:szCs w:val="21"/>
        </w:rPr>
        <w:t xml:space="preserve">12 </w:t>
      </w:r>
      <w:r w:rsidRPr="00542E19">
        <w:rPr>
          <w:rFonts w:ascii="宋体" w:hAnsi="宋体" w:hint="eastAsia"/>
          <w:kern w:val="0"/>
          <w:szCs w:val="21"/>
        </w:rPr>
        <w:t>月任中远海运发展股份有限公司（上海证券交易所上市公司，股票代码：</w:t>
      </w:r>
      <w:r w:rsidRPr="00542E19">
        <w:rPr>
          <w:rFonts w:ascii="宋体" w:hAnsi="宋体"/>
          <w:kern w:val="0"/>
          <w:szCs w:val="21"/>
        </w:rPr>
        <w:t>601866</w:t>
      </w:r>
      <w:r w:rsidRPr="00542E19">
        <w:rPr>
          <w:rFonts w:ascii="宋体" w:hAnsi="宋体" w:hint="eastAsia"/>
          <w:kern w:val="0"/>
          <w:szCs w:val="21"/>
        </w:rPr>
        <w:t>；香港联交所上市公司，股票代码：</w:t>
      </w:r>
      <w:r w:rsidRPr="00542E19">
        <w:rPr>
          <w:rFonts w:ascii="宋体" w:hAnsi="宋体"/>
          <w:kern w:val="0"/>
          <w:szCs w:val="21"/>
        </w:rPr>
        <w:t>2866</w:t>
      </w:r>
      <w:r w:rsidRPr="00542E19">
        <w:rPr>
          <w:rFonts w:ascii="宋体" w:hAnsi="宋体" w:hint="eastAsia"/>
          <w:kern w:val="0"/>
          <w:szCs w:val="21"/>
        </w:rPr>
        <w:t>）董事；自</w:t>
      </w:r>
      <w:r w:rsidRPr="00542E19">
        <w:rPr>
          <w:rFonts w:ascii="宋体" w:hAnsi="宋体"/>
          <w:kern w:val="0"/>
          <w:szCs w:val="21"/>
        </w:rPr>
        <w:t xml:space="preserve">2009 </w:t>
      </w:r>
      <w:r w:rsidRPr="00542E19">
        <w:rPr>
          <w:rFonts w:ascii="宋体" w:hAnsi="宋体" w:hint="eastAsia"/>
          <w:kern w:val="0"/>
          <w:szCs w:val="21"/>
        </w:rPr>
        <w:t>年</w:t>
      </w:r>
      <w:r w:rsidRPr="00542E19">
        <w:rPr>
          <w:rFonts w:ascii="宋体" w:hAnsi="宋体"/>
          <w:kern w:val="0"/>
          <w:szCs w:val="21"/>
        </w:rPr>
        <w:t xml:space="preserve">12 </w:t>
      </w:r>
      <w:r w:rsidRPr="00542E19">
        <w:rPr>
          <w:rFonts w:ascii="宋体" w:hAnsi="宋体" w:hint="eastAsia"/>
          <w:kern w:val="0"/>
          <w:szCs w:val="21"/>
        </w:rPr>
        <w:t>月至</w:t>
      </w:r>
      <w:r w:rsidRPr="00542E19">
        <w:rPr>
          <w:rFonts w:ascii="宋体" w:hAnsi="宋体"/>
          <w:kern w:val="0"/>
          <w:szCs w:val="21"/>
        </w:rPr>
        <w:t xml:space="preserve">2011 </w:t>
      </w:r>
      <w:r w:rsidRPr="00542E19">
        <w:rPr>
          <w:rFonts w:ascii="宋体" w:hAnsi="宋体" w:hint="eastAsia"/>
          <w:kern w:val="0"/>
          <w:szCs w:val="21"/>
        </w:rPr>
        <w:t>年</w:t>
      </w:r>
      <w:r w:rsidRPr="00542E19">
        <w:rPr>
          <w:rFonts w:ascii="宋体" w:hAnsi="宋体"/>
          <w:kern w:val="0"/>
          <w:szCs w:val="21"/>
        </w:rPr>
        <w:t xml:space="preserve">5 </w:t>
      </w:r>
      <w:r w:rsidRPr="00542E19">
        <w:rPr>
          <w:rFonts w:ascii="宋体" w:hAnsi="宋体" w:hint="eastAsia"/>
          <w:kern w:val="0"/>
          <w:szCs w:val="21"/>
        </w:rPr>
        <w:t>月担任徽商银行股份有限公司（香港联交所上市公司，股票代码：</w:t>
      </w:r>
      <w:r w:rsidRPr="00542E19">
        <w:rPr>
          <w:rFonts w:ascii="宋体" w:hAnsi="宋体"/>
          <w:kern w:val="0"/>
          <w:szCs w:val="21"/>
        </w:rPr>
        <w:t>3698</w:t>
      </w:r>
      <w:r w:rsidRPr="00542E19">
        <w:rPr>
          <w:rFonts w:ascii="宋体" w:hAnsi="宋体" w:hint="eastAsia"/>
          <w:kern w:val="0"/>
          <w:szCs w:val="21"/>
        </w:rPr>
        <w:t>）董事；自</w:t>
      </w:r>
      <w:r w:rsidRPr="00542E19">
        <w:rPr>
          <w:rFonts w:ascii="宋体" w:hAnsi="宋体"/>
          <w:kern w:val="0"/>
          <w:szCs w:val="21"/>
        </w:rPr>
        <w:t xml:space="preserve">2008 </w:t>
      </w:r>
      <w:r w:rsidRPr="00542E19">
        <w:rPr>
          <w:rFonts w:ascii="宋体" w:hAnsi="宋体" w:hint="eastAsia"/>
          <w:kern w:val="0"/>
          <w:szCs w:val="21"/>
        </w:rPr>
        <w:t>年</w:t>
      </w:r>
      <w:r w:rsidRPr="00542E19">
        <w:rPr>
          <w:rFonts w:ascii="宋体" w:hAnsi="宋体"/>
          <w:kern w:val="0"/>
          <w:szCs w:val="21"/>
        </w:rPr>
        <w:t xml:space="preserve">3 </w:t>
      </w:r>
      <w:r w:rsidRPr="00542E19">
        <w:rPr>
          <w:rFonts w:ascii="宋体" w:hAnsi="宋体" w:hint="eastAsia"/>
          <w:kern w:val="0"/>
          <w:szCs w:val="21"/>
        </w:rPr>
        <w:t>月至</w:t>
      </w:r>
      <w:r w:rsidRPr="00542E19">
        <w:rPr>
          <w:rFonts w:ascii="宋体" w:hAnsi="宋体"/>
          <w:kern w:val="0"/>
          <w:szCs w:val="21"/>
        </w:rPr>
        <w:t>2011</w:t>
      </w:r>
      <w:r w:rsidRPr="00542E19">
        <w:rPr>
          <w:rFonts w:ascii="宋体" w:hAnsi="宋体" w:hint="eastAsia"/>
          <w:kern w:val="0"/>
          <w:szCs w:val="21"/>
        </w:rPr>
        <w:t>年</w:t>
      </w:r>
      <w:r w:rsidRPr="00542E19">
        <w:rPr>
          <w:rFonts w:ascii="宋体" w:hAnsi="宋体"/>
          <w:kern w:val="0"/>
          <w:szCs w:val="21"/>
        </w:rPr>
        <w:t xml:space="preserve">9 </w:t>
      </w:r>
      <w:r w:rsidRPr="00542E19">
        <w:rPr>
          <w:rFonts w:ascii="宋体" w:hAnsi="宋体" w:hint="eastAsia"/>
          <w:kern w:val="0"/>
          <w:szCs w:val="21"/>
        </w:rPr>
        <w:t>月担任安徽省皖能股份有限公司（深圳证券交易所上市公司，股票代码︰</w:t>
      </w:r>
      <w:r w:rsidRPr="00542E19">
        <w:rPr>
          <w:rFonts w:ascii="宋体" w:hAnsi="宋体"/>
          <w:kern w:val="0"/>
          <w:szCs w:val="21"/>
        </w:rPr>
        <w:t>000543</w:t>
      </w:r>
      <w:r w:rsidRPr="00542E19">
        <w:rPr>
          <w:rFonts w:ascii="宋体" w:hAnsi="宋体" w:hint="eastAsia"/>
          <w:kern w:val="0"/>
          <w:szCs w:val="21"/>
        </w:rPr>
        <w:t>）董事。苏女士亦拥有会计等相关管理经验，其经验包括：自</w:t>
      </w:r>
      <w:r w:rsidRPr="00542E19">
        <w:rPr>
          <w:rFonts w:ascii="宋体" w:hAnsi="宋体"/>
          <w:kern w:val="0"/>
          <w:szCs w:val="21"/>
        </w:rPr>
        <w:t xml:space="preserve">2011 </w:t>
      </w:r>
      <w:r w:rsidRPr="00542E19">
        <w:rPr>
          <w:rFonts w:ascii="宋体" w:hAnsi="宋体" w:hint="eastAsia"/>
          <w:kern w:val="0"/>
          <w:szCs w:val="21"/>
        </w:rPr>
        <w:t>年</w:t>
      </w:r>
      <w:r w:rsidRPr="00542E19">
        <w:rPr>
          <w:rFonts w:ascii="宋体" w:hAnsi="宋体"/>
          <w:kern w:val="0"/>
          <w:szCs w:val="21"/>
        </w:rPr>
        <w:t xml:space="preserve">3 </w:t>
      </w:r>
      <w:r w:rsidRPr="00542E19">
        <w:rPr>
          <w:rFonts w:ascii="宋体" w:hAnsi="宋体" w:hint="eastAsia"/>
          <w:kern w:val="0"/>
          <w:szCs w:val="21"/>
        </w:rPr>
        <w:t>月至</w:t>
      </w:r>
      <w:r w:rsidRPr="00542E19">
        <w:rPr>
          <w:rFonts w:ascii="宋体" w:hAnsi="宋体"/>
          <w:kern w:val="0"/>
          <w:szCs w:val="21"/>
        </w:rPr>
        <w:t xml:space="preserve">2015 </w:t>
      </w:r>
      <w:r w:rsidRPr="00542E19">
        <w:rPr>
          <w:rFonts w:ascii="宋体" w:hAnsi="宋体" w:hint="eastAsia"/>
          <w:kern w:val="0"/>
          <w:szCs w:val="21"/>
        </w:rPr>
        <w:t>年</w:t>
      </w:r>
      <w:r w:rsidRPr="00542E19">
        <w:rPr>
          <w:rFonts w:ascii="宋体" w:hAnsi="宋体"/>
          <w:kern w:val="0"/>
          <w:szCs w:val="21"/>
        </w:rPr>
        <w:t xml:space="preserve">8 </w:t>
      </w:r>
      <w:r w:rsidRPr="00542E19">
        <w:rPr>
          <w:rFonts w:ascii="宋体" w:hAnsi="宋体" w:hint="eastAsia"/>
          <w:kern w:val="0"/>
          <w:szCs w:val="21"/>
        </w:rPr>
        <w:t>月担任中国海运（集团）总公司总会计师；自</w:t>
      </w:r>
      <w:r w:rsidRPr="00542E19">
        <w:rPr>
          <w:rFonts w:ascii="宋体" w:hAnsi="宋体"/>
          <w:kern w:val="0"/>
          <w:szCs w:val="21"/>
        </w:rPr>
        <w:t xml:space="preserve">2007 </w:t>
      </w:r>
      <w:r w:rsidRPr="00542E19">
        <w:rPr>
          <w:rFonts w:ascii="宋体" w:hAnsi="宋体" w:hint="eastAsia"/>
          <w:kern w:val="0"/>
          <w:szCs w:val="21"/>
        </w:rPr>
        <w:t>年</w:t>
      </w:r>
      <w:r w:rsidRPr="00542E19">
        <w:rPr>
          <w:rFonts w:ascii="宋体" w:hAnsi="宋体"/>
          <w:kern w:val="0"/>
          <w:szCs w:val="21"/>
        </w:rPr>
        <w:t xml:space="preserve">5 </w:t>
      </w:r>
      <w:r w:rsidRPr="00542E19">
        <w:rPr>
          <w:rFonts w:ascii="宋体" w:hAnsi="宋体" w:hint="eastAsia"/>
          <w:kern w:val="0"/>
          <w:szCs w:val="21"/>
        </w:rPr>
        <w:t>月至</w:t>
      </w:r>
      <w:r w:rsidRPr="00542E19">
        <w:rPr>
          <w:rFonts w:ascii="宋体" w:hAnsi="宋体"/>
          <w:kern w:val="0"/>
          <w:szCs w:val="21"/>
        </w:rPr>
        <w:t xml:space="preserve">2011 </w:t>
      </w:r>
      <w:r w:rsidRPr="00542E19">
        <w:rPr>
          <w:rFonts w:ascii="宋体" w:hAnsi="宋体" w:hint="eastAsia"/>
          <w:kern w:val="0"/>
          <w:szCs w:val="21"/>
        </w:rPr>
        <w:t>年</w:t>
      </w:r>
      <w:r w:rsidRPr="00542E19">
        <w:rPr>
          <w:rFonts w:ascii="宋体" w:hAnsi="宋体"/>
          <w:kern w:val="0"/>
          <w:szCs w:val="21"/>
        </w:rPr>
        <w:t>4</w:t>
      </w:r>
      <w:r w:rsidRPr="00542E19">
        <w:rPr>
          <w:rFonts w:ascii="宋体" w:hAnsi="宋体" w:hint="eastAsia"/>
          <w:kern w:val="0"/>
          <w:szCs w:val="21"/>
        </w:rPr>
        <w:t>月担任安徽省能源集团有限公司总会计师，并于</w:t>
      </w:r>
      <w:r w:rsidRPr="00542E19">
        <w:rPr>
          <w:rFonts w:ascii="宋体" w:hAnsi="宋体"/>
          <w:kern w:val="0"/>
          <w:szCs w:val="21"/>
        </w:rPr>
        <w:t xml:space="preserve">2010 </w:t>
      </w:r>
      <w:r w:rsidRPr="00542E19">
        <w:rPr>
          <w:rFonts w:ascii="宋体" w:hAnsi="宋体" w:hint="eastAsia"/>
          <w:kern w:val="0"/>
          <w:szCs w:val="21"/>
        </w:rPr>
        <w:t>年</w:t>
      </w:r>
      <w:r w:rsidRPr="00542E19">
        <w:rPr>
          <w:rFonts w:ascii="宋体" w:hAnsi="宋体"/>
          <w:kern w:val="0"/>
          <w:szCs w:val="21"/>
        </w:rPr>
        <w:t xml:space="preserve">11 </w:t>
      </w:r>
      <w:r w:rsidRPr="00542E19">
        <w:rPr>
          <w:rFonts w:ascii="宋体" w:hAnsi="宋体" w:hint="eastAsia"/>
          <w:kern w:val="0"/>
          <w:szCs w:val="21"/>
        </w:rPr>
        <w:t>月至</w:t>
      </w:r>
      <w:r w:rsidRPr="00542E19">
        <w:rPr>
          <w:rFonts w:ascii="宋体" w:hAnsi="宋体"/>
          <w:kern w:val="0"/>
          <w:szCs w:val="21"/>
        </w:rPr>
        <w:t xml:space="preserve">2011 </w:t>
      </w:r>
      <w:r w:rsidRPr="00542E19">
        <w:rPr>
          <w:rFonts w:ascii="宋体" w:hAnsi="宋体" w:hint="eastAsia"/>
          <w:kern w:val="0"/>
          <w:szCs w:val="21"/>
        </w:rPr>
        <w:t>年</w:t>
      </w:r>
      <w:r w:rsidRPr="00542E19">
        <w:rPr>
          <w:rFonts w:ascii="宋体" w:hAnsi="宋体"/>
          <w:kern w:val="0"/>
          <w:szCs w:val="21"/>
        </w:rPr>
        <w:t xml:space="preserve">4 </w:t>
      </w:r>
      <w:r w:rsidRPr="00542E19">
        <w:rPr>
          <w:rFonts w:ascii="宋体" w:hAnsi="宋体" w:hint="eastAsia"/>
          <w:kern w:val="0"/>
          <w:szCs w:val="21"/>
        </w:rPr>
        <w:t>月担任该公司副总经理。自</w:t>
      </w:r>
      <w:r w:rsidRPr="00542E19">
        <w:rPr>
          <w:rFonts w:ascii="宋体" w:hAnsi="宋体"/>
          <w:kern w:val="0"/>
          <w:szCs w:val="21"/>
        </w:rPr>
        <w:t>2018</w:t>
      </w:r>
      <w:r w:rsidRPr="00542E19">
        <w:rPr>
          <w:rFonts w:ascii="宋体" w:hAnsi="宋体" w:hint="eastAsia"/>
          <w:kern w:val="0"/>
          <w:szCs w:val="21"/>
        </w:rPr>
        <w:t>年</w:t>
      </w:r>
      <w:r w:rsidRPr="00542E19">
        <w:rPr>
          <w:rFonts w:ascii="宋体" w:hAnsi="宋体"/>
          <w:kern w:val="0"/>
          <w:szCs w:val="21"/>
        </w:rPr>
        <w:t>9</w:t>
      </w:r>
      <w:r w:rsidRPr="00542E19">
        <w:rPr>
          <w:rFonts w:ascii="宋体" w:hAnsi="宋体" w:hint="eastAsia"/>
          <w:kern w:val="0"/>
          <w:szCs w:val="21"/>
        </w:rPr>
        <w:t>月</w:t>
      </w:r>
      <w:r w:rsidRPr="00542E19">
        <w:rPr>
          <w:rFonts w:ascii="宋体" w:hAnsi="宋体"/>
          <w:kern w:val="0"/>
          <w:szCs w:val="21"/>
        </w:rPr>
        <w:t>3</w:t>
      </w:r>
      <w:r w:rsidRPr="00542E19">
        <w:rPr>
          <w:rFonts w:ascii="宋体" w:hAnsi="宋体" w:hint="eastAsia"/>
          <w:kern w:val="0"/>
          <w:szCs w:val="21"/>
        </w:rPr>
        <w:t>日起，任博时基金管理有限公司董事。</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姚俊先生，博士。</w:t>
      </w:r>
      <w:r w:rsidRPr="00542E19">
        <w:rPr>
          <w:rFonts w:ascii="宋体" w:hAnsi="宋体"/>
          <w:kern w:val="0"/>
          <w:szCs w:val="21"/>
        </w:rPr>
        <w:t>1993</w:t>
      </w:r>
      <w:r w:rsidRPr="00542E19">
        <w:rPr>
          <w:rFonts w:ascii="宋体" w:hAnsi="宋体" w:hint="eastAsia"/>
          <w:kern w:val="0"/>
          <w:szCs w:val="21"/>
        </w:rPr>
        <w:t>年至</w:t>
      </w:r>
      <w:r w:rsidRPr="00542E19">
        <w:rPr>
          <w:rFonts w:ascii="宋体" w:hAnsi="宋体"/>
          <w:kern w:val="0"/>
          <w:szCs w:val="21"/>
        </w:rPr>
        <w:t>1997</w:t>
      </w:r>
      <w:r w:rsidRPr="00542E19">
        <w:rPr>
          <w:rFonts w:ascii="宋体" w:hAnsi="宋体" w:hint="eastAsia"/>
          <w:kern w:val="0"/>
          <w:szCs w:val="21"/>
        </w:rPr>
        <w:t>年在华南理工大学习，获双学士学位。</w:t>
      </w:r>
      <w:r w:rsidRPr="00542E19">
        <w:rPr>
          <w:rFonts w:ascii="宋体" w:hAnsi="宋体"/>
          <w:kern w:val="0"/>
          <w:szCs w:val="21"/>
        </w:rPr>
        <w:t>1997</w:t>
      </w:r>
      <w:r w:rsidRPr="00542E19">
        <w:rPr>
          <w:rFonts w:ascii="宋体" w:hAnsi="宋体" w:hint="eastAsia"/>
          <w:kern w:val="0"/>
          <w:szCs w:val="21"/>
        </w:rPr>
        <w:t>年至</w:t>
      </w:r>
      <w:r w:rsidRPr="00542E19">
        <w:rPr>
          <w:rFonts w:ascii="宋体" w:hAnsi="宋体"/>
          <w:kern w:val="0"/>
          <w:szCs w:val="21"/>
        </w:rPr>
        <w:t>2000</w:t>
      </w:r>
      <w:r w:rsidRPr="00542E19">
        <w:rPr>
          <w:rFonts w:ascii="宋体" w:hAnsi="宋体" w:hint="eastAsia"/>
          <w:kern w:val="0"/>
          <w:szCs w:val="21"/>
        </w:rPr>
        <w:t>年在华南理工大学工商管理专业学习，获硕士学位。</w:t>
      </w:r>
      <w:r w:rsidRPr="00542E19">
        <w:rPr>
          <w:rFonts w:ascii="宋体" w:hAnsi="宋体"/>
          <w:kern w:val="0"/>
          <w:szCs w:val="21"/>
        </w:rPr>
        <w:t>2002</w:t>
      </w:r>
      <w:r w:rsidRPr="00542E19">
        <w:rPr>
          <w:rFonts w:ascii="宋体" w:hAnsi="宋体" w:hint="eastAsia"/>
          <w:kern w:val="0"/>
          <w:szCs w:val="21"/>
        </w:rPr>
        <w:t>年</w:t>
      </w:r>
      <w:r w:rsidRPr="00542E19">
        <w:rPr>
          <w:rFonts w:ascii="宋体" w:hAnsi="宋体"/>
          <w:kern w:val="0"/>
          <w:szCs w:val="21"/>
        </w:rPr>
        <w:t>9月至2005</w:t>
      </w:r>
      <w:r w:rsidRPr="00542E19">
        <w:rPr>
          <w:rFonts w:ascii="宋体" w:hAnsi="宋体" w:hint="eastAsia"/>
          <w:kern w:val="0"/>
          <w:szCs w:val="21"/>
        </w:rPr>
        <w:t>年</w:t>
      </w:r>
      <w:r w:rsidRPr="00542E19">
        <w:rPr>
          <w:rFonts w:ascii="宋体" w:hAnsi="宋体"/>
          <w:kern w:val="0"/>
          <w:szCs w:val="21"/>
        </w:rPr>
        <w:t>7月在华南理工大学管理学专业学习，获得博士学位。2000</w:t>
      </w:r>
      <w:r w:rsidRPr="00542E19">
        <w:rPr>
          <w:rFonts w:ascii="宋体" w:hAnsi="宋体" w:hint="eastAsia"/>
          <w:kern w:val="0"/>
          <w:szCs w:val="21"/>
        </w:rPr>
        <w:t>年</w:t>
      </w:r>
      <w:r w:rsidRPr="00542E19">
        <w:rPr>
          <w:rFonts w:ascii="宋体" w:hAnsi="宋体"/>
          <w:kern w:val="0"/>
          <w:szCs w:val="21"/>
        </w:rPr>
        <w:t>6</w:t>
      </w:r>
      <w:r w:rsidRPr="00542E19">
        <w:rPr>
          <w:rFonts w:ascii="宋体" w:hAnsi="宋体" w:hint="eastAsia"/>
          <w:kern w:val="0"/>
          <w:szCs w:val="21"/>
        </w:rPr>
        <w:t>月至</w:t>
      </w:r>
      <w:r w:rsidRPr="00542E19">
        <w:rPr>
          <w:rFonts w:ascii="宋体" w:hAnsi="宋体"/>
          <w:kern w:val="0"/>
          <w:szCs w:val="21"/>
        </w:rPr>
        <w:t>2002</w:t>
      </w:r>
      <w:r w:rsidRPr="00542E19">
        <w:rPr>
          <w:rFonts w:ascii="宋体" w:hAnsi="宋体" w:hint="eastAsia"/>
          <w:kern w:val="0"/>
          <w:szCs w:val="21"/>
        </w:rPr>
        <w:t>年</w:t>
      </w:r>
      <w:r w:rsidRPr="00542E19">
        <w:rPr>
          <w:rFonts w:ascii="宋体" w:hAnsi="宋体"/>
          <w:kern w:val="0"/>
          <w:szCs w:val="21"/>
        </w:rPr>
        <w:t>8</w:t>
      </w:r>
      <w:r w:rsidRPr="00542E19">
        <w:rPr>
          <w:rFonts w:ascii="宋体" w:hAnsi="宋体" w:hint="eastAsia"/>
          <w:kern w:val="0"/>
          <w:szCs w:val="21"/>
        </w:rPr>
        <w:t>月任广东电信广州分公司业务部业务主管。</w:t>
      </w:r>
      <w:r w:rsidRPr="00542E19">
        <w:rPr>
          <w:rFonts w:ascii="宋体" w:hAnsi="宋体"/>
          <w:kern w:val="0"/>
          <w:szCs w:val="21"/>
        </w:rPr>
        <w:t>2005</w:t>
      </w:r>
      <w:r w:rsidRPr="00542E19">
        <w:rPr>
          <w:rFonts w:ascii="宋体" w:hAnsi="宋体" w:hint="eastAsia"/>
          <w:kern w:val="0"/>
          <w:szCs w:val="21"/>
        </w:rPr>
        <w:t>年</w:t>
      </w:r>
      <w:r w:rsidRPr="00542E19">
        <w:rPr>
          <w:rFonts w:ascii="宋体" w:hAnsi="宋体"/>
          <w:kern w:val="0"/>
          <w:szCs w:val="21"/>
        </w:rPr>
        <w:t>9月至2007</w:t>
      </w:r>
      <w:r w:rsidRPr="00542E19">
        <w:rPr>
          <w:rFonts w:ascii="宋体" w:hAnsi="宋体" w:hint="eastAsia"/>
          <w:kern w:val="0"/>
          <w:szCs w:val="21"/>
        </w:rPr>
        <w:t>年</w:t>
      </w:r>
      <w:r w:rsidRPr="00542E19">
        <w:rPr>
          <w:rFonts w:ascii="宋体" w:hAnsi="宋体"/>
          <w:kern w:val="0"/>
          <w:szCs w:val="21"/>
        </w:rPr>
        <w:t>7月，招商局集团博士后工作站任博士后研究员。2007</w:t>
      </w:r>
      <w:r w:rsidRPr="00542E19">
        <w:rPr>
          <w:rFonts w:ascii="宋体" w:hAnsi="宋体" w:hint="eastAsia"/>
          <w:kern w:val="0"/>
          <w:szCs w:val="21"/>
        </w:rPr>
        <w:t>年</w:t>
      </w:r>
      <w:r w:rsidRPr="00542E19">
        <w:rPr>
          <w:rFonts w:ascii="宋体" w:hAnsi="宋体"/>
          <w:kern w:val="0"/>
          <w:szCs w:val="21"/>
        </w:rPr>
        <w:t>8月至2014</w:t>
      </w:r>
      <w:r w:rsidRPr="00542E19">
        <w:rPr>
          <w:rFonts w:ascii="宋体" w:hAnsi="宋体" w:hint="eastAsia"/>
          <w:kern w:val="0"/>
          <w:szCs w:val="21"/>
        </w:rPr>
        <w:t>年</w:t>
      </w:r>
      <w:r w:rsidRPr="00542E19">
        <w:rPr>
          <w:rFonts w:ascii="宋体" w:hAnsi="宋体"/>
          <w:kern w:val="0"/>
          <w:szCs w:val="21"/>
        </w:rPr>
        <w:t>5月，任招商证券研究发展中心分析师。2014</w:t>
      </w:r>
      <w:r w:rsidRPr="00542E19">
        <w:rPr>
          <w:rFonts w:ascii="宋体" w:hAnsi="宋体" w:hint="eastAsia"/>
          <w:kern w:val="0"/>
          <w:szCs w:val="21"/>
        </w:rPr>
        <w:t>年</w:t>
      </w:r>
      <w:r w:rsidRPr="00542E19">
        <w:rPr>
          <w:rFonts w:ascii="宋体" w:hAnsi="宋体"/>
          <w:kern w:val="0"/>
          <w:szCs w:val="21"/>
        </w:rPr>
        <w:t>6月至2015</w:t>
      </w:r>
      <w:r w:rsidRPr="00542E19">
        <w:rPr>
          <w:rFonts w:ascii="宋体" w:hAnsi="宋体" w:hint="eastAsia"/>
          <w:kern w:val="0"/>
          <w:szCs w:val="21"/>
        </w:rPr>
        <w:t>年</w:t>
      </w:r>
      <w:r w:rsidRPr="00542E19">
        <w:rPr>
          <w:rFonts w:ascii="宋体" w:hAnsi="宋体"/>
          <w:kern w:val="0"/>
          <w:szCs w:val="21"/>
        </w:rPr>
        <w:t>6月任招商证券研究发展中心二部总经理助理。2015年6月至2016年7月任招商证券研究发展中心二部副总经理（主持工作）。2016年7月至2020年3月任招商证券研究发展中心二部总经理。2020年3月至今任招商证券财富管理及机构业务总部财富管理部总经理。自2020</w:t>
      </w:r>
      <w:r w:rsidRPr="00542E19">
        <w:rPr>
          <w:rFonts w:ascii="宋体" w:hAnsi="宋体" w:hint="eastAsia"/>
          <w:kern w:val="0"/>
          <w:szCs w:val="21"/>
        </w:rPr>
        <w:t>年</w:t>
      </w:r>
      <w:r w:rsidRPr="00542E19">
        <w:rPr>
          <w:rFonts w:ascii="宋体" w:hAnsi="宋体"/>
          <w:kern w:val="0"/>
          <w:szCs w:val="21"/>
        </w:rPr>
        <w:t>12</w:t>
      </w:r>
      <w:r w:rsidRPr="00542E19">
        <w:rPr>
          <w:rFonts w:ascii="宋体" w:hAnsi="宋体" w:hint="eastAsia"/>
          <w:kern w:val="0"/>
          <w:szCs w:val="21"/>
        </w:rPr>
        <w:t>月</w:t>
      </w:r>
      <w:r w:rsidRPr="00542E19">
        <w:rPr>
          <w:rFonts w:ascii="宋体" w:hAnsi="宋体"/>
          <w:kern w:val="0"/>
          <w:szCs w:val="21"/>
        </w:rPr>
        <w:t>8</w:t>
      </w:r>
      <w:r w:rsidRPr="00542E19">
        <w:rPr>
          <w:rFonts w:ascii="宋体" w:hAnsi="宋体" w:hint="eastAsia"/>
          <w:kern w:val="0"/>
          <w:szCs w:val="21"/>
        </w:rPr>
        <w:t>日起，任博时基金管理有限公司董事。</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何翔先生，北京大学财务学专业学士。</w:t>
      </w:r>
      <w:r w:rsidRPr="00542E19">
        <w:rPr>
          <w:rFonts w:ascii="宋体" w:hAnsi="宋体"/>
          <w:kern w:val="0"/>
          <w:szCs w:val="21"/>
        </w:rPr>
        <w:t>1995</w:t>
      </w:r>
      <w:r w:rsidRPr="00542E19">
        <w:rPr>
          <w:rFonts w:ascii="宋体" w:hAnsi="宋体" w:hint="eastAsia"/>
          <w:kern w:val="0"/>
          <w:szCs w:val="21"/>
        </w:rPr>
        <w:t>年</w:t>
      </w:r>
      <w:r w:rsidRPr="00542E19">
        <w:rPr>
          <w:rFonts w:ascii="宋体" w:hAnsi="宋体"/>
          <w:kern w:val="0"/>
          <w:szCs w:val="21"/>
        </w:rPr>
        <w:t>7</w:t>
      </w:r>
      <w:r w:rsidRPr="00542E19">
        <w:rPr>
          <w:rFonts w:ascii="宋体" w:hAnsi="宋体" w:hint="eastAsia"/>
          <w:kern w:val="0"/>
          <w:szCs w:val="21"/>
        </w:rPr>
        <w:t>月至</w:t>
      </w:r>
      <w:r w:rsidRPr="00542E19">
        <w:rPr>
          <w:rFonts w:ascii="宋体" w:hAnsi="宋体"/>
          <w:kern w:val="0"/>
          <w:szCs w:val="21"/>
        </w:rPr>
        <w:t>2000</w:t>
      </w:r>
      <w:r w:rsidRPr="00542E19">
        <w:rPr>
          <w:rFonts w:ascii="宋体" w:hAnsi="宋体" w:hint="eastAsia"/>
          <w:kern w:val="0"/>
          <w:szCs w:val="21"/>
        </w:rPr>
        <w:t>年</w:t>
      </w:r>
      <w:r w:rsidRPr="00542E19">
        <w:rPr>
          <w:rFonts w:ascii="宋体" w:hAnsi="宋体"/>
          <w:kern w:val="0"/>
          <w:szCs w:val="21"/>
        </w:rPr>
        <w:t>2</w:t>
      </w:r>
      <w:r w:rsidRPr="00542E19">
        <w:rPr>
          <w:rFonts w:ascii="宋体" w:hAnsi="宋体" w:hint="eastAsia"/>
          <w:kern w:val="0"/>
          <w:szCs w:val="21"/>
        </w:rPr>
        <w:t>月任中国农业银行广西分行国际业务部科员、副科长。</w:t>
      </w:r>
      <w:r w:rsidRPr="00542E19">
        <w:rPr>
          <w:rFonts w:ascii="宋体" w:hAnsi="宋体"/>
          <w:kern w:val="0"/>
          <w:szCs w:val="21"/>
        </w:rPr>
        <w:t>2000</w:t>
      </w:r>
      <w:r w:rsidRPr="00542E19">
        <w:rPr>
          <w:rFonts w:ascii="宋体" w:hAnsi="宋体" w:hint="eastAsia"/>
          <w:kern w:val="0"/>
          <w:szCs w:val="21"/>
        </w:rPr>
        <w:t>年</w:t>
      </w:r>
      <w:r w:rsidRPr="00542E19">
        <w:rPr>
          <w:rFonts w:ascii="宋体" w:hAnsi="宋体"/>
          <w:kern w:val="0"/>
          <w:szCs w:val="21"/>
        </w:rPr>
        <w:t>2</w:t>
      </w:r>
      <w:r w:rsidRPr="00542E19">
        <w:rPr>
          <w:rFonts w:ascii="宋体" w:hAnsi="宋体" w:hint="eastAsia"/>
          <w:kern w:val="0"/>
          <w:szCs w:val="21"/>
        </w:rPr>
        <w:t>月至</w:t>
      </w:r>
      <w:r w:rsidRPr="00542E19">
        <w:rPr>
          <w:rFonts w:ascii="宋体" w:hAnsi="宋体"/>
          <w:kern w:val="0"/>
          <w:szCs w:val="21"/>
        </w:rPr>
        <w:t>2012</w:t>
      </w:r>
      <w:r w:rsidRPr="00542E19">
        <w:rPr>
          <w:rFonts w:ascii="宋体" w:hAnsi="宋体" w:hint="eastAsia"/>
          <w:kern w:val="0"/>
          <w:szCs w:val="21"/>
        </w:rPr>
        <w:t>年</w:t>
      </w:r>
      <w:r w:rsidRPr="00542E19">
        <w:rPr>
          <w:rFonts w:ascii="宋体" w:hAnsi="宋体"/>
          <w:kern w:val="0"/>
          <w:szCs w:val="21"/>
        </w:rPr>
        <w:t>2</w:t>
      </w:r>
      <w:r w:rsidRPr="00542E19">
        <w:rPr>
          <w:rFonts w:ascii="宋体" w:hAnsi="宋体" w:hint="eastAsia"/>
          <w:kern w:val="0"/>
          <w:szCs w:val="21"/>
        </w:rPr>
        <w:t>月任中国长城资产管理公司南宁办事处副科长、科长、副处长、高级经理。</w:t>
      </w:r>
      <w:r w:rsidRPr="00542E19">
        <w:rPr>
          <w:rFonts w:ascii="宋体" w:hAnsi="宋体"/>
          <w:kern w:val="0"/>
          <w:szCs w:val="21"/>
        </w:rPr>
        <w:t>2012</w:t>
      </w:r>
      <w:r w:rsidRPr="00542E19">
        <w:rPr>
          <w:rFonts w:ascii="宋体" w:hAnsi="宋体" w:hint="eastAsia"/>
          <w:kern w:val="0"/>
          <w:szCs w:val="21"/>
        </w:rPr>
        <w:t>年</w:t>
      </w:r>
      <w:r w:rsidRPr="00542E19">
        <w:rPr>
          <w:rFonts w:ascii="宋体" w:hAnsi="宋体"/>
          <w:kern w:val="0"/>
          <w:szCs w:val="21"/>
        </w:rPr>
        <w:t>2</w:t>
      </w:r>
      <w:r w:rsidRPr="00542E19">
        <w:rPr>
          <w:rFonts w:ascii="宋体" w:hAnsi="宋体" w:hint="eastAsia"/>
          <w:kern w:val="0"/>
          <w:szCs w:val="21"/>
        </w:rPr>
        <w:t>月至</w:t>
      </w:r>
      <w:r w:rsidRPr="00542E19">
        <w:rPr>
          <w:rFonts w:ascii="宋体" w:hAnsi="宋体"/>
          <w:kern w:val="0"/>
          <w:szCs w:val="21"/>
        </w:rPr>
        <w:t>2014</w:t>
      </w:r>
      <w:r w:rsidRPr="00542E19">
        <w:rPr>
          <w:rFonts w:ascii="宋体" w:hAnsi="宋体" w:hint="eastAsia"/>
          <w:kern w:val="0"/>
          <w:szCs w:val="21"/>
        </w:rPr>
        <w:t>年</w:t>
      </w:r>
      <w:r w:rsidRPr="00542E19">
        <w:rPr>
          <w:rFonts w:ascii="宋体" w:hAnsi="宋体"/>
          <w:kern w:val="0"/>
          <w:szCs w:val="21"/>
        </w:rPr>
        <w:t>12</w:t>
      </w:r>
      <w:r w:rsidRPr="00542E19">
        <w:rPr>
          <w:rFonts w:ascii="宋体" w:hAnsi="宋体" w:hint="eastAsia"/>
          <w:kern w:val="0"/>
          <w:szCs w:val="21"/>
        </w:rPr>
        <w:t>月，任中国长城资产管理公司乌鲁木齐办事处总经理助理、副总经理；</w:t>
      </w:r>
      <w:r w:rsidRPr="00542E19">
        <w:rPr>
          <w:rFonts w:ascii="宋体" w:hAnsi="宋体"/>
          <w:kern w:val="0"/>
          <w:szCs w:val="21"/>
        </w:rPr>
        <w:t>2014</w:t>
      </w:r>
      <w:r w:rsidRPr="00542E19">
        <w:rPr>
          <w:rFonts w:ascii="宋体" w:hAnsi="宋体" w:hint="eastAsia"/>
          <w:kern w:val="0"/>
          <w:szCs w:val="21"/>
        </w:rPr>
        <w:t>年</w:t>
      </w:r>
      <w:r w:rsidRPr="00542E19">
        <w:rPr>
          <w:rFonts w:ascii="宋体" w:hAnsi="宋体"/>
          <w:kern w:val="0"/>
          <w:szCs w:val="21"/>
        </w:rPr>
        <w:t>12</w:t>
      </w:r>
      <w:r w:rsidRPr="00542E19">
        <w:rPr>
          <w:rFonts w:ascii="宋体" w:hAnsi="宋体" w:hint="eastAsia"/>
          <w:kern w:val="0"/>
          <w:szCs w:val="21"/>
        </w:rPr>
        <w:t>月至</w:t>
      </w:r>
      <w:r w:rsidRPr="00542E19">
        <w:rPr>
          <w:rFonts w:ascii="宋体" w:hAnsi="宋体"/>
          <w:kern w:val="0"/>
          <w:szCs w:val="21"/>
        </w:rPr>
        <w:t>2018</w:t>
      </w:r>
      <w:r w:rsidRPr="00542E19">
        <w:rPr>
          <w:rFonts w:ascii="宋体" w:hAnsi="宋体" w:hint="eastAsia"/>
          <w:kern w:val="0"/>
          <w:szCs w:val="21"/>
        </w:rPr>
        <w:t>年</w:t>
      </w:r>
      <w:r w:rsidRPr="00542E19">
        <w:rPr>
          <w:rFonts w:ascii="宋体" w:hAnsi="宋体"/>
          <w:kern w:val="0"/>
          <w:szCs w:val="21"/>
        </w:rPr>
        <w:t>2</w:t>
      </w:r>
      <w:r w:rsidRPr="00542E19">
        <w:rPr>
          <w:rFonts w:ascii="宋体" w:hAnsi="宋体" w:hint="eastAsia"/>
          <w:kern w:val="0"/>
          <w:szCs w:val="21"/>
        </w:rPr>
        <w:t>月，任中国长城资产管理公司广西分公司副总经理。</w:t>
      </w:r>
      <w:r w:rsidRPr="00542E19">
        <w:rPr>
          <w:rFonts w:ascii="宋体" w:hAnsi="宋体"/>
          <w:kern w:val="0"/>
          <w:szCs w:val="21"/>
        </w:rPr>
        <w:t>2018</w:t>
      </w:r>
      <w:r w:rsidRPr="00542E19">
        <w:rPr>
          <w:rFonts w:ascii="宋体" w:hAnsi="宋体" w:hint="eastAsia"/>
          <w:kern w:val="0"/>
          <w:szCs w:val="21"/>
        </w:rPr>
        <w:t>年</w:t>
      </w:r>
      <w:r w:rsidRPr="00542E19">
        <w:rPr>
          <w:rFonts w:ascii="宋体" w:hAnsi="宋体"/>
          <w:kern w:val="0"/>
          <w:szCs w:val="21"/>
        </w:rPr>
        <w:t>2</w:t>
      </w:r>
      <w:r w:rsidRPr="00542E19">
        <w:rPr>
          <w:rFonts w:ascii="宋体" w:hAnsi="宋体" w:hint="eastAsia"/>
          <w:kern w:val="0"/>
          <w:szCs w:val="21"/>
        </w:rPr>
        <w:t>月至</w:t>
      </w:r>
      <w:r w:rsidRPr="00542E19">
        <w:rPr>
          <w:rFonts w:ascii="宋体" w:hAnsi="宋体"/>
          <w:kern w:val="0"/>
          <w:szCs w:val="21"/>
        </w:rPr>
        <w:t>2019</w:t>
      </w:r>
      <w:r w:rsidRPr="00542E19">
        <w:rPr>
          <w:rFonts w:ascii="宋体" w:hAnsi="宋体" w:hint="eastAsia"/>
          <w:kern w:val="0"/>
          <w:szCs w:val="21"/>
        </w:rPr>
        <w:t>年</w:t>
      </w:r>
      <w:r w:rsidRPr="00542E19">
        <w:rPr>
          <w:rFonts w:ascii="宋体" w:hAnsi="宋体"/>
          <w:kern w:val="0"/>
          <w:szCs w:val="21"/>
        </w:rPr>
        <w:t>8</w:t>
      </w:r>
      <w:r w:rsidRPr="00542E19">
        <w:rPr>
          <w:rFonts w:ascii="宋体" w:hAnsi="宋体" w:hint="eastAsia"/>
          <w:kern w:val="0"/>
          <w:szCs w:val="21"/>
        </w:rPr>
        <w:t>月中国长城资产管理股份有限公司资金管理部副总经理。</w:t>
      </w:r>
      <w:r w:rsidRPr="00542E19">
        <w:rPr>
          <w:rFonts w:ascii="宋体" w:hAnsi="宋体"/>
          <w:kern w:val="0"/>
          <w:szCs w:val="21"/>
        </w:rPr>
        <w:t>2019</w:t>
      </w:r>
      <w:r w:rsidRPr="00542E19">
        <w:rPr>
          <w:rFonts w:ascii="宋体" w:hAnsi="宋体" w:hint="eastAsia"/>
          <w:kern w:val="0"/>
          <w:szCs w:val="21"/>
        </w:rPr>
        <w:t>年</w:t>
      </w:r>
      <w:r w:rsidRPr="00542E19">
        <w:rPr>
          <w:rFonts w:ascii="宋体" w:hAnsi="宋体"/>
          <w:kern w:val="0"/>
          <w:szCs w:val="21"/>
        </w:rPr>
        <w:t>8</w:t>
      </w:r>
      <w:r w:rsidRPr="00542E19">
        <w:rPr>
          <w:rFonts w:ascii="宋体" w:hAnsi="宋体" w:hint="eastAsia"/>
          <w:kern w:val="0"/>
          <w:szCs w:val="21"/>
        </w:rPr>
        <w:t>月至今，任中国长城资产管理股份有限公司投资投行部（资产经营三部）副总经理。自</w:t>
      </w:r>
      <w:r w:rsidRPr="00542E19">
        <w:rPr>
          <w:rFonts w:ascii="宋体" w:hAnsi="宋体"/>
          <w:kern w:val="0"/>
          <w:szCs w:val="21"/>
        </w:rPr>
        <w:t>2020年12月8日起，任博时基金管理有限公司董事。</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李楚楚女士，香港注册会计师。</w:t>
      </w:r>
      <w:r w:rsidRPr="00542E19">
        <w:rPr>
          <w:rFonts w:ascii="宋体" w:hAnsi="宋体"/>
          <w:kern w:val="0"/>
          <w:szCs w:val="21"/>
        </w:rPr>
        <w:t>2008年以全额奖学金被香港中文大学录取，并获得工商管理学士学位。2012年起加入毕马威香港办公室审计部门，为大型企业提供上市财务、审计、商业咨询及资本市场服务；2014</w:t>
      </w:r>
      <w:r w:rsidRPr="00542E19">
        <w:rPr>
          <w:rFonts w:ascii="宋体" w:hAnsi="宋体" w:hint="eastAsia"/>
          <w:kern w:val="0"/>
          <w:szCs w:val="21"/>
        </w:rPr>
        <w:t>年起，调入毕马威香港办公室咨询部门，历任高级顾问和咨询经理，参与了众多并购、上市、尽职调查、公司治理、合规管理、风险管理等项目，积累了丰富的行业知识及企业运营管理经验。</w:t>
      </w:r>
      <w:r w:rsidRPr="00542E19">
        <w:rPr>
          <w:rFonts w:ascii="宋体" w:hAnsi="宋体"/>
          <w:kern w:val="0"/>
          <w:szCs w:val="21"/>
        </w:rPr>
        <w:t>2017年，加入上海信利股份投资基金管理有限公司并工作至今，历任投资经理、投资总监、董事等职，同时兼任上海汇华实业有限公司投资总监和上海盛业股权投资基金有限公司监事，负责股权投资项目管理。李女士在私募股权投资、投后管理等方面拥有丰富的经验，领导并管理了多个行业的投资，包括金融服</w:t>
      </w:r>
      <w:r w:rsidRPr="00542E19">
        <w:rPr>
          <w:rFonts w:ascii="宋体" w:hAnsi="宋体" w:hint="eastAsia"/>
          <w:kern w:val="0"/>
          <w:szCs w:val="21"/>
        </w:rPr>
        <w:lastRenderedPageBreak/>
        <w:t>务（保险、资产管理、金融科技等）、医疗保健、消费与零售、新能源与环境、科技与媒体通信等。自</w:t>
      </w:r>
      <w:r w:rsidRPr="00542E19">
        <w:rPr>
          <w:rFonts w:ascii="宋体" w:hAnsi="宋体"/>
          <w:kern w:val="0"/>
          <w:szCs w:val="21"/>
        </w:rPr>
        <w:t>2020年12月8日起，任博时基金管理有限公司董事。</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姜立军先生，</w:t>
      </w:r>
      <w:r w:rsidRPr="00542E19">
        <w:rPr>
          <w:rFonts w:ascii="宋体" w:hAnsi="宋体"/>
          <w:kern w:val="0"/>
          <w:szCs w:val="21"/>
        </w:rPr>
        <w:t>1955年生，会计师，工商管理硕士（MBA）。1974年12月参加工作，历任中国远洋运输总公司财务处科</w:t>
      </w:r>
      <w:r w:rsidRPr="00542E19">
        <w:rPr>
          <w:rFonts w:ascii="宋体" w:hAnsi="宋体" w:hint="eastAsia"/>
          <w:kern w:val="0"/>
          <w:szCs w:val="21"/>
        </w:rPr>
        <w:t>员、中国</w:t>
      </w:r>
      <w:r w:rsidRPr="00542E19">
        <w:rPr>
          <w:rFonts w:ascii="宋体" w:hAnsi="宋体"/>
          <w:kern w:val="0"/>
          <w:szCs w:val="21"/>
        </w:rPr>
        <w:t>-</w:t>
      </w:r>
      <w:r w:rsidRPr="00542E19">
        <w:rPr>
          <w:rFonts w:ascii="宋体" w:hAnsi="宋体" w:hint="eastAsia"/>
          <w:kern w:val="0"/>
          <w:szCs w:val="21"/>
        </w:rPr>
        <w:t>坦桑尼亚联合海运服务公司财务部经理、日本中铃海运服务公司财务部经理、中远（英国）公司财务部经理、香港益丰船务公司财务部经理、香港</w:t>
      </w:r>
      <w:r w:rsidRPr="00542E19">
        <w:rPr>
          <w:rFonts w:ascii="宋体" w:hAnsi="宋体"/>
          <w:kern w:val="0"/>
          <w:szCs w:val="21"/>
        </w:rPr>
        <w:t>-</w:t>
      </w:r>
      <w:r w:rsidRPr="00542E19">
        <w:rPr>
          <w:rFonts w:ascii="宋体" w:hAnsi="宋体" w:hint="eastAsia"/>
          <w:kern w:val="0"/>
          <w:szCs w:val="21"/>
        </w:rPr>
        <w:t>佛罗伦租箱公司（香港上市公司）副总经理、中远太平洋有限公司（香港上市公司）副总经理、中远日本公司财务部长和营业副本部长、中远集装箱运输有限公司副总会计师等职。</w:t>
      </w:r>
      <w:r w:rsidRPr="00542E19">
        <w:rPr>
          <w:rFonts w:ascii="宋体" w:hAnsi="宋体"/>
          <w:kern w:val="0"/>
          <w:szCs w:val="21"/>
        </w:rPr>
        <w:t>2002.8-2008.7</w:t>
      </w:r>
      <w:r w:rsidRPr="00542E19">
        <w:rPr>
          <w:rFonts w:ascii="宋体" w:hAnsi="宋体" w:hint="eastAsia"/>
          <w:kern w:val="0"/>
          <w:szCs w:val="21"/>
        </w:rPr>
        <w:t>，任中远航运股份有限公司（</w:t>
      </w:r>
      <w:r w:rsidRPr="00542E19">
        <w:rPr>
          <w:rFonts w:ascii="宋体" w:hAnsi="宋体"/>
          <w:kern w:val="0"/>
          <w:szCs w:val="21"/>
        </w:rPr>
        <w:t>A</w:t>
      </w:r>
      <w:r w:rsidRPr="00542E19">
        <w:rPr>
          <w:rFonts w:ascii="宋体" w:hAnsi="宋体" w:hint="eastAsia"/>
          <w:kern w:val="0"/>
          <w:szCs w:val="21"/>
        </w:rPr>
        <w:t>股上市公司）首席执行官、董事。</w:t>
      </w:r>
      <w:r w:rsidRPr="00542E19">
        <w:rPr>
          <w:rFonts w:ascii="宋体" w:hAnsi="宋体"/>
          <w:kern w:val="0"/>
          <w:szCs w:val="21"/>
        </w:rPr>
        <w:t>2008.8-2011.12</w:t>
      </w:r>
      <w:r w:rsidRPr="00542E19">
        <w:rPr>
          <w:rFonts w:ascii="宋体" w:hAnsi="宋体" w:hint="eastAsia"/>
          <w:kern w:val="0"/>
          <w:szCs w:val="21"/>
        </w:rPr>
        <w:t>，任中远投资（新加坡）有限公司（新加坡上市公司）总裁、董事会副主席、中远控股（新加坡）有限公司总裁；并任新加坡中资企业协会会长。</w:t>
      </w:r>
      <w:r w:rsidRPr="00542E19">
        <w:rPr>
          <w:rFonts w:ascii="宋体" w:hAnsi="宋体"/>
          <w:kern w:val="0"/>
          <w:szCs w:val="21"/>
        </w:rPr>
        <w:t>2011.11-2015.12</w:t>
      </w:r>
      <w:r w:rsidRPr="00542E19">
        <w:rPr>
          <w:rFonts w:ascii="宋体" w:hAnsi="宋体" w:hint="eastAsia"/>
          <w:kern w:val="0"/>
          <w:szCs w:val="21"/>
        </w:rPr>
        <w:t>，任中国远洋控股股份有限公司执行（</w:t>
      </w:r>
      <w:r w:rsidRPr="00542E19">
        <w:rPr>
          <w:rFonts w:ascii="宋体" w:hAnsi="宋体"/>
          <w:kern w:val="0"/>
          <w:szCs w:val="21"/>
        </w:rPr>
        <w:t>A+H</w:t>
      </w:r>
      <w:r w:rsidRPr="00542E19">
        <w:rPr>
          <w:rFonts w:ascii="宋体" w:hAnsi="宋体" w:hint="eastAsia"/>
          <w:kern w:val="0"/>
          <w:szCs w:val="21"/>
        </w:rPr>
        <w:t>上市公司）执行董事、总经理。</w:t>
      </w:r>
      <w:r w:rsidRPr="00542E19">
        <w:rPr>
          <w:rFonts w:ascii="宋体" w:hAnsi="宋体"/>
          <w:kern w:val="0"/>
          <w:szCs w:val="21"/>
        </w:rPr>
        <w:t>2012.2-2015.12</w:t>
      </w:r>
      <w:r w:rsidRPr="00542E19">
        <w:rPr>
          <w:rFonts w:ascii="宋体" w:hAnsi="宋体" w:hint="eastAsia"/>
          <w:kern w:val="0"/>
          <w:szCs w:val="21"/>
        </w:rPr>
        <w:t>，兼任中国上市公司协会副监事长、天津上市公司协会副会长；</w:t>
      </w:r>
      <w:r w:rsidRPr="00542E19">
        <w:rPr>
          <w:rFonts w:ascii="宋体" w:hAnsi="宋体"/>
          <w:kern w:val="0"/>
          <w:szCs w:val="21"/>
        </w:rPr>
        <w:t>2014.9-2015.12</w:t>
      </w:r>
      <w:r w:rsidRPr="00542E19">
        <w:rPr>
          <w:rFonts w:ascii="宋体" w:hAnsi="宋体" w:hint="eastAsia"/>
          <w:kern w:val="0"/>
          <w:szCs w:val="21"/>
        </w:rPr>
        <w:t>，兼任中国上市公司协会监事会专业委员会副主任委员。自</w:t>
      </w:r>
      <w:r w:rsidRPr="00542E19">
        <w:rPr>
          <w:rFonts w:ascii="宋体" w:hAnsi="宋体"/>
          <w:kern w:val="0"/>
          <w:szCs w:val="21"/>
        </w:rPr>
        <w:t>2017</w:t>
      </w:r>
      <w:r w:rsidRPr="00542E19">
        <w:rPr>
          <w:rFonts w:ascii="宋体" w:hAnsi="宋体" w:hint="eastAsia"/>
          <w:kern w:val="0"/>
          <w:szCs w:val="21"/>
        </w:rPr>
        <w:t>年</w:t>
      </w:r>
      <w:r w:rsidRPr="00542E19">
        <w:rPr>
          <w:rFonts w:ascii="宋体" w:hAnsi="宋体"/>
          <w:kern w:val="0"/>
          <w:szCs w:val="21"/>
        </w:rPr>
        <w:t>11</w:t>
      </w:r>
      <w:r w:rsidRPr="00542E19">
        <w:rPr>
          <w:rFonts w:ascii="宋体" w:hAnsi="宋体" w:hint="eastAsia"/>
          <w:kern w:val="0"/>
          <w:szCs w:val="21"/>
        </w:rPr>
        <w:t>月</w:t>
      </w:r>
      <w:r w:rsidRPr="00542E19">
        <w:rPr>
          <w:rFonts w:ascii="宋体" w:hAnsi="宋体"/>
          <w:kern w:val="0"/>
          <w:szCs w:val="21"/>
        </w:rPr>
        <w:t>3</w:t>
      </w:r>
      <w:r w:rsidRPr="00542E19">
        <w:rPr>
          <w:rFonts w:ascii="宋体" w:hAnsi="宋体" w:hint="eastAsia"/>
          <w:kern w:val="0"/>
          <w:szCs w:val="21"/>
        </w:rPr>
        <w:t>日起，任博时基金管理有限公司独立董事。</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赵如冰先生，</w:t>
      </w:r>
      <w:r w:rsidRPr="00542E19">
        <w:rPr>
          <w:rFonts w:ascii="宋体" w:hAnsi="宋体"/>
          <w:kern w:val="0"/>
          <w:szCs w:val="21"/>
        </w:rPr>
        <w:t>1956</w:t>
      </w:r>
      <w:r w:rsidRPr="00542E19">
        <w:rPr>
          <w:rFonts w:ascii="宋体" w:hAnsi="宋体" w:hint="eastAsia"/>
          <w:kern w:val="0"/>
          <w:szCs w:val="21"/>
        </w:rPr>
        <w:t>年生，教授级高级工程师，国际金融专业经济学硕士研究生。赵如冰先生历任葛洲坝水力发电厂工程师、高级工程师、葛洲坝二江电厂电气分厂主任、书记；</w:t>
      </w:r>
      <w:r w:rsidRPr="00542E19">
        <w:rPr>
          <w:rFonts w:ascii="宋体" w:hAnsi="宋体"/>
          <w:kern w:val="0"/>
          <w:szCs w:val="21"/>
        </w:rPr>
        <w:t>1989.09</w:t>
      </w:r>
      <w:r w:rsidRPr="00542E19">
        <w:rPr>
          <w:rFonts w:ascii="宋体" w:hAnsi="宋体" w:hint="eastAsia"/>
          <w:kern w:val="0"/>
          <w:szCs w:val="21"/>
        </w:rPr>
        <w:t>—</w:t>
      </w:r>
      <w:r w:rsidRPr="00542E19">
        <w:rPr>
          <w:rFonts w:ascii="宋体" w:hAnsi="宋体"/>
          <w:kern w:val="0"/>
          <w:szCs w:val="21"/>
        </w:rPr>
        <w:t>1991.10</w:t>
      </w:r>
      <w:r w:rsidRPr="00542E19">
        <w:rPr>
          <w:rFonts w:ascii="宋体" w:hAnsi="宋体" w:hint="eastAsia"/>
          <w:kern w:val="0"/>
          <w:szCs w:val="21"/>
        </w:rPr>
        <w:t>任葛洲坝至上海正负</w:t>
      </w:r>
      <w:r w:rsidRPr="00542E19">
        <w:rPr>
          <w:rFonts w:ascii="宋体" w:hAnsi="宋体"/>
          <w:kern w:val="0"/>
          <w:szCs w:val="21"/>
        </w:rPr>
        <w:t>50</w:t>
      </w:r>
      <w:r w:rsidRPr="00542E19">
        <w:rPr>
          <w:rFonts w:ascii="宋体" w:hAnsi="宋体" w:hint="eastAsia"/>
          <w:kern w:val="0"/>
          <w:szCs w:val="21"/>
        </w:rPr>
        <w:t>万伏超高压直流输电换流站书记兼站长，主持参加了我国第一条直流输电工程的安装调试和运行。</w:t>
      </w:r>
      <w:r w:rsidRPr="00542E19">
        <w:rPr>
          <w:rFonts w:ascii="宋体" w:hAnsi="宋体"/>
          <w:kern w:val="0"/>
          <w:szCs w:val="21"/>
        </w:rPr>
        <w:t>1991.10</w:t>
      </w:r>
      <w:r w:rsidRPr="00542E19">
        <w:rPr>
          <w:rFonts w:ascii="宋体" w:hAnsi="宋体" w:hint="eastAsia"/>
          <w:kern w:val="0"/>
          <w:szCs w:val="21"/>
        </w:rPr>
        <w:t>—</w:t>
      </w:r>
      <w:r w:rsidRPr="00542E19">
        <w:rPr>
          <w:rFonts w:ascii="宋体" w:hAnsi="宋体"/>
          <w:kern w:val="0"/>
          <w:szCs w:val="21"/>
        </w:rPr>
        <w:t>1995.12</w:t>
      </w:r>
      <w:r w:rsidRPr="00542E19">
        <w:rPr>
          <w:rFonts w:ascii="宋体" w:hAnsi="宋体" w:hint="eastAsia"/>
          <w:kern w:val="0"/>
          <w:szCs w:val="21"/>
        </w:rPr>
        <w:t>任厂办公室主任兼外事办公室主任。</w:t>
      </w:r>
      <w:r w:rsidRPr="00542E19">
        <w:rPr>
          <w:rFonts w:ascii="宋体" w:hAnsi="宋体"/>
          <w:kern w:val="0"/>
          <w:szCs w:val="21"/>
        </w:rPr>
        <w:t>1995.12</w:t>
      </w:r>
      <w:r w:rsidRPr="00542E19">
        <w:rPr>
          <w:rFonts w:ascii="宋体" w:hAnsi="宋体" w:hint="eastAsia"/>
          <w:kern w:val="0"/>
          <w:szCs w:val="21"/>
        </w:rPr>
        <w:t>—</w:t>
      </w:r>
      <w:r w:rsidRPr="00542E19">
        <w:rPr>
          <w:rFonts w:ascii="宋体" w:hAnsi="宋体"/>
          <w:kern w:val="0"/>
          <w:szCs w:val="21"/>
        </w:rPr>
        <w:t>1999.12</w:t>
      </w:r>
      <w:r w:rsidRPr="00542E19">
        <w:rPr>
          <w:rFonts w:ascii="宋体" w:hAnsi="宋体" w:hint="eastAsia"/>
          <w:kern w:val="0"/>
          <w:szCs w:val="21"/>
        </w:rPr>
        <w:t>，赵如冰先生任华能南方开发公司党组书记、总经理，兼任中国华能集团董事、深圳南山热电股份有限公司（上市公司代码</w:t>
      </w:r>
      <w:r w:rsidRPr="00542E19">
        <w:rPr>
          <w:rFonts w:ascii="宋体" w:hAnsi="宋体"/>
          <w:kern w:val="0"/>
          <w:szCs w:val="21"/>
        </w:rPr>
        <w:t>0037</w:t>
      </w:r>
      <w:r w:rsidRPr="00542E19">
        <w:rPr>
          <w:rFonts w:ascii="宋体" w:hAnsi="宋体" w:hint="eastAsia"/>
          <w:kern w:val="0"/>
          <w:szCs w:val="21"/>
        </w:rPr>
        <w:t>）副董事长、长城证券有限责任公司副董事长、深圳华能电讯有限公司董事长。</w:t>
      </w:r>
      <w:r w:rsidRPr="00542E19">
        <w:rPr>
          <w:rFonts w:ascii="宋体" w:hAnsi="宋体"/>
          <w:kern w:val="0"/>
          <w:szCs w:val="21"/>
        </w:rPr>
        <w:t>2000.01-2004.07</w:t>
      </w:r>
      <w:r w:rsidRPr="00542E19">
        <w:rPr>
          <w:rFonts w:ascii="宋体" w:hAnsi="宋体" w:hint="eastAsia"/>
          <w:kern w:val="0"/>
          <w:szCs w:val="21"/>
        </w:rPr>
        <w:t>，华能南方公司被国家电力公司重组后，任华能房地产开发公司副总经理，长城证券有限责任公司副董事长。</w:t>
      </w:r>
      <w:r w:rsidRPr="00542E19">
        <w:rPr>
          <w:rFonts w:ascii="宋体" w:hAnsi="宋体"/>
          <w:kern w:val="0"/>
          <w:szCs w:val="21"/>
        </w:rPr>
        <w:t>2004.07-2009.03</w:t>
      </w:r>
      <w:r w:rsidRPr="00542E19">
        <w:rPr>
          <w:rFonts w:ascii="宋体" w:hAnsi="宋体" w:hint="eastAsia"/>
          <w:kern w:val="0"/>
          <w:szCs w:val="21"/>
        </w:rPr>
        <w:t>，赵如冰先生任华能房地产开发公司党组书记、总经理。</w:t>
      </w:r>
      <w:r w:rsidRPr="00542E19">
        <w:rPr>
          <w:rFonts w:ascii="宋体" w:hAnsi="宋体"/>
          <w:kern w:val="0"/>
          <w:szCs w:val="21"/>
        </w:rPr>
        <w:t xml:space="preserve">2009.12-2016.8, </w:t>
      </w:r>
      <w:r w:rsidRPr="00542E19">
        <w:rPr>
          <w:rFonts w:ascii="宋体" w:hAnsi="宋体" w:hint="eastAsia"/>
          <w:kern w:val="0"/>
          <w:szCs w:val="21"/>
        </w:rPr>
        <w:t>赵如冰先生任景顺长城基金管理公司董事长、景顺长城资产管理（深圳）公司董事长兼长城证券公司党委副书记。</w:t>
      </w:r>
      <w:r w:rsidRPr="00542E19">
        <w:rPr>
          <w:rFonts w:ascii="宋体" w:hAnsi="宋体"/>
          <w:kern w:val="0"/>
          <w:szCs w:val="21"/>
        </w:rPr>
        <w:t xml:space="preserve">2016.8-2020.03, </w:t>
      </w:r>
      <w:r w:rsidRPr="00542E19">
        <w:rPr>
          <w:rFonts w:ascii="宋体" w:hAnsi="宋体" w:hint="eastAsia"/>
          <w:kern w:val="0"/>
          <w:szCs w:val="21"/>
        </w:rPr>
        <w:t>赵如冰先生任阳光资产管理股份有限公司副董事长；</w:t>
      </w:r>
      <w:r w:rsidRPr="00542E19">
        <w:rPr>
          <w:rFonts w:ascii="宋体" w:hAnsi="宋体"/>
          <w:kern w:val="0"/>
          <w:szCs w:val="21"/>
        </w:rPr>
        <w:t>2016.8-</w:t>
      </w:r>
      <w:r w:rsidRPr="00542E19">
        <w:rPr>
          <w:rFonts w:ascii="宋体" w:hAnsi="宋体" w:hint="eastAsia"/>
          <w:kern w:val="0"/>
          <w:szCs w:val="21"/>
        </w:rPr>
        <w:t>至今</w:t>
      </w:r>
      <w:r w:rsidRPr="00542E19">
        <w:rPr>
          <w:rFonts w:ascii="宋体" w:hAnsi="宋体"/>
          <w:kern w:val="0"/>
          <w:szCs w:val="21"/>
        </w:rPr>
        <w:t>,</w:t>
      </w:r>
      <w:r w:rsidRPr="00542E19">
        <w:rPr>
          <w:rFonts w:ascii="宋体" w:hAnsi="宋体" w:hint="eastAsia"/>
          <w:kern w:val="0"/>
          <w:szCs w:val="21"/>
        </w:rPr>
        <w:t>任西南证券、百隆东方独立董事，</w:t>
      </w:r>
      <w:r w:rsidRPr="00542E19">
        <w:rPr>
          <w:rFonts w:ascii="宋体" w:hAnsi="宋体"/>
          <w:kern w:val="0"/>
          <w:szCs w:val="21"/>
        </w:rPr>
        <w:t>2020.03-</w:t>
      </w:r>
      <w:r w:rsidRPr="00542E19">
        <w:rPr>
          <w:rFonts w:ascii="宋体" w:hAnsi="宋体" w:hint="eastAsia"/>
          <w:kern w:val="0"/>
          <w:szCs w:val="21"/>
        </w:rPr>
        <w:t>至今深圳市深粮控股股份有限公司独立董事。自</w:t>
      </w:r>
      <w:r w:rsidRPr="00542E19">
        <w:rPr>
          <w:rFonts w:ascii="宋体" w:hAnsi="宋体"/>
          <w:kern w:val="0"/>
          <w:szCs w:val="21"/>
        </w:rPr>
        <w:t>2017</w:t>
      </w:r>
      <w:r w:rsidRPr="00542E19">
        <w:rPr>
          <w:rFonts w:ascii="宋体" w:hAnsi="宋体" w:hint="eastAsia"/>
          <w:kern w:val="0"/>
          <w:szCs w:val="21"/>
        </w:rPr>
        <w:t>年</w:t>
      </w:r>
      <w:r w:rsidRPr="00542E19">
        <w:rPr>
          <w:rFonts w:ascii="宋体" w:hAnsi="宋体"/>
          <w:kern w:val="0"/>
          <w:szCs w:val="21"/>
        </w:rPr>
        <w:t>11</w:t>
      </w:r>
      <w:r w:rsidRPr="00542E19">
        <w:rPr>
          <w:rFonts w:ascii="宋体" w:hAnsi="宋体" w:hint="eastAsia"/>
          <w:kern w:val="0"/>
          <w:szCs w:val="21"/>
        </w:rPr>
        <w:t>月</w:t>
      </w:r>
      <w:r w:rsidRPr="00542E19">
        <w:rPr>
          <w:rFonts w:ascii="宋体" w:hAnsi="宋体"/>
          <w:kern w:val="0"/>
          <w:szCs w:val="21"/>
        </w:rPr>
        <w:t>3</w:t>
      </w:r>
      <w:r w:rsidRPr="00542E19">
        <w:rPr>
          <w:rFonts w:ascii="宋体" w:hAnsi="宋体" w:hint="eastAsia"/>
          <w:kern w:val="0"/>
          <w:szCs w:val="21"/>
        </w:rPr>
        <w:t>日起，任博时基金管理有限公司独立董事。</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宋子洲先生，</w:t>
      </w:r>
      <w:r w:rsidRPr="00542E19">
        <w:rPr>
          <w:rFonts w:ascii="宋体" w:hAnsi="宋体"/>
          <w:kern w:val="0"/>
          <w:szCs w:val="21"/>
        </w:rPr>
        <w:t>1960</w:t>
      </w:r>
      <w:r w:rsidRPr="00542E19">
        <w:rPr>
          <w:rFonts w:ascii="宋体" w:hAnsi="宋体" w:hint="eastAsia"/>
          <w:kern w:val="0"/>
          <w:szCs w:val="21"/>
        </w:rPr>
        <w:t>年生，中国保险资产管理业协会金融科技委员会主任委员。历任中国人寿保险公司稽核部制度处处长、资金运用部财会监督处处长、资金运用中心副总经理，中国人寿资产管理有限公司风险管理及合规部总监、首席风险官、副总裁。从事保险资金投资管理工作</w:t>
      </w:r>
      <w:r w:rsidRPr="00542E19">
        <w:rPr>
          <w:rFonts w:ascii="宋体" w:hAnsi="宋体"/>
          <w:kern w:val="0"/>
          <w:szCs w:val="21"/>
        </w:rPr>
        <w:t>20</w:t>
      </w:r>
      <w:r w:rsidRPr="00542E19">
        <w:rPr>
          <w:rFonts w:ascii="宋体" w:hAnsi="宋体" w:hint="eastAsia"/>
          <w:kern w:val="0"/>
          <w:szCs w:val="21"/>
        </w:rPr>
        <w:t>余年，在保险资产管理公司的投资、运营、风险管理等方面积累了丰富的经验。自</w:t>
      </w:r>
      <w:r w:rsidRPr="00542E19">
        <w:rPr>
          <w:rFonts w:ascii="宋体" w:hAnsi="宋体"/>
          <w:kern w:val="0"/>
          <w:szCs w:val="21"/>
        </w:rPr>
        <w:t>2020</w:t>
      </w:r>
      <w:r w:rsidRPr="00542E19">
        <w:rPr>
          <w:rFonts w:ascii="宋体" w:hAnsi="宋体" w:hint="eastAsia"/>
          <w:kern w:val="0"/>
          <w:szCs w:val="21"/>
        </w:rPr>
        <w:t>年</w:t>
      </w:r>
      <w:r w:rsidRPr="00542E19">
        <w:rPr>
          <w:rFonts w:ascii="宋体" w:hAnsi="宋体"/>
          <w:kern w:val="0"/>
          <w:szCs w:val="21"/>
        </w:rPr>
        <w:t>12</w:t>
      </w:r>
      <w:r w:rsidRPr="00542E19">
        <w:rPr>
          <w:rFonts w:ascii="宋体" w:hAnsi="宋体" w:hint="eastAsia"/>
          <w:kern w:val="0"/>
          <w:szCs w:val="21"/>
        </w:rPr>
        <w:t>月</w:t>
      </w:r>
      <w:r w:rsidRPr="00542E19">
        <w:rPr>
          <w:rFonts w:ascii="宋体" w:hAnsi="宋体"/>
          <w:kern w:val="0"/>
          <w:szCs w:val="21"/>
        </w:rPr>
        <w:t>8</w:t>
      </w:r>
      <w:r w:rsidRPr="00542E19">
        <w:rPr>
          <w:rFonts w:ascii="宋体" w:hAnsi="宋体" w:hint="eastAsia"/>
          <w:kern w:val="0"/>
          <w:szCs w:val="21"/>
        </w:rPr>
        <w:t>日起，任博时基金管理有限公司独立董事。</w:t>
      </w:r>
    </w:p>
    <w:p w:rsidR="004A3137" w:rsidRPr="004A3137" w:rsidRDefault="004A3137" w:rsidP="00542E19">
      <w:pPr>
        <w:spacing w:line="360" w:lineRule="auto"/>
        <w:ind w:firstLineChars="200" w:firstLine="420"/>
        <w:rPr>
          <w:rFonts w:ascii="宋体" w:hAnsi="宋体"/>
          <w:kern w:val="0"/>
          <w:szCs w:val="21"/>
        </w:rPr>
      </w:pPr>
      <w:r w:rsidRPr="004A3137">
        <w:rPr>
          <w:rFonts w:ascii="宋体" w:hAnsi="宋体" w:hint="eastAsia"/>
          <w:kern w:val="0"/>
          <w:szCs w:val="21"/>
        </w:rPr>
        <w:t>2、基金管理人监事会成员</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何敏女士，</w:t>
      </w:r>
      <w:r w:rsidRPr="00542E19">
        <w:rPr>
          <w:rFonts w:ascii="宋体" w:hAnsi="宋体"/>
          <w:kern w:val="0"/>
          <w:szCs w:val="21"/>
        </w:rPr>
        <w:t>1975</w:t>
      </w:r>
      <w:r w:rsidRPr="00542E19">
        <w:rPr>
          <w:rFonts w:ascii="宋体" w:hAnsi="宋体" w:hint="eastAsia"/>
          <w:kern w:val="0"/>
          <w:szCs w:val="21"/>
        </w:rPr>
        <w:t>年出生，中南财经大学会计学硕士。</w:t>
      </w:r>
      <w:r w:rsidRPr="00542E19">
        <w:rPr>
          <w:rFonts w:ascii="宋体" w:hAnsi="宋体"/>
          <w:kern w:val="0"/>
          <w:szCs w:val="21"/>
        </w:rPr>
        <w:t>1999</w:t>
      </w:r>
      <w:r w:rsidRPr="00542E19">
        <w:rPr>
          <w:rFonts w:ascii="宋体" w:hAnsi="宋体" w:hint="eastAsia"/>
          <w:kern w:val="0"/>
          <w:szCs w:val="21"/>
        </w:rPr>
        <w:t>年</w:t>
      </w:r>
      <w:r w:rsidRPr="00542E19">
        <w:rPr>
          <w:rFonts w:ascii="宋体" w:hAnsi="宋体"/>
          <w:kern w:val="0"/>
          <w:szCs w:val="21"/>
        </w:rPr>
        <w:t>7</w:t>
      </w:r>
      <w:r w:rsidRPr="00542E19">
        <w:rPr>
          <w:rFonts w:ascii="宋体" w:hAnsi="宋体" w:hint="eastAsia"/>
          <w:kern w:val="0"/>
          <w:szCs w:val="21"/>
        </w:rPr>
        <w:t>月至</w:t>
      </w:r>
      <w:r w:rsidRPr="00542E19">
        <w:rPr>
          <w:rFonts w:ascii="宋体" w:hAnsi="宋体"/>
          <w:kern w:val="0"/>
          <w:szCs w:val="21"/>
        </w:rPr>
        <w:t>2006</w:t>
      </w:r>
      <w:r w:rsidRPr="00542E19">
        <w:rPr>
          <w:rFonts w:ascii="宋体" w:hAnsi="宋体" w:hint="eastAsia"/>
          <w:kern w:val="0"/>
          <w:szCs w:val="21"/>
        </w:rPr>
        <w:t>年</w:t>
      </w:r>
      <w:r w:rsidRPr="00542E19">
        <w:rPr>
          <w:rFonts w:ascii="宋体" w:hAnsi="宋体"/>
          <w:kern w:val="0"/>
          <w:szCs w:val="21"/>
        </w:rPr>
        <w:t>4月任招商</w:t>
      </w:r>
      <w:r w:rsidRPr="00542E19">
        <w:rPr>
          <w:rFonts w:ascii="宋体" w:hAnsi="宋体" w:hint="eastAsia"/>
          <w:kern w:val="0"/>
          <w:szCs w:val="21"/>
        </w:rPr>
        <w:lastRenderedPageBreak/>
        <w:t>证券股份有限公司财务部会计核算岗，</w:t>
      </w:r>
      <w:r w:rsidRPr="00542E19">
        <w:rPr>
          <w:rFonts w:ascii="宋体" w:hAnsi="宋体"/>
          <w:kern w:val="0"/>
          <w:szCs w:val="21"/>
        </w:rPr>
        <w:t>2006</w:t>
      </w:r>
      <w:r w:rsidRPr="00542E19">
        <w:rPr>
          <w:rFonts w:ascii="宋体" w:hAnsi="宋体" w:hint="eastAsia"/>
          <w:kern w:val="0"/>
          <w:szCs w:val="21"/>
        </w:rPr>
        <w:t>年</w:t>
      </w:r>
      <w:r w:rsidRPr="00542E19">
        <w:rPr>
          <w:rFonts w:ascii="宋体" w:hAnsi="宋体"/>
          <w:kern w:val="0"/>
          <w:szCs w:val="21"/>
        </w:rPr>
        <w:t>4</w:t>
      </w:r>
      <w:r w:rsidRPr="00542E19">
        <w:rPr>
          <w:rFonts w:ascii="宋体" w:hAnsi="宋体" w:hint="eastAsia"/>
          <w:kern w:val="0"/>
          <w:szCs w:val="21"/>
        </w:rPr>
        <w:t>月至</w:t>
      </w:r>
      <w:r w:rsidRPr="00542E19">
        <w:rPr>
          <w:rFonts w:ascii="宋体" w:hAnsi="宋体"/>
          <w:kern w:val="0"/>
          <w:szCs w:val="21"/>
        </w:rPr>
        <w:t>2009</w:t>
      </w:r>
      <w:r w:rsidRPr="00542E19">
        <w:rPr>
          <w:rFonts w:ascii="宋体" w:hAnsi="宋体" w:hint="eastAsia"/>
          <w:kern w:val="0"/>
          <w:szCs w:val="21"/>
        </w:rPr>
        <w:t>年</w:t>
      </w:r>
      <w:r w:rsidRPr="00542E19">
        <w:rPr>
          <w:rFonts w:ascii="宋体" w:hAnsi="宋体"/>
          <w:kern w:val="0"/>
          <w:szCs w:val="21"/>
        </w:rPr>
        <w:t xml:space="preserve">4 </w:t>
      </w:r>
      <w:r w:rsidRPr="00542E19">
        <w:rPr>
          <w:rFonts w:ascii="宋体" w:hAnsi="宋体" w:hint="eastAsia"/>
          <w:kern w:val="0"/>
          <w:szCs w:val="21"/>
        </w:rPr>
        <w:t>月任招商证券股份有限公司财务部总经理助理，</w:t>
      </w:r>
      <w:r w:rsidRPr="00542E19">
        <w:rPr>
          <w:rFonts w:ascii="宋体" w:hAnsi="宋体"/>
          <w:kern w:val="0"/>
          <w:szCs w:val="21"/>
        </w:rPr>
        <w:t>2009</w:t>
      </w:r>
      <w:r w:rsidRPr="00542E19">
        <w:rPr>
          <w:rFonts w:ascii="宋体" w:hAnsi="宋体" w:hint="eastAsia"/>
          <w:kern w:val="0"/>
          <w:szCs w:val="21"/>
        </w:rPr>
        <w:t>年</w:t>
      </w:r>
      <w:r w:rsidRPr="00542E19">
        <w:rPr>
          <w:rFonts w:ascii="宋体" w:hAnsi="宋体"/>
          <w:kern w:val="0"/>
          <w:szCs w:val="21"/>
        </w:rPr>
        <w:t>4</w:t>
      </w:r>
      <w:r w:rsidRPr="00542E19">
        <w:rPr>
          <w:rFonts w:ascii="宋体" w:hAnsi="宋体" w:hint="eastAsia"/>
          <w:kern w:val="0"/>
          <w:szCs w:val="21"/>
        </w:rPr>
        <w:t>月至</w:t>
      </w:r>
      <w:r w:rsidRPr="00542E19">
        <w:rPr>
          <w:rFonts w:ascii="宋体" w:hAnsi="宋体"/>
          <w:kern w:val="0"/>
          <w:szCs w:val="21"/>
        </w:rPr>
        <w:t xml:space="preserve"> 2019</w:t>
      </w:r>
      <w:r w:rsidRPr="00542E19">
        <w:rPr>
          <w:rFonts w:ascii="宋体" w:hAnsi="宋体" w:hint="eastAsia"/>
          <w:kern w:val="0"/>
          <w:szCs w:val="21"/>
        </w:rPr>
        <w:t>年</w:t>
      </w:r>
      <w:r w:rsidRPr="00542E19">
        <w:rPr>
          <w:rFonts w:ascii="宋体" w:hAnsi="宋体"/>
          <w:kern w:val="0"/>
          <w:szCs w:val="21"/>
        </w:rPr>
        <w:t>2</w:t>
      </w:r>
      <w:r w:rsidRPr="00542E19">
        <w:rPr>
          <w:rFonts w:ascii="宋体" w:hAnsi="宋体" w:hint="eastAsia"/>
          <w:kern w:val="0"/>
          <w:szCs w:val="21"/>
        </w:rPr>
        <w:t>月任</w:t>
      </w:r>
      <w:r w:rsidRPr="00542E19">
        <w:rPr>
          <w:rFonts w:ascii="宋体" w:hAnsi="宋体"/>
          <w:kern w:val="0"/>
          <w:szCs w:val="21"/>
        </w:rPr>
        <w:t xml:space="preserve"> </w:t>
      </w:r>
      <w:r w:rsidRPr="00542E19">
        <w:rPr>
          <w:rFonts w:ascii="宋体" w:hAnsi="宋体" w:hint="eastAsia"/>
          <w:kern w:val="0"/>
          <w:szCs w:val="21"/>
        </w:rPr>
        <w:t>招商证券股份有限公司财务部副总经理，</w:t>
      </w:r>
      <w:r w:rsidRPr="00542E19">
        <w:rPr>
          <w:rFonts w:ascii="宋体" w:hAnsi="宋体"/>
          <w:kern w:val="0"/>
          <w:szCs w:val="21"/>
        </w:rPr>
        <w:t>2019</w:t>
      </w:r>
      <w:r w:rsidRPr="00542E19">
        <w:rPr>
          <w:rFonts w:ascii="宋体" w:hAnsi="宋体" w:hint="eastAsia"/>
          <w:kern w:val="0"/>
          <w:szCs w:val="21"/>
        </w:rPr>
        <w:t>年</w:t>
      </w:r>
      <w:r w:rsidRPr="00542E19">
        <w:rPr>
          <w:rFonts w:ascii="宋体" w:hAnsi="宋体"/>
          <w:kern w:val="0"/>
          <w:szCs w:val="21"/>
        </w:rPr>
        <w:t>2</w:t>
      </w:r>
      <w:r w:rsidRPr="00542E19">
        <w:rPr>
          <w:rFonts w:ascii="宋体" w:hAnsi="宋体" w:hint="eastAsia"/>
          <w:kern w:val="0"/>
          <w:szCs w:val="21"/>
        </w:rPr>
        <w:t>月至今任招商证券股份有限公司财务部总经理。自</w:t>
      </w:r>
      <w:r w:rsidRPr="00542E19">
        <w:rPr>
          <w:rFonts w:ascii="宋体" w:hAnsi="宋体"/>
          <w:kern w:val="0"/>
          <w:szCs w:val="21"/>
        </w:rPr>
        <w:t>2019</w:t>
      </w:r>
      <w:r w:rsidRPr="00542E19">
        <w:rPr>
          <w:rFonts w:ascii="宋体" w:hAnsi="宋体" w:hint="eastAsia"/>
          <w:kern w:val="0"/>
          <w:szCs w:val="21"/>
        </w:rPr>
        <w:t>年</w:t>
      </w:r>
      <w:r w:rsidRPr="00542E19">
        <w:rPr>
          <w:rFonts w:ascii="宋体" w:hAnsi="宋体"/>
          <w:kern w:val="0"/>
          <w:szCs w:val="21"/>
        </w:rPr>
        <w:t>4</w:t>
      </w:r>
      <w:r w:rsidRPr="00542E19">
        <w:rPr>
          <w:rFonts w:ascii="宋体" w:hAnsi="宋体" w:hint="eastAsia"/>
          <w:kern w:val="0"/>
          <w:szCs w:val="21"/>
        </w:rPr>
        <w:t>月</w:t>
      </w:r>
      <w:r w:rsidRPr="00542E19">
        <w:rPr>
          <w:rFonts w:ascii="宋体" w:hAnsi="宋体"/>
          <w:kern w:val="0"/>
          <w:szCs w:val="21"/>
        </w:rPr>
        <w:t>10</w:t>
      </w:r>
      <w:r w:rsidRPr="00542E19">
        <w:rPr>
          <w:rFonts w:ascii="宋体" w:hAnsi="宋体" w:hint="eastAsia"/>
          <w:kern w:val="0"/>
          <w:szCs w:val="21"/>
        </w:rPr>
        <w:t>日起，任博时基金管理有限公司监事会主席。</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陈良生先生，中央党校经济学硕士。</w:t>
      </w:r>
      <w:r w:rsidRPr="00542E19">
        <w:rPr>
          <w:rFonts w:ascii="宋体" w:hAnsi="宋体"/>
          <w:kern w:val="0"/>
          <w:szCs w:val="21"/>
        </w:rPr>
        <w:t>1980</w:t>
      </w:r>
      <w:r w:rsidRPr="00542E19">
        <w:rPr>
          <w:rFonts w:ascii="宋体" w:hAnsi="宋体" w:hint="eastAsia"/>
          <w:kern w:val="0"/>
          <w:szCs w:val="21"/>
        </w:rPr>
        <w:t>年至</w:t>
      </w:r>
      <w:r w:rsidRPr="00542E19">
        <w:rPr>
          <w:rFonts w:ascii="宋体" w:hAnsi="宋体"/>
          <w:kern w:val="0"/>
          <w:szCs w:val="21"/>
        </w:rPr>
        <w:t>2000</w:t>
      </w:r>
      <w:r w:rsidRPr="00542E19">
        <w:rPr>
          <w:rFonts w:ascii="宋体" w:hAnsi="宋体" w:hint="eastAsia"/>
          <w:kern w:val="0"/>
          <w:szCs w:val="21"/>
        </w:rPr>
        <w:t>年就职于中国农业银行巢湖市支行及安徽省分行。</w:t>
      </w:r>
      <w:r w:rsidRPr="00542E19">
        <w:rPr>
          <w:rFonts w:ascii="宋体" w:hAnsi="宋体"/>
          <w:kern w:val="0"/>
          <w:szCs w:val="21"/>
        </w:rPr>
        <w:t>2000</w:t>
      </w:r>
      <w:r w:rsidRPr="00542E19">
        <w:rPr>
          <w:rFonts w:ascii="宋体" w:hAnsi="宋体" w:hint="eastAsia"/>
          <w:kern w:val="0"/>
          <w:szCs w:val="21"/>
        </w:rPr>
        <w:t>年起就职于中国</w:t>
      </w:r>
      <w:r w:rsidRPr="004A3137">
        <w:rPr>
          <w:rFonts w:ascii="宋体" w:hAnsi="宋体" w:hint="eastAsia"/>
          <w:kern w:val="0"/>
          <w:szCs w:val="21"/>
        </w:rPr>
        <w:t>长城资产管理公司，历任合肥办事处综合管理部部</w:t>
      </w:r>
      <w:r w:rsidRPr="00542E19">
        <w:rPr>
          <w:rFonts w:ascii="宋体" w:hAnsi="宋体" w:hint="eastAsia"/>
          <w:kern w:val="0"/>
          <w:szCs w:val="21"/>
        </w:rPr>
        <w:t>长、福州办事处党委委员、总经理、福建省分公司党委书记、总经理。</w:t>
      </w:r>
      <w:r w:rsidRPr="00542E19">
        <w:rPr>
          <w:rFonts w:ascii="宋体" w:hAnsi="宋体"/>
          <w:kern w:val="0"/>
          <w:szCs w:val="21"/>
        </w:rPr>
        <w:t>2017</w:t>
      </w:r>
      <w:r w:rsidRPr="00542E19">
        <w:rPr>
          <w:rFonts w:ascii="宋体" w:hAnsi="宋体" w:hint="eastAsia"/>
          <w:kern w:val="0"/>
          <w:szCs w:val="21"/>
        </w:rPr>
        <w:t>年</w:t>
      </w:r>
      <w:r w:rsidRPr="00542E19">
        <w:rPr>
          <w:rFonts w:ascii="宋体" w:hAnsi="宋体"/>
          <w:kern w:val="0"/>
          <w:szCs w:val="21"/>
        </w:rPr>
        <w:t>4</w:t>
      </w:r>
      <w:r w:rsidRPr="00542E19">
        <w:rPr>
          <w:rFonts w:ascii="宋体" w:hAnsi="宋体" w:hint="eastAsia"/>
          <w:kern w:val="0"/>
          <w:szCs w:val="21"/>
        </w:rPr>
        <w:t>月至今任中国长城资产管理股份有限公司机构协同部专职董监事。自</w:t>
      </w:r>
      <w:r w:rsidRPr="00542E19">
        <w:rPr>
          <w:rFonts w:ascii="宋体" w:hAnsi="宋体"/>
          <w:kern w:val="0"/>
          <w:szCs w:val="21"/>
        </w:rPr>
        <w:t>2017</w:t>
      </w:r>
      <w:r w:rsidRPr="00542E19">
        <w:rPr>
          <w:rFonts w:ascii="宋体" w:hAnsi="宋体" w:hint="eastAsia"/>
          <w:kern w:val="0"/>
          <w:szCs w:val="21"/>
        </w:rPr>
        <w:t>年</w:t>
      </w:r>
      <w:r w:rsidRPr="00542E19">
        <w:rPr>
          <w:rFonts w:ascii="宋体" w:hAnsi="宋体"/>
          <w:kern w:val="0"/>
          <w:szCs w:val="21"/>
        </w:rPr>
        <w:t>6</w:t>
      </w:r>
      <w:r w:rsidRPr="00542E19">
        <w:rPr>
          <w:rFonts w:ascii="宋体" w:hAnsi="宋体" w:hint="eastAsia"/>
          <w:kern w:val="0"/>
          <w:szCs w:val="21"/>
        </w:rPr>
        <w:t>月起，任博时基金管理有限公司监事。</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赵兴利先生，硕士。</w:t>
      </w:r>
      <w:r w:rsidRPr="00542E19">
        <w:rPr>
          <w:rFonts w:ascii="宋体" w:hAnsi="宋体"/>
          <w:kern w:val="0"/>
          <w:szCs w:val="21"/>
        </w:rPr>
        <w:t>1987</w:t>
      </w:r>
      <w:r w:rsidRPr="00542E19">
        <w:rPr>
          <w:rFonts w:ascii="宋体" w:hAnsi="宋体" w:hint="eastAsia"/>
          <w:kern w:val="0"/>
          <w:szCs w:val="21"/>
        </w:rPr>
        <w:t>年至</w:t>
      </w:r>
      <w:r w:rsidRPr="00542E19">
        <w:rPr>
          <w:rFonts w:ascii="宋体" w:hAnsi="宋体"/>
          <w:kern w:val="0"/>
          <w:szCs w:val="21"/>
        </w:rPr>
        <w:t>1995</w:t>
      </w:r>
      <w:r w:rsidRPr="00542E19">
        <w:rPr>
          <w:rFonts w:ascii="宋体" w:hAnsi="宋体" w:hint="eastAsia"/>
          <w:kern w:val="0"/>
          <w:szCs w:val="21"/>
        </w:rPr>
        <w:t>年就职于天津港务局计财处。</w:t>
      </w:r>
      <w:r w:rsidRPr="00542E19">
        <w:rPr>
          <w:rFonts w:ascii="宋体" w:hAnsi="宋体"/>
          <w:kern w:val="0"/>
          <w:szCs w:val="21"/>
        </w:rPr>
        <w:t>1995</w:t>
      </w:r>
      <w:r w:rsidRPr="00542E19">
        <w:rPr>
          <w:rFonts w:ascii="宋体" w:hAnsi="宋体" w:hint="eastAsia"/>
          <w:kern w:val="0"/>
          <w:szCs w:val="21"/>
        </w:rPr>
        <w:t>年至</w:t>
      </w:r>
      <w:r w:rsidRPr="00542E19">
        <w:rPr>
          <w:rFonts w:ascii="宋体" w:hAnsi="宋体"/>
          <w:kern w:val="0"/>
          <w:szCs w:val="21"/>
        </w:rPr>
        <w:t>2012</w:t>
      </w:r>
      <w:r w:rsidRPr="00542E19">
        <w:rPr>
          <w:rFonts w:ascii="宋体" w:hAnsi="宋体" w:hint="eastAsia"/>
          <w:kern w:val="0"/>
          <w:szCs w:val="21"/>
        </w:rPr>
        <w:t>年</w:t>
      </w:r>
      <w:r w:rsidRPr="00542E19">
        <w:rPr>
          <w:rFonts w:ascii="宋体" w:hAnsi="宋体"/>
          <w:kern w:val="0"/>
          <w:szCs w:val="21"/>
        </w:rPr>
        <w:t>5</w:t>
      </w:r>
      <w:r w:rsidRPr="00542E19">
        <w:rPr>
          <w:rFonts w:ascii="宋体" w:hAnsi="宋体" w:hint="eastAsia"/>
          <w:kern w:val="0"/>
          <w:szCs w:val="21"/>
        </w:rPr>
        <w:t>月先后任天津港贸易公司财务科科长、天津港（集团）公司委派货运公司会计主管、华夏人寿保险股份有限公司财务部总经理、天津港财务有限公司常务副总经理。</w:t>
      </w:r>
      <w:r w:rsidRPr="00542E19">
        <w:rPr>
          <w:rFonts w:ascii="宋体" w:hAnsi="宋体"/>
          <w:kern w:val="0"/>
          <w:szCs w:val="21"/>
        </w:rPr>
        <w:t>2012</w:t>
      </w:r>
      <w:r w:rsidRPr="00542E19">
        <w:rPr>
          <w:rFonts w:ascii="宋体" w:hAnsi="宋体" w:hint="eastAsia"/>
          <w:kern w:val="0"/>
          <w:szCs w:val="21"/>
        </w:rPr>
        <w:t>年</w:t>
      </w:r>
      <w:r w:rsidRPr="00542E19">
        <w:rPr>
          <w:rFonts w:ascii="宋体" w:hAnsi="宋体"/>
          <w:kern w:val="0"/>
          <w:szCs w:val="21"/>
        </w:rPr>
        <w:t>5</w:t>
      </w:r>
      <w:r w:rsidRPr="00542E19">
        <w:rPr>
          <w:rFonts w:ascii="宋体" w:hAnsi="宋体" w:hint="eastAsia"/>
          <w:kern w:val="0"/>
          <w:szCs w:val="21"/>
        </w:rPr>
        <w:t>月至</w:t>
      </w:r>
      <w:r w:rsidRPr="00542E19">
        <w:rPr>
          <w:rFonts w:ascii="宋体" w:hAnsi="宋体"/>
          <w:kern w:val="0"/>
          <w:szCs w:val="21"/>
        </w:rPr>
        <w:t>2020</w:t>
      </w:r>
      <w:r w:rsidRPr="00542E19">
        <w:rPr>
          <w:rFonts w:ascii="宋体" w:hAnsi="宋体" w:hint="eastAsia"/>
          <w:kern w:val="0"/>
          <w:szCs w:val="21"/>
        </w:rPr>
        <w:t>年</w:t>
      </w:r>
      <w:r w:rsidRPr="00542E19">
        <w:rPr>
          <w:rFonts w:ascii="宋体" w:hAnsi="宋体"/>
          <w:kern w:val="0"/>
          <w:szCs w:val="21"/>
        </w:rPr>
        <w:t>6</w:t>
      </w:r>
      <w:r w:rsidRPr="00542E19">
        <w:rPr>
          <w:rFonts w:ascii="宋体" w:hAnsi="宋体" w:hint="eastAsia"/>
          <w:kern w:val="0"/>
          <w:szCs w:val="21"/>
        </w:rPr>
        <w:t>月就职于天津港（集团）有限公司金融事业部副部长，天津港（集团）有限公司计财部副部长。</w:t>
      </w:r>
      <w:r w:rsidRPr="00542E19">
        <w:rPr>
          <w:rFonts w:ascii="宋体" w:hAnsi="宋体"/>
          <w:kern w:val="0"/>
          <w:szCs w:val="21"/>
        </w:rPr>
        <w:t>2020</w:t>
      </w:r>
      <w:r w:rsidRPr="00542E19">
        <w:rPr>
          <w:rFonts w:ascii="宋体" w:hAnsi="宋体" w:hint="eastAsia"/>
          <w:kern w:val="0"/>
          <w:szCs w:val="21"/>
        </w:rPr>
        <w:t>年</w:t>
      </w:r>
      <w:r w:rsidRPr="00542E19">
        <w:rPr>
          <w:rFonts w:ascii="宋体" w:hAnsi="宋体"/>
          <w:kern w:val="0"/>
          <w:szCs w:val="21"/>
        </w:rPr>
        <w:t>6</w:t>
      </w:r>
      <w:r w:rsidRPr="00542E19">
        <w:rPr>
          <w:rFonts w:ascii="宋体" w:hAnsi="宋体" w:hint="eastAsia"/>
          <w:kern w:val="0"/>
          <w:szCs w:val="21"/>
        </w:rPr>
        <w:t>月至今任天津港（集团）有限公司专职董监事。自</w:t>
      </w:r>
      <w:r w:rsidRPr="00542E19">
        <w:rPr>
          <w:rFonts w:ascii="宋体" w:hAnsi="宋体"/>
          <w:kern w:val="0"/>
          <w:szCs w:val="21"/>
        </w:rPr>
        <w:t>2013</w:t>
      </w:r>
      <w:r w:rsidRPr="00542E19">
        <w:rPr>
          <w:rFonts w:ascii="宋体" w:hAnsi="宋体" w:hint="eastAsia"/>
          <w:kern w:val="0"/>
          <w:szCs w:val="21"/>
        </w:rPr>
        <w:t>年</w:t>
      </w:r>
      <w:r w:rsidRPr="00542E19">
        <w:rPr>
          <w:rFonts w:ascii="宋体" w:hAnsi="宋体"/>
          <w:kern w:val="0"/>
          <w:szCs w:val="21"/>
        </w:rPr>
        <w:t>3</w:t>
      </w:r>
      <w:r w:rsidRPr="00542E19">
        <w:rPr>
          <w:rFonts w:ascii="宋体" w:hAnsi="宋体" w:hint="eastAsia"/>
          <w:kern w:val="0"/>
          <w:szCs w:val="21"/>
        </w:rPr>
        <w:t>月起，任博时基金管理有限公司监事。</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郑波先生，博士。</w:t>
      </w:r>
      <w:r w:rsidRPr="00542E19">
        <w:rPr>
          <w:rFonts w:ascii="宋体" w:hAnsi="宋体"/>
          <w:kern w:val="0"/>
          <w:szCs w:val="21"/>
        </w:rPr>
        <w:t>2001</w:t>
      </w:r>
      <w:r w:rsidRPr="00542E19">
        <w:rPr>
          <w:rFonts w:ascii="宋体" w:hAnsi="宋体" w:hint="eastAsia"/>
          <w:kern w:val="0"/>
          <w:szCs w:val="21"/>
        </w:rPr>
        <w:t>年起先后在中国平安保险公司总公司、博时基金管理有限公司工作。现任博时基金管理有限公司公司董事总经理兼人力资源部总经理。自</w:t>
      </w:r>
      <w:r w:rsidRPr="00542E19">
        <w:rPr>
          <w:rFonts w:ascii="宋体" w:hAnsi="宋体"/>
          <w:kern w:val="0"/>
          <w:szCs w:val="21"/>
        </w:rPr>
        <w:t>2008</w:t>
      </w:r>
      <w:r w:rsidRPr="00542E19">
        <w:rPr>
          <w:rFonts w:ascii="宋体" w:hAnsi="宋体" w:hint="eastAsia"/>
          <w:kern w:val="0"/>
          <w:szCs w:val="21"/>
        </w:rPr>
        <w:t>年</w:t>
      </w:r>
      <w:r w:rsidRPr="00542E19">
        <w:rPr>
          <w:rFonts w:ascii="宋体" w:hAnsi="宋体"/>
          <w:kern w:val="0"/>
          <w:szCs w:val="21"/>
        </w:rPr>
        <w:t>7</w:t>
      </w:r>
      <w:r w:rsidRPr="00542E19">
        <w:rPr>
          <w:rFonts w:ascii="宋体" w:hAnsi="宋体" w:hint="eastAsia"/>
          <w:kern w:val="0"/>
          <w:szCs w:val="21"/>
        </w:rPr>
        <w:t>月起，任博时基金管理有限公司监事。</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严斌先生，硕士。</w:t>
      </w:r>
      <w:r w:rsidRPr="00542E19">
        <w:rPr>
          <w:rFonts w:ascii="宋体" w:hAnsi="宋体"/>
          <w:kern w:val="0"/>
          <w:szCs w:val="21"/>
        </w:rPr>
        <w:t>1997</w:t>
      </w:r>
      <w:r w:rsidRPr="00542E19">
        <w:rPr>
          <w:rFonts w:ascii="宋体" w:hAnsi="宋体" w:hint="eastAsia"/>
          <w:kern w:val="0"/>
          <w:szCs w:val="21"/>
        </w:rPr>
        <w:t>年</w:t>
      </w:r>
      <w:r w:rsidRPr="00542E19">
        <w:rPr>
          <w:rFonts w:ascii="宋体" w:hAnsi="宋体"/>
          <w:kern w:val="0"/>
          <w:szCs w:val="21"/>
        </w:rPr>
        <w:t>7</w:t>
      </w:r>
      <w:r w:rsidRPr="00542E19">
        <w:rPr>
          <w:rFonts w:ascii="宋体" w:hAnsi="宋体" w:hint="eastAsia"/>
          <w:kern w:val="0"/>
          <w:szCs w:val="21"/>
        </w:rPr>
        <w:t>月起先后在华侨城集团公司、博时基金管理有限公司工作。现任博时基金管理有限公司财务部总经理。自</w:t>
      </w:r>
      <w:r w:rsidRPr="00542E19">
        <w:rPr>
          <w:rFonts w:ascii="宋体" w:hAnsi="宋体"/>
          <w:kern w:val="0"/>
          <w:szCs w:val="21"/>
        </w:rPr>
        <w:t>2015</w:t>
      </w:r>
      <w:r w:rsidRPr="00542E19">
        <w:rPr>
          <w:rFonts w:ascii="宋体" w:hAnsi="宋体" w:hint="eastAsia"/>
          <w:kern w:val="0"/>
          <w:szCs w:val="21"/>
        </w:rPr>
        <w:t>年</w:t>
      </w:r>
      <w:r w:rsidRPr="00542E19">
        <w:rPr>
          <w:rFonts w:ascii="宋体" w:hAnsi="宋体"/>
          <w:kern w:val="0"/>
          <w:szCs w:val="21"/>
        </w:rPr>
        <w:t>5</w:t>
      </w:r>
      <w:r w:rsidRPr="00542E19">
        <w:rPr>
          <w:rFonts w:ascii="宋体" w:hAnsi="宋体" w:hint="eastAsia"/>
          <w:kern w:val="0"/>
          <w:szCs w:val="21"/>
        </w:rPr>
        <w:t>月起，任博时基金管理有限公司监事。</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黄健斌先生，工商管理硕士。</w:t>
      </w:r>
      <w:r w:rsidRPr="00542E19">
        <w:rPr>
          <w:rFonts w:ascii="宋体" w:hAnsi="宋体"/>
          <w:kern w:val="0"/>
          <w:szCs w:val="21"/>
        </w:rPr>
        <w:t>1995</w:t>
      </w:r>
      <w:r w:rsidRPr="00542E19">
        <w:rPr>
          <w:rFonts w:ascii="宋体" w:hAnsi="宋体" w:hint="eastAsia"/>
          <w:kern w:val="0"/>
          <w:szCs w:val="21"/>
        </w:rPr>
        <w:t>年起先后在广发证券有限公司、广发基金管理有限责任公司投资管理部、中银国际基金管理有限公司基金管理部工作。</w:t>
      </w:r>
      <w:r w:rsidRPr="00542E19">
        <w:rPr>
          <w:rFonts w:ascii="宋体" w:hAnsi="宋体"/>
          <w:kern w:val="0"/>
          <w:szCs w:val="21"/>
        </w:rPr>
        <w:t>2005</w:t>
      </w:r>
      <w:r w:rsidRPr="00542E19">
        <w:rPr>
          <w:rFonts w:ascii="宋体" w:hAnsi="宋体" w:hint="eastAsia"/>
          <w:kern w:val="0"/>
          <w:szCs w:val="21"/>
        </w:rPr>
        <w:t>年加入博时基金管理公司，历任固定收益部基金经理、博时平衡配置混合型基金基金经理、固定收益部副总经理、社保组合投资经理、固定收益部总经理、固定收益总部董事总经理、年金投资部总经理。现任公司总经理助理兼社保组合投资经理、高级投资经理。自</w:t>
      </w:r>
      <w:r w:rsidRPr="00542E19">
        <w:rPr>
          <w:rFonts w:ascii="宋体" w:hAnsi="宋体"/>
          <w:kern w:val="0"/>
          <w:szCs w:val="21"/>
        </w:rPr>
        <w:t>2016</w:t>
      </w:r>
      <w:r w:rsidRPr="00542E19">
        <w:rPr>
          <w:rFonts w:ascii="宋体" w:hAnsi="宋体" w:hint="eastAsia"/>
          <w:kern w:val="0"/>
          <w:szCs w:val="21"/>
        </w:rPr>
        <w:t>年</w:t>
      </w:r>
      <w:r w:rsidRPr="00542E19">
        <w:rPr>
          <w:rFonts w:ascii="宋体" w:hAnsi="宋体"/>
          <w:kern w:val="0"/>
          <w:szCs w:val="21"/>
        </w:rPr>
        <w:t>3</w:t>
      </w:r>
      <w:r w:rsidRPr="00542E19">
        <w:rPr>
          <w:rFonts w:ascii="宋体" w:hAnsi="宋体" w:hint="eastAsia"/>
          <w:kern w:val="0"/>
          <w:szCs w:val="21"/>
        </w:rPr>
        <w:t>月</w:t>
      </w:r>
      <w:r w:rsidRPr="00542E19">
        <w:rPr>
          <w:rFonts w:ascii="宋体" w:hAnsi="宋体"/>
          <w:kern w:val="0"/>
          <w:szCs w:val="21"/>
        </w:rPr>
        <w:t>18</w:t>
      </w:r>
      <w:r w:rsidRPr="00542E19">
        <w:rPr>
          <w:rFonts w:ascii="宋体" w:hAnsi="宋体" w:hint="eastAsia"/>
          <w:kern w:val="0"/>
          <w:szCs w:val="21"/>
        </w:rPr>
        <w:t>日起，担任博时基金管理有限公司监事。</w:t>
      </w:r>
    </w:p>
    <w:p w:rsidR="004A3137" w:rsidRPr="004A3137" w:rsidRDefault="004A3137" w:rsidP="00542E19">
      <w:pPr>
        <w:spacing w:line="360" w:lineRule="auto"/>
        <w:ind w:firstLineChars="200" w:firstLine="420"/>
        <w:rPr>
          <w:rFonts w:ascii="宋体" w:hAnsi="宋体"/>
          <w:kern w:val="0"/>
          <w:szCs w:val="21"/>
        </w:rPr>
      </w:pPr>
      <w:r w:rsidRPr="004A3137">
        <w:rPr>
          <w:rFonts w:ascii="宋体" w:hAnsi="宋体" w:hint="eastAsia"/>
          <w:kern w:val="0"/>
          <w:szCs w:val="21"/>
        </w:rPr>
        <w:t>3、高级管理人员</w:t>
      </w:r>
    </w:p>
    <w:p w:rsidR="004A3137" w:rsidRPr="00B859B2" w:rsidRDefault="004A3137" w:rsidP="00542E19">
      <w:pPr>
        <w:spacing w:line="360" w:lineRule="auto"/>
        <w:ind w:firstLineChars="200" w:firstLine="420"/>
        <w:rPr>
          <w:rFonts w:ascii="宋体" w:hAnsi="宋体"/>
          <w:kern w:val="0"/>
          <w:szCs w:val="21"/>
        </w:rPr>
      </w:pPr>
      <w:r w:rsidRPr="004A3137">
        <w:rPr>
          <w:rFonts w:ascii="宋体" w:hAnsi="宋体" w:hint="eastAsia"/>
          <w:kern w:val="0"/>
          <w:szCs w:val="21"/>
        </w:rPr>
        <w:t>江向阳先生，简历同上。</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王德英先生，硕士，代总经理兼副总经理。</w:t>
      </w:r>
      <w:r w:rsidRPr="00542E19">
        <w:rPr>
          <w:rFonts w:ascii="宋体" w:hAnsi="宋体"/>
          <w:kern w:val="0"/>
          <w:szCs w:val="21"/>
        </w:rPr>
        <w:t>1995年起先后在北京清华计算机公司任开发部经理、清华紫光股份公司CAD与信息事业部任总工程师。2000年加入博时基金管理有限公司，历任行政管理部副经理，电脑部副经理、信息技术部总经理。现任公司代总经理兼副总经理、首席信息官，主管IT、运作、指数与量化投资、养老金、基金零售等工作，兼任博时基金(国际)有限公司及博时资本管理有限公司董事。</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lastRenderedPageBreak/>
        <w:t>邵凯先生，经济学硕士，副总经理。</w:t>
      </w:r>
      <w:r w:rsidRPr="00542E19">
        <w:rPr>
          <w:rFonts w:ascii="宋体" w:hAnsi="宋体"/>
          <w:kern w:val="0"/>
          <w:szCs w:val="21"/>
        </w:rPr>
        <w:t>1997年至1999年在河北省经济开发投资公司从事投资管理工作。2000年8月加入博时基金管理有限公司，历任债券组合经理助理、债券组合经理、社保债券基金基金经理、固定收益部副总经理兼社保债券基金基金经理、固定收益部总经理、固定收益投资总监、社保组合投资经理。现任公司副总经理兼首席固定收益投资官、兼任博时基金（国际）有限公司董事、博时资本管理有限公司董事。</w:t>
      </w:r>
    </w:p>
    <w:p w:rsidR="004A3137" w:rsidRPr="004A3137"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徐卫先生，硕士，副总经理。</w:t>
      </w:r>
      <w:r w:rsidRPr="00542E19">
        <w:rPr>
          <w:rFonts w:ascii="宋体" w:hAnsi="宋体"/>
          <w:kern w:val="0"/>
          <w:szCs w:val="21"/>
        </w:rPr>
        <w:t>1993年起先后在深圳市证券管理办公室、中国证监会、摩根士丹利华鑫基金工作。2015年6月加入博时基金管理有限公司，现任公司副总经理兼博时资本管理有限公司董事、</w:t>
      </w:r>
      <w:r w:rsidRPr="00542E19">
        <w:rPr>
          <w:rFonts w:ascii="宋体" w:hAnsi="宋体" w:hint="eastAsia"/>
          <w:kern w:val="0"/>
          <w:szCs w:val="21"/>
        </w:rPr>
        <w:t>博时基金</w:t>
      </w:r>
      <w:r w:rsidRPr="00542E19">
        <w:rPr>
          <w:rFonts w:ascii="宋体" w:hAnsi="宋体"/>
          <w:kern w:val="0"/>
          <w:szCs w:val="21"/>
        </w:rPr>
        <w:t>(国际)有限公司董事会主席</w:t>
      </w:r>
      <w:r w:rsidRPr="004A3137">
        <w:rPr>
          <w:rFonts w:ascii="宋体" w:hAnsi="宋体" w:hint="eastAsia"/>
          <w:kern w:val="0"/>
          <w:szCs w:val="21"/>
        </w:rPr>
        <w:t xml:space="preserve">。  </w:t>
      </w:r>
    </w:p>
    <w:p w:rsidR="004A3137" w:rsidRPr="00542E19" w:rsidRDefault="004A3137" w:rsidP="00542E19">
      <w:pPr>
        <w:spacing w:line="360" w:lineRule="auto"/>
        <w:ind w:firstLineChars="200" w:firstLine="420"/>
        <w:rPr>
          <w:rFonts w:ascii="宋体" w:hAnsi="宋体"/>
          <w:kern w:val="0"/>
          <w:szCs w:val="21"/>
        </w:rPr>
      </w:pPr>
      <w:r w:rsidRPr="004A3137">
        <w:rPr>
          <w:rFonts w:ascii="宋体" w:hAnsi="宋体" w:hint="eastAsia"/>
          <w:kern w:val="0"/>
          <w:szCs w:val="21"/>
        </w:rPr>
        <w:t>孙麒清女士，商法学硕士，督察长。曾供职于广东深港律师事务所。</w:t>
      </w:r>
      <w:r w:rsidRPr="00B859B2">
        <w:rPr>
          <w:rFonts w:ascii="宋体" w:hAnsi="宋体"/>
          <w:kern w:val="0"/>
          <w:szCs w:val="21"/>
        </w:rPr>
        <w:t>2002年加入博时基金管理有限公司，历任监察法律部法律顾问、监察法律部总经理。现任公司督察长，兼任博时基金（国际）有限公司董事、博时资本管理有限公司副董事长。</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kern w:val="0"/>
          <w:szCs w:val="21"/>
        </w:rPr>
        <w:t>4、本基金基金经理</w:t>
      </w:r>
    </w:p>
    <w:p w:rsidR="004A3137" w:rsidRPr="00542E19" w:rsidRDefault="004A3137" w:rsidP="00542E19">
      <w:pPr>
        <w:spacing w:line="360" w:lineRule="auto"/>
        <w:ind w:firstLine="422"/>
        <w:rPr>
          <w:kern w:val="0"/>
          <w:szCs w:val="21"/>
        </w:rPr>
      </w:pPr>
      <w:r>
        <w:rPr>
          <w:rFonts w:hint="eastAsia"/>
          <w:kern w:val="0"/>
          <w:szCs w:val="21"/>
        </w:rPr>
        <w:t>陈鹏扬先生，硕士。</w:t>
      </w:r>
      <w:r>
        <w:rPr>
          <w:rFonts w:hint="eastAsia"/>
          <w:kern w:val="0"/>
          <w:szCs w:val="21"/>
        </w:rPr>
        <w:t>2008</w:t>
      </w:r>
      <w:r>
        <w:rPr>
          <w:rFonts w:hint="eastAsia"/>
          <w:kern w:val="0"/>
          <w:szCs w:val="21"/>
        </w:rPr>
        <w:t>年至</w:t>
      </w:r>
      <w:r>
        <w:rPr>
          <w:rFonts w:hint="eastAsia"/>
          <w:kern w:val="0"/>
          <w:szCs w:val="21"/>
        </w:rPr>
        <w:t>2012</w:t>
      </w:r>
      <w:r>
        <w:rPr>
          <w:rFonts w:hint="eastAsia"/>
          <w:kern w:val="0"/>
          <w:szCs w:val="21"/>
        </w:rPr>
        <w:t>年在中金公司工作。</w:t>
      </w:r>
      <w:r>
        <w:rPr>
          <w:rFonts w:hint="eastAsia"/>
          <w:kern w:val="0"/>
          <w:szCs w:val="21"/>
        </w:rPr>
        <w:t>2012</w:t>
      </w:r>
      <w:r>
        <w:rPr>
          <w:rFonts w:hint="eastAsia"/>
          <w:kern w:val="0"/>
          <w:szCs w:val="21"/>
        </w:rPr>
        <w:t>年加入博时基金管理有限公司。历任研究员、资深研究员、投资经理、博时睿远定增灵活配置混合型证券投资基金</w:t>
      </w:r>
      <w:r>
        <w:rPr>
          <w:rFonts w:hint="eastAsia"/>
          <w:kern w:val="0"/>
          <w:szCs w:val="21"/>
        </w:rPr>
        <w:t>(2016</w:t>
      </w:r>
      <w:r>
        <w:rPr>
          <w:rFonts w:hint="eastAsia"/>
          <w:kern w:val="0"/>
          <w:szCs w:val="21"/>
        </w:rPr>
        <w:t>年</w:t>
      </w:r>
      <w:r>
        <w:rPr>
          <w:rFonts w:hint="eastAsia"/>
          <w:kern w:val="0"/>
          <w:szCs w:val="21"/>
        </w:rPr>
        <w:t>4</w:t>
      </w:r>
      <w:r>
        <w:rPr>
          <w:rFonts w:hint="eastAsia"/>
          <w:kern w:val="0"/>
          <w:szCs w:val="21"/>
        </w:rPr>
        <w:t>月</w:t>
      </w:r>
      <w:r>
        <w:rPr>
          <w:rFonts w:hint="eastAsia"/>
          <w:kern w:val="0"/>
          <w:szCs w:val="21"/>
        </w:rPr>
        <w:t>15</w:t>
      </w:r>
      <w:r>
        <w:rPr>
          <w:rFonts w:hint="eastAsia"/>
          <w:kern w:val="0"/>
          <w:szCs w:val="21"/>
        </w:rPr>
        <w:t>日</w:t>
      </w:r>
      <w:r>
        <w:rPr>
          <w:rFonts w:hint="eastAsia"/>
          <w:kern w:val="0"/>
          <w:szCs w:val="21"/>
        </w:rPr>
        <w:t>-2017</w:t>
      </w:r>
      <w:r>
        <w:rPr>
          <w:rFonts w:hint="eastAsia"/>
          <w:kern w:val="0"/>
          <w:szCs w:val="21"/>
        </w:rPr>
        <w:t>年</w:t>
      </w:r>
      <w:r>
        <w:rPr>
          <w:rFonts w:hint="eastAsia"/>
          <w:kern w:val="0"/>
          <w:szCs w:val="21"/>
        </w:rPr>
        <w:t>10</w:t>
      </w:r>
      <w:r>
        <w:rPr>
          <w:rFonts w:hint="eastAsia"/>
          <w:kern w:val="0"/>
          <w:szCs w:val="21"/>
        </w:rPr>
        <w:t>月</w:t>
      </w:r>
      <w:r>
        <w:rPr>
          <w:rFonts w:hint="eastAsia"/>
          <w:kern w:val="0"/>
          <w:szCs w:val="21"/>
        </w:rPr>
        <w:t>16</w:t>
      </w:r>
      <w:r>
        <w:rPr>
          <w:rFonts w:hint="eastAsia"/>
          <w:kern w:val="0"/>
          <w:szCs w:val="21"/>
        </w:rPr>
        <w:t>日</w:t>
      </w:r>
      <w:r>
        <w:rPr>
          <w:rFonts w:hint="eastAsia"/>
          <w:kern w:val="0"/>
          <w:szCs w:val="21"/>
        </w:rPr>
        <w:t>)</w:t>
      </w:r>
      <w:r>
        <w:rPr>
          <w:rFonts w:hint="eastAsia"/>
          <w:kern w:val="0"/>
          <w:szCs w:val="21"/>
        </w:rPr>
        <w:t>、博时睿利定增灵活配置混合型证券投资基金</w:t>
      </w:r>
      <w:r>
        <w:rPr>
          <w:rFonts w:hint="eastAsia"/>
          <w:kern w:val="0"/>
          <w:szCs w:val="21"/>
        </w:rPr>
        <w:t>(2016</w:t>
      </w:r>
      <w:r>
        <w:rPr>
          <w:rFonts w:hint="eastAsia"/>
          <w:kern w:val="0"/>
          <w:szCs w:val="21"/>
        </w:rPr>
        <w:t>年</w:t>
      </w:r>
      <w:r>
        <w:rPr>
          <w:rFonts w:hint="eastAsia"/>
          <w:kern w:val="0"/>
          <w:szCs w:val="21"/>
        </w:rPr>
        <w:t>5</w:t>
      </w:r>
      <w:r>
        <w:rPr>
          <w:rFonts w:hint="eastAsia"/>
          <w:kern w:val="0"/>
          <w:szCs w:val="21"/>
        </w:rPr>
        <w:t>月</w:t>
      </w:r>
      <w:r>
        <w:rPr>
          <w:rFonts w:hint="eastAsia"/>
          <w:kern w:val="0"/>
          <w:szCs w:val="21"/>
        </w:rPr>
        <w:t>31</w:t>
      </w:r>
      <w:r>
        <w:rPr>
          <w:rFonts w:hint="eastAsia"/>
          <w:kern w:val="0"/>
          <w:szCs w:val="21"/>
        </w:rPr>
        <w:t>日</w:t>
      </w:r>
      <w:r>
        <w:rPr>
          <w:rFonts w:hint="eastAsia"/>
          <w:kern w:val="0"/>
          <w:szCs w:val="21"/>
        </w:rPr>
        <w:t>-2017</w:t>
      </w:r>
      <w:r>
        <w:rPr>
          <w:rFonts w:hint="eastAsia"/>
          <w:kern w:val="0"/>
          <w:szCs w:val="21"/>
        </w:rPr>
        <w:t>年</w:t>
      </w:r>
      <w:r>
        <w:rPr>
          <w:rFonts w:hint="eastAsia"/>
          <w:kern w:val="0"/>
          <w:szCs w:val="21"/>
        </w:rPr>
        <w:t>12</w:t>
      </w:r>
      <w:r>
        <w:rPr>
          <w:rFonts w:hint="eastAsia"/>
          <w:kern w:val="0"/>
          <w:szCs w:val="21"/>
        </w:rPr>
        <w:t>月</w:t>
      </w:r>
      <w:r>
        <w:rPr>
          <w:rFonts w:hint="eastAsia"/>
          <w:kern w:val="0"/>
          <w:szCs w:val="21"/>
        </w:rPr>
        <w:t>1</w:t>
      </w:r>
      <w:r>
        <w:rPr>
          <w:rFonts w:hint="eastAsia"/>
          <w:kern w:val="0"/>
          <w:szCs w:val="21"/>
        </w:rPr>
        <w:t>日</w:t>
      </w:r>
      <w:r>
        <w:rPr>
          <w:rFonts w:hint="eastAsia"/>
          <w:kern w:val="0"/>
          <w:szCs w:val="21"/>
        </w:rPr>
        <w:t>)</w:t>
      </w:r>
      <w:r>
        <w:rPr>
          <w:rFonts w:hint="eastAsia"/>
          <w:kern w:val="0"/>
          <w:szCs w:val="21"/>
        </w:rPr>
        <w:t>、博时睿益定增灵活配置混合型证券投资基金</w:t>
      </w:r>
      <w:r>
        <w:rPr>
          <w:rFonts w:hint="eastAsia"/>
          <w:kern w:val="0"/>
          <w:szCs w:val="21"/>
        </w:rPr>
        <w:t>(2016</w:t>
      </w:r>
      <w:r>
        <w:rPr>
          <w:rFonts w:hint="eastAsia"/>
          <w:kern w:val="0"/>
          <w:szCs w:val="21"/>
        </w:rPr>
        <w:t>年</w:t>
      </w:r>
      <w:r>
        <w:rPr>
          <w:rFonts w:hint="eastAsia"/>
          <w:kern w:val="0"/>
          <w:szCs w:val="21"/>
        </w:rPr>
        <w:t>8</w:t>
      </w:r>
      <w:r>
        <w:rPr>
          <w:rFonts w:hint="eastAsia"/>
          <w:kern w:val="0"/>
          <w:szCs w:val="21"/>
        </w:rPr>
        <w:t>月</w:t>
      </w:r>
      <w:r>
        <w:rPr>
          <w:rFonts w:hint="eastAsia"/>
          <w:kern w:val="0"/>
          <w:szCs w:val="21"/>
        </w:rPr>
        <w:t>19</w:t>
      </w:r>
      <w:r>
        <w:rPr>
          <w:rFonts w:hint="eastAsia"/>
          <w:kern w:val="0"/>
          <w:szCs w:val="21"/>
        </w:rPr>
        <w:t>日</w:t>
      </w:r>
      <w:r>
        <w:rPr>
          <w:rFonts w:hint="eastAsia"/>
          <w:kern w:val="0"/>
          <w:szCs w:val="21"/>
        </w:rPr>
        <w:t>-2018</w:t>
      </w:r>
      <w:r>
        <w:rPr>
          <w:rFonts w:hint="eastAsia"/>
          <w:kern w:val="0"/>
          <w:szCs w:val="21"/>
        </w:rPr>
        <w:t>年</w:t>
      </w:r>
      <w:r>
        <w:rPr>
          <w:rFonts w:hint="eastAsia"/>
          <w:kern w:val="0"/>
          <w:szCs w:val="21"/>
        </w:rPr>
        <w:t>2</w:t>
      </w:r>
      <w:r>
        <w:rPr>
          <w:rFonts w:hint="eastAsia"/>
          <w:kern w:val="0"/>
          <w:szCs w:val="21"/>
        </w:rPr>
        <w:t>月</w:t>
      </w:r>
      <w:r>
        <w:rPr>
          <w:rFonts w:hint="eastAsia"/>
          <w:kern w:val="0"/>
          <w:szCs w:val="21"/>
        </w:rPr>
        <w:t>22</w:t>
      </w:r>
      <w:r>
        <w:rPr>
          <w:rFonts w:hint="eastAsia"/>
          <w:kern w:val="0"/>
          <w:szCs w:val="21"/>
        </w:rPr>
        <w:t>日</w:t>
      </w:r>
      <w:r>
        <w:rPr>
          <w:rFonts w:hint="eastAsia"/>
          <w:kern w:val="0"/>
          <w:szCs w:val="21"/>
        </w:rPr>
        <w:t>)</w:t>
      </w:r>
      <w:r>
        <w:rPr>
          <w:rFonts w:hint="eastAsia"/>
          <w:kern w:val="0"/>
          <w:szCs w:val="21"/>
        </w:rPr>
        <w:t>、博时弘裕</w:t>
      </w:r>
      <w:r>
        <w:rPr>
          <w:rFonts w:hint="eastAsia"/>
          <w:kern w:val="0"/>
          <w:szCs w:val="21"/>
        </w:rPr>
        <w:t>18</w:t>
      </w:r>
      <w:r>
        <w:rPr>
          <w:rFonts w:hint="eastAsia"/>
          <w:kern w:val="0"/>
          <w:szCs w:val="21"/>
        </w:rPr>
        <w:t>个月定期开放债券型证券投资基金</w:t>
      </w:r>
      <w:r>
        <w:rPr>
          <w:rFonts w:hint="eastAsia"/>
          <w:kern w:val="0"/>
          <w:szCs w:val="21"/>
        </w:rPr>
        <w:t>(2016</w:t>
      </w:r>
      <w:r>
        <w:rPr>
          <w:rFonts w:hint="eastAsia"/>
          <w:kern w:val="0"/>
          <w:szCs w:val="21"/>
        </w:rPr>
        <w:t>年</w:t>
      </w:r>
      <w:r>
        <w:rPr>
          <w:rFonts w:hint="eastAsia"/>
          <w:kern w:val="0"/>
          <w:szCs w:val="21"/>
        </w:rPr>
        <w:t>8</w:t>
      </w:r>
      <w:r>
        <w:rPr>
          <w:rFonts w:hint="eastAsia"/>
          <w:kern w:val="0"/>
          <w:szCs w:val="21"/>
        </w:rPr>
        <w:t>月</w:t>
      </w:r>
      <w:r>
        <w:rPr>
          <w:rFonts w:hint="eastAsia"/>
          <w:kern w:val="0"/>
          <w:szCs w:val="21"/>
        </w:rPr>
        <w:t>30</w:t>
      </w:r>
      <w:r>
        <w:rPr>
          <w:rFonts w:hint="eastAsia"/>
          <w:kern w:val="0"/>
          <w:szCs w:val="21"/>
        </w:rPr>
        <w:t>日</w:t>
      </w:r>
      <w:r>
        <w:rPr>
          <w:rFonts w:hint="eastAsia"/>
          <w:kern w:val="0"/>
          <w:szCs w:val="21"/>
        </w:rPr>
        <w:t>-2018</w:t>
      </w:r>
      <w:r>
        <w:rPr>
          <w:rFonts w:hint="eastAsia"/>
          <w:kern w:val="0"/>
          <w:szCs w:val="21"/>
        </w:rPr>
        <w:t>年</w:t>
      </w:r>
      <w:r>
        <w:rPr>
          <w:rFonts w:hint="eastAsia"/>
          <w:kern w:val="0"/>
          <w:szCs w:val="21"/>
        </w:rPr>
        <w:t>5</w:t>
      </w:r>
      <w:r>
        <w:rPr>
          <w:rFonts w:hint="eastAsia"/>
          <w:kern w:val="0"/>
          <w:szCs w:val="21"/>
        </w:rPr>
        <w:t>月</w:t>
      </w:r>
      <w:r>
        <w:rPr>
          <w:rFonts w:hint="eastAsia"/>
          <w:kern w:val="0"/>
          <w:szCs w:val="21"/>
        </w:rPr>
        <w:t>5</w:t>
      </w:r>
      <w:r>
        <w:rPr>
          <w:rFonts w:hint="eastAsia"/>
          <w:kern w:val="0"/>
          <w:szCs w:val="21"/>
        </w:rPr>
        <w:t>日</w:t>
      </w:r>
      <w:r>
        <w:rPr>
          <w:rFonts w:hint="eastAsia"/>
          <w:kern w:val="0"/>
          <w:szCs w:val="21"/>
        </w:rPr>
        <w:t>)</w:t>
      </w:r>
      <w:r>
        <w:rPr>
          <w:rFonts w:hint="eastAsia"/>
          <w:kern w:val="0"/>
          <w:szCs w:val="21"/>
        </w:rPr>
        <w:t>、博时睿利事件驱动灵活配置混合型证券投资基金（</w:t>
      </w:r>
      <w:r>
        <w:rPr>
          <w:rFonts w:hint="eastAsia"/>
          <w:kern w:val="0"/>
          <w:szCs w:val="21"/>
        </w:rPr>
        <w:t>LOF</w:t>
      </w:r>
      <w:r>
        <w:rPr>
          <w:rFonts w:hint="eastAsia"/>
          <w:kern w:val="0"/>
          <w:szCs w:val="21"/>
        </w:rPr>
        <w:t>）</w:t>
      </w:r>
      <w:r>
        <w:rPr>
          <w:rFonts w:hint="eastAsia"/>
          <w:kern w:val="0"/>
          <w:szCs w:val="21"/>
        </w:rPr>
        <w:t>(2017</w:t>
      </w:r>
      <w:r>
        <w:rPr>
          <w:rFonts w:hint="eastAsia"/>
          <w:kern w:val="0"/>
          <w:szCs w:val="21"/>
        </w:rPr>
        <w:t>年</w:t>
      </w:r>
      <w:r>
        <w:rPr>
          <w:rFonts w:hint="eastAsia"/>
          <w:kern w:val="0"/>
          <w:szCs w:val="21"/>
        </w:rPr>
        <w:t>12</w:t>
      </w:r>
      <w:r>
        <w:rPr>
          <w:rFonts w:hint="eastAsia"/>
          <w:kern w:val="0"/>
          <w:szCs w:val="21"/>
        </w:rPr>
        <w:t>月</w:t>
      </w:r>
      <w:r>
        <w:rPr>
          <w:rFonts w:hint="eastAsia"/>
          <w:kern w:val="0"/>
          <w:szCs w:val="21"/>
        </w:rPr>
        <w:t>4</w:t>
      </w:r>
      <w:r>
        <w:rPr>
          <w:rFonts w:hint="eastAsia"/>
          <w:kern w:val="0"/>
          <w:szCs w:val="21"/>
        </w:rPr>
        <w:t>日</w:t>
      </w:r>
      <w:r>
        <w:rPr>
          <w:rFonts w:hint="eastAsia"/>
          <w:kern w:val="0"/>
          <w:szCs w:val="21"/>
        </w:rPr>
        <w:t>-2018</w:t>
      </w:r>
      <w:r>
        <w:rPr>
          <w:rFonts w:hint="eastAsia"/>
          <w:kern w:val="0"/>
          <w:szCs w:val="21"/>
        </w:rPr>
        <w:t>年</w:t>
      </w:r>
      <w:r>
        <w:rPr>
          <w:rFonts w:hint="eastAsia"/>
          <w:kern w:val="0"/>
          <w:szCs w:val="21"/>
        </w:rPr>
        <w:t>8</w:t>
      </w:r>
      <w:r>
        <w:rPr>
          <w:rFonts w:hint="eastAsia"/>
          <w:kern w:val="0"/>
          <w:szCs w:val="21"/>
        </w:rPr>
        <w:t>月</w:t>
      </w:r>
      <w:r>
        <w:rPr>
          <w:rFonts w:hint="eastAsia"/>
          <w:kern w:val="0"/>
          <w:szCs w:val="21"/>
        </w:rPr>
        <w:t>13</w:t>
      </w:r>
      <w:r>
        <w:rPr>
          <w:rFonts w:hint="eastAsia"/>
          <w:kern w:val="0"/>
          <w:szCs w:val="21"/>
        </w:rPr>
        <w:t>日</w:t>
      </w:r>
      <w:r>
        <w:rPr>
          <w:rFonts w:hint="eastAsia"/>
          <w:kern w:val="0"/>
          <w:szCs w:val="21"/>
        </w:rPr>
        <w:t>)</w:t>
      </w:r>
      <w:r>
        <w:rPr>
          <w:rFonts w:hint="eastAsia"/>
          <w:kern w:val="0"/>
          <w:szCs w:val="21"/>
        </w:rPr>
        <w:t>、博时睿丰灵活配置定期开放混合型证券投资基金</w:t>
      </w:r>
      <w:r>
        <w:rPr>
          <w:rFonts w:hint="eastAsia"/>
          <w:kern w:val="0"/>
          <w:szCs w:val="21"/>
        </w:rPr>
        <w:t>(2017</w:t>
      </w:r>
      <w:r>
        <w:rPr>
          <w:rFonts w:hint="eastAsia"/>
          <w:kern w:val="0"/>
          <w:szCs w:val="21"/>
        </w:rPr>
        <w:t>年</w:t>
      </w:r>
      <w:r>
        <w:rPr>
          <w:rFonts w:hint="eastAsia"/>
          <w:kern w:val="0"/>
          <w:szCs w:val="21"/>
        </w:rPr>
        <w:t>3</w:t>
      </w:r>
      <w:r>
        <w:rPr>
          <w:rFonts w:hint="eastAsia"/>
          <w:kern w:val="0"/>
          <w:szCs w:val="21"/>
        </w:rPr>
        <w:t>月</w:t>
      </w:r>
      <w:r>
        <w:rPr>
          <w:rFonts w:hint="eastAsia"/>
          <w:kern w:val="0"/>
          <w:szCs w:val="21"/>
        </w:rPr>
        <w:t>22</w:t>
      </w:r>
      <w:r>
        <w:rPr>
          <w:rFonts w:hint="eastAsia"/>
          <w:kern w:val="0"/>
          <w:szCs w:val="21"/>
        </w:rPr>
        <w:t>日</w:t>
      </w:r>
      <w:r>
        <w:rPr>
          <w:rFonts w:hint="eastAsia"/>
          <w:kern w:val="0"/>
          <w:szCs w:val="21"/>
        </w:rPr>
        <w:t>-2018</w:t>
      </w:r>
      <w:r>
        <w:rPr>
          <w:rFonts w:hint="eastAsia"/>
          <w:kern w:val="0"/>
          <w:szCs w:val="21"/>
        </w:rPr>
        <w:t>年</w:t>
      </w:r>
      <w:r>
        <w:rPr>
          <w:rFonts w:hint="eastAsia"/>
          <w:kern w:val="0"/>
          <w:szCs w:val="21"/>
        </w:rPr>
        <w:t>12</w:t>
      </w:r>
      <w:r>
        <w:rPr>
          <w:rFonts w:hint="eastAsia"/>
          <w:kern w:val="0"/>
          <w:szCs w:val="21"/>
        </w:rPr>
        <w:t>月</w:t>
      </w:r>
      <w:r>
        <w:rPr>
          <w:rFonts w:hint="eastAsia"/>
          <w:kern w:val="0"/>
          <w:szCs w:val="21"/>
        </w:rPr>
        <w:t>8</w:t>
      </w:r>
      <w:r>
        <w:rPr>
          <w:rFonts w:hint="eastAsia"/>
          <w:kern w:val="0"/>
          <w:szCs w:val="21"/>
        </w:rPr>
        <w:t>日</w:t>
      </w:r>
      <w:r>
        <w:rPr>
          <w:rFonts w:hint="eastAsia"/>
          <w:kern w:val="0"/>
          <w:szCs w:val="21"/>
        </w:rPr>
        <w:t>)</w:t>
      </w:r>
      <w:r>
        <w:rPr>
          <w:rFonts w:hint="eastAsia"/>
          <w:kern w:val="0"/>
          <w:szCs w:val="21"/>
        </w:rPr>
        <w:t>、博时弘康</w:t>
      </w:r>
      <w:r>
        <w:rPr>
          <w:rFonts w:hint="eastAsia"/>
          <w:kern w:val="0"/>
          <w:szCs w:val="21"/>
        </w:rPr>
        <w:t>18</w:t>
      </w:r>
      <w:r>
        <w:rPr>
          <w:rFonts w:hint="eastAsia"/>
          <w:kern w:val="0"/>
          <w:szCs w:val="21"/>
        </w:rPr>
        <w:t>个月定期开放债券型证券投资基金</w:t>
      </w:r>
      <w:r>
        <w:rPr>
          <w:rFonts w:hint="eastAsia"/>
          <w:kern w:val="0"/>
          <w:szCs w:val="21"/>
        </w:rPr>
        <w:t>(2017</w:t>
      </w:r>
      <w:r>
        <w:rPr>
          <w:rFonts w:hint="eastAsia"/>
          <w:kern w:val="0"/>
          <w:szCs w:val="21"/>
        </w:rPr>
        <w:t>年</w:t>
      </w:r>
      <w:r>
        <w:rPr>
          <w:rFonts w:hint="eastAsia"/>
          <w:kern w:val="0"/>
          <w:szCs w:val="21"/>
        </w:rPr>
        <w:t>3</w:t>
      </w:r>
      <w:r>
        <w:rPr>
          <w:rFonts w:hint="eastAsia"/>
          <w:kern w:val="0"/>
          <w:szCs w:val="21"/>
        </w:rPr>
        <w:t>月</w:t>
      </w:r>
      <w:r>
        <w:rPr>
          <w:rFonts w:hint="eastAsia"/>
          <w:kern w:val="0"/>
          <w:szCs w:val="21"/>
        </w:rPr>
        <w:t>24</w:t>
      </w:r>
      <w:r>
        <w:rPr>
          <w:rFonts w:hint="eastAsia"/>
          <w:kern w:val="0"/>
          <w:szCs w:val="21"/>
        </w:rPr>
        <w:t>日</w:t>
      </w:r>
      <w:r>
        <w:rPr>
          <w:rFonts w:hint="eastAsia"/>
          <w:kern w:val="0"/>
          <w:szCs w:val="21"/>
        </w:rPr>
        <w:t>-2019</w:t>
      </w:r>
      <w:r>
        <w:rPr>
          <w:rFonts w:hint="eastAsia"/>
          <w:kern w:val="0"/>
          <w:szCs w:val="21"/>
        </w:rPr>
        <w:t>年</w:t>
      </w:r>
      <w:r>
        <w:rPr>
          <w:rFonts w:hint="eastAsia"/>
          <w:kern w:val="0"/>
          <w:szCs w:val="21"/>
        </w:rPr>
        <w:t>3</w:t>
      </w:r>
      <w:r>
        <w:rPr>
          <w:rFonts w:hint="eastAsia"/>
          <w:kern w:val="0"/>
          <w:szCs w:val="21"/>
        </w:rPr>
        <w:t>月</w:t>
      </w:r>
      <w:r>
        <w:rPr>
          <w:rFonts w:hint="eastAsia"/>
          <w:kern w:val="0"/>
          <w:szCs w:val="21"/>
        </w:rPr>
        <w:t>9</w:t>
      </w:r>
      <w:r>
        <w:rPr>
          <w:rFonts w:hint="eastAsia"/>
          <w:kern w:val="0"/>
          <w:szCs w:val="21"/>
        </w:rPr>
        <w:t>日</w:t>
      </w:r>
      <w:r>
        <w:rPr>
          <w:rFonts w:hint="eastAsia"/>
          <w:kern w:val="0"/>
          <w:szCs w:val="21"/>
        </w:rPr>
        <w:t>)</w:t>
      </w:r>
      <w:r>
        <w:rPr>
          <w:rFonts w:hint="eastAsia"/>
          <w:kern w:val="0"/>
          <w:szCs w:val="21"/>
        </w:rPr>
        <w:t>、博时睿远事件驱动灵活配置混合型证券投资基金（</w:t>
      </w:r>
      <w:r>
        <w:rPr>
          <w:rFonts w:hint="eastAsia"/>
          <w:kern w:val="0"/>
          <w:szCs w:val="21"/>
        </w:rPr>
        <w:t>LOF</w:t>
      </w:r>
      <w:r>
        <w:rPr>
          <w:rFonts w:hint="eastAsia"/>
          <w:kern w:val="0"/>
          <w:szCs w:val="21"/>
        </w:rPr>
        <w:t>）</w:t>
      </w:r>
      <w:r>
        <w:rPr>
          <w:rFonts w:hint="eastAsia"/>
          <w:kern w:val="0"/>
          <w:szCs w:val="21"/>
        </w:rPr>
        <w:t>(2017</w:t>
      </w:r>
      <w:r>
        <w:rPr>
          <w:rFonts w:hint="eastAsia"/>
          <w:kern w:val="0"/>
          <w:szCs w:val="21"/>
        </w:rPr>
        <w:t>年</w:t>
      </w:r>
      <w:r>
        <w:rPr>
          <w:rFonts w:hint="eastAsia"/>
          <w:kern w:val="0"/>
          <w:szCs w:val="21"/>
        </w:rPr>
        <w:t>10</w:t>
      </w:r>
      <w:r>
        <w:rPr>
          <w:rFonts w:hint="eastAsia"/>
          <w:kern w:val="0"/>
          <w:szCs w:val="21"/>
        </w:rPr>
        <w:t>月</w:t>
      </w:r>
      <w:r>
        <w:rPr>
          <w:rFonts w:hint="eastAsia"/>
          <w:kern w:val="0"/>
          <w:szCs w:val="21"/>
        </w:rPr>
        <w:t>17</w:t>
      </w:r>
      <w:r>
        <w:rPr>
          <w:rFonts w:hint="eastAsia"/>
          <w:kern w:val="0"/>
          <w:szCs w:val="21"/>
        </w:rPr>
        <w:t>日</w:t>
      </w:r>
      <w:r>
        <w:rPr>
          <w:rFonts w:hint="eastAsia"/>
          <w:kern w:val="0"/>
          <w:szCs w:val="21"/>
        </w:rPr>
        <w:t>-2019</w:t>
      </w:r>
      <w:r>
        <w:rPr>
          <w:rFonts w:hint="eastAsia"/>
          <w:kern w:val="0"/>
          <w:szCs w:val="21"/>
        </w:rPr>
        <w:t>年</w:t>
      </w:r>
      <w:r>
        <w:rPr>
          <w:rFonts w:hint="eastAsia"/>
          <w:kern w:val="0"/>
          <w:szCs w:val="21"/>
        </w:rPr>
        <w:t>10</w:t>
      </w:r>
      <w:r>
        <w:rPr>
          <w:rFonts w:hint="eastAsia"/>
          <w:kern w:val="0"/>
          <w:szCs w:val="21"/>
        </w:rPr>
        <w:t>月</w:t>
      </w:r>
      <w:r>
        <w:rPr>
          <w:rFonts w:hint="eastAsia"/>
          <w:kern w:val="0"/>
          <w:szCs w:val="21"/>
        </w:rPr>
        <w:t>30</w:t>
      </w:r>
      <w:r>
        <w:rPr>
          <w:rFonts w:hint="eastAsia"/>
          <w:kern w:val="0"/>
          <w:szCs w:val="21"/>
        </w:rPr>
        <w:t>日</w:t>
      </w:r>
      <w:r>
        <w:rPr>
          <w:rFonts w:hint="eastAsia"/>
          <w:kern w:val="0"/>
          <w:szCs w:val="21"/>
        </w:rPr>
        <w:t>)</w:t>
      </w:r>
      <w:r>
        <w:rPr>
          <w:rFonts w:hint="eastAsia"/>
          <w:kern w:val="0"/>
          <w:szCs w:val="21"/>
        </w:rPr>
        <w:t>、博时睿益事件驱动灵活配置混合型证券投资基金（</w:t>
      </w:r>
      <w:r>
        <w:rPr>
          <w:rFonts w:hint="eastAsia"/>
          <w:kern w:val="0"/>
          <w:szCs w:val="21"/>
        </w:rPr>
        <w:t>LOF</w:t>
      </w:r>
      <w:r>
        <w:rPr>
          <w:rFonts w:hint="eastAsia"/>
          <w:kern w:val="0"/>
          <w:szCs w:val="21"/>
        </w:rPr>
        <w:t>）</w:t>
      </w:r>
      <w:r>
        <w:rPr>
          <w:rFonts w:hint="eastAsia"/>
          <w:kern w:val="0"/>
          <w:szCs w:val="21"/>
        </w:rPr>
        <w:t>(2018</w:t>
      </w:r>
      <w:r>
        <w:rPr>
          <w:rFonts w:hint="eastAsia"/>
          <w:kern w:val="0"/>
          <w:szCs w:val="21"/>
        </w:rPr>
        <w:t>年</w:t>
      </w:r>
      <w:r>
        <w:rPr>
          <w:rFonts w:hint="eastAsia"/>
          <w:kern w:val="0"/>
          <w:szCs w:val="21"/>
        </w:rPr>
        <w:t>2</w:t>
      </w:r>
      <w:r>
        <w:rPr>
          <w:rFonts w:hint="eastAsia"/>
          <w:kern w:val="0"/>
          <w:szCs w:val="21"/>
        </w:rPr>
        <w:t>月</w:t>
      </w:r>
      <w:r>
        <w:rPr>
          <w:rFonts w:hint="eastAsia"/>
          <w:kern w:val="0"/>
          <w:szCs w:val="21"/>
        </w:rPr>
        <w:t>23</w:t>
      </w:r>
      <w:r>
        <w:rPr>
          <w:rFonts w:hint="eastAsia"/>
          <w:kern w:val="0"/>
          <w:szCs w:val="21"/>
        </w:rPr>
        <w:t>日</w:t>
      </w:r>
      <w:r>
        <w:rPr>
          <w:rFonts w:hint="eastAsia"/>
          <w:kern w:val="0"/>
          <w:szCs w:val="21"/>
        </w:rPr>
        <w:t>-2019</w:t>
      </w:r>
      <w:r>
        <w:rPr>
          <w:rFonts w:hint="eastAsia"/>
          <w:kern w:val="0"/>
          <w:szCs w:val="21"/>
        </w:rPr>
        <w:t>年</w:t>
      </w:r>
      <w:r>
        <w:rPr>
          <w:rFonts w:hint="eastAsia"/>
          <w:kern w:val="0"/>
          <w:szCs w:val="21"/>
        </w:rPr>
        <w:t>10</w:t>
      </w:r>
      <w:r>
        <w:rPr>
          <w:rFonts w:hint="eastAsia"/>
          <w:kern w:val="0"/>
          <w:szCs w:val="21"/>
        </w:rPr>
        <w:t>月</w:t>
      </w:r>
      <w:r>
        <w:rPr>
          <w:rFonts w:hint="eastAsia"/>
          <w:kern w:val="0"/>
          <w:szCs w:val="21"/>
        </w:rPr>
        <w:t>30</w:t>
      </w:r>
      <w:r>
        <w:rPr>
          <w:rFonts w:hint="eastAsia"/>
          <w:kern w:val="0"/>
          <w:szCs w:val="21"/>
        </w:rPr>
        <w:t>日</w:t>
      </w:r>
      <w:r>
        <w:rPr>
          <w:rFonts w:hint="eastAsia"/>
          <w:kern w:val="0"/>
          <w:szCs w:val="21"/>
        </w:rPr>
        <w:t>)</w:t>
      </w:r>
      <w:r>
        <w:rPr>
          <w:rFonts w:hint="eastAsia"/>
          <w:kern w:val="0"/>
          <w:szCs w:val="21"/>
        </w:rPr>
        <w:t>的基金经理。现任权益投资</w:t>
      </w:r>
      <w:r>
        <w:rPr>
          <w:rFonts w:hint="eastAsia"/>
          <w:kern w:val="0"/>
          <w:szCs w:val="21"/>
        </w:rPr>
        <w:t>GARP</w:t>
      </w:r>
      <w:r>
        <w:rPr>
          <w:rFonts w:hint="eastAsia"/>
          <w:kern w:val="0"/>
          <w:szCs w:val="21"/>
        </w:rPr>
        <w:t>组投资副总监兼博时裕隆灵活配置混合型证券投资基金</w:t>
      </w:r>
      <w:r>
        <w:rPr>
          <w:rFonts w:hint="eastAsia"/>
          <w:kern w:val="0"/>
          <w:szCs w:val="21"/>
        </w:rPr>
        <w:t>(2015</w:t>
      </w:r>
      <w:r>
        <w:rPr>
          <w:rFonts w:hint="eastAsia"/>
          <w:kern w:val="0"/>
          <w:szCs w:val="21"/>
        </w:rPr>
        <w:t>年</w:t>
      </w:r>
      <w:r>
        <w:rPr>
          <w:rFonts w:hint="eastAsia"/>
          <w:kern w:val="0"/>
          <w:szCs w:val="21"/>
        </w:rPr>
        <w:t>8</w:t>
      </w:r>
      <w:r>
        <w:rPr>
          <w:rFonts w:hint="eastAsia"/>
          <w:kern w:val="0"/>
          <w:szCs w:val="21"/>
        </w:rPr>
        <w:t>月</w:t>
      </w:r>
      <w:r>
        <w:rPr>
          <w:rFonts w:hint="eastAsia"/>
          <w:kern w:val="0"/>
          <w:szCs w:val="21"/>
        </w:rPr>
        <w:t>24</w:t>
      </w:r>
      <w:r>
        <w:rPr>
          <w:rFonts w:hint="eastAsia"/>
          <w:kern w:val="0"/>
          <w:szCs w:val="21"/>
        </w:rPr>
        <w:t>日—至今</w:t>
      </w:r>
      <w:r>
        <w:rPr>
          <w:rFonts w:hint="eastAsia"/>
          <w:kern w:val="0"/>
          <w:szCs w:val="21"/>
        </w:rPr>
        <w:t>)</w:t>
      </w:r>
      <w:r>
        <w:rPr>
          <w:rFonts w:hint="eastAsia"/>
          <w:kern w:val="0"/>
          <w:szCs w:val="21"/>
        </w:rPr>
        <w:t>、博时弘盈定期开放混合型证券投资基金</w:t>
      </w:r>
      <w:r>
        <w:rPr>
          <w:rFonts w:hint="eastAsia"/>
          <w:kern w:val="0"/>
          <w:szCs w:val="21"/>
        </w:rPr>
        <w:t>(2016</w:t>
      </w:r>
      <w:r>
        <w:rPr>
          <w:rFonts w:hint="eastAsia"/>
          <w:kern w:val="0"/>
          <w:szCs w:val="21"/>
        </w:rPr>
        <w:t>年</w:t>
      </w:r>
      <w:r>
        <w:rPr>
          <w:rFonts w:hint="eastAsia"/>
          <w:kern w:val="0"/>
          <w:szCs w:val="21"/>
        </w:rPr>
        <w:t>8</w:t>
      </w:r>
      <w:r>
        <w:rPr>
          <w:rFonts w:hint="eastAsia"/>
          <w:kern w:val="0"/>
          <w:szCs w:val="21"/>
        </w:rPr>
        <w:t>月</w:t>
      </w:r>
      <w:r>
        <w:rPr>
          <w:rFonts w:hint="eastAsia"/>
          <w:kern w:val="0"/>
          <w:szCs w:val="21"/>
        </w:rPr>
        <w:t>1</w:t>
      </w:r>
      <w:r>
        <w:rPr>
          <w:rFonts w:hint="eastAsia"/>
          <w:kern w:val="0"/>
          <w:szCs w:val="21"/>
        </w:rPr>
        <w:t>日—至今</w:t>
      </w:r>
      <w:r>
        <w:rPr>
          <w:rFonts w:hint="eastAsia"/>
          <w:kern w:val="0"/>
          <w:szCs w:val="21"/>
        </w:rPr>
        <w:t>)</w:t>
      </w:r>
      <w:r>
        <w:rPr>
          <w:rFonts w:hint="eastAsia"/>
          <w:kern w:val="0"/>
          <w:szCs w:val="21"/>
        </w:rPr>
        <w:t>、博时弘泰定期开放混合型证券投资基金</w:t>
      </w:r>
      <w:r>
        <w:rPr>
          <w:rFonts w:hint="eastAsia"/>
          <w:kern w:val="0"/>
          <w:szCs w:val="21"/>
        </w:rPr>
        <w:t>(2016</w:t>
      </w:r>
      <w:r>
        <w:rPr>
          <w:rFonts w:hint="eastAsia"/>
          <w:kern w:val="0"/>
          <w:szCs w:val="21"/>
        </w:rPr>
        <w:t>年</w:t>
      </w:r>
      <w:r>
        <w:rPr>
          <w:rFonts w:hint="eastAsia"/>
          <w:kern w:val="0"/>
          <w:szCs w:val="21"/>
        </w:rPr>
        <w:t>12</w:t>
      </w:r>
      <w:r>
        <w:rPr>
          <w:rFonts w:hint="eastAsia"/>
          <w:kern w:val="0"/>
          <w:szCs w:val="21"/>
        </w:rPr>
        <w:t>月</w:t>
      </w:r>
      <w:r>
        <w:rPr>
          <w:rFonts w:hint="eastAsia"/>
          <w:kern w:val="0"/>
          <w:szCs w:val="21"/>
        </w:rPr>
        <w:t>9</w:t>
      </w:r>
      <w:r>
        <w:rPr>
          <w:rFonts w:hint="eastAsia"/>
          <w:kern w:val="0"/>
          <w:szCs w:val="21"/>
        </w:rPr>
        <w:t>日—至今</w:t>
      </w:r>
      <w:r>
        <w:rPr>
          <w:rFonts w:hint="eastAsia"/>
          <w:kern w:val="0"/>
          <w:szCs w:val="21"/>
        </w:rPr>
        <w:t>)</w:t>
      </w:r>
      <w:r>
        <w:rPr>
          <w:rFonts w:hint="eastAsia"/>
          <w:kern w:val="0"/>
          <w:szCs w:val="21"/>
        </w:rPr>
        <w:t>、博时成长优选两年封闭运作灵活配置混合型证券投资基金</w:t>
      </w:r>
      <w:r>
        <w:rPr>
          <w:rFonts w:hint="eastAsia"/>
          <w:kern w:val="0"/>
          <w:szCs w:val="21"/>
        </w:rPr>
        <w:t>(2020</w:t>
      </w:r>
      <w:r>
        <w:rPr>
          <w:rFonts w:hint="eastAsia"/>
          <w:kern w:val="0"/>
          <w:szCs w:val="21"/>
        </w:rPr>
        <w:t>年</w:t>
      </w:r>
      <w:r>
        <w:rPr>
          <w:rFonts w:hint="eastAsia"/>
          <w:kern w:val="0"/>
          <w:szCs w:val="21"/>
        </w:rPr>
        <w:t>3</w:t>
      </w:r>
      <w:r>
        <w:rPr>
          <w:rFonts w:hint="eastAsia"/>
          <w:kern w:val="0"/>
          <w:szCs w:val="21"/>
        </w:rPr>
        <w:t>月</w:t>
      </w:r>
      <w:r>
        <w:rPr>
          <w:rFonts w:hint="eastAsia"/>
          <w:kern w:val="0"/>
          <w:szCs w:val="21"/>
        </w:rPr>
        <w:t>10</w:t>
      </w:r>
      <w:r>
        <w:rPr>
          <w:rFonts w:hint="eastAsia"/>
          <w:kern w:val="0"/>
          <w:szCs w:val="21"/>
        </w:rPr>
        <w:t>日—至今</w:t>
      </w:r>
      <w:r>
        <w:rPr>
          <w:rFonts w:hint="eastAsia"/>
          <w:kern w:val="0"/>
          <w:szCs w:val="21"/>
        </w:rPr>
        <w:t>)</w:t>
      </w:r>
      <w:r>
        <w:rPr>
          <w:rFonts w:hint="eastAsia"/>
          <w:kern w:val="0"/>
          <w:szCs w:val="21"/>
        </w:rPr>
        <w:t>、博时荣升稳健添利</w:t>
      </w:r>
      <w:r>
        <w:rPr>
          <w:rFonts w:hint="eastAsia"/>
          <w:kern w:val="0"/>
          <w:szCs w:val="21"/>
        </w:rPr>
        <w:t>18</w:t>
      </w:r>
      <w:r>
        <w:rPr>
          <w:rFonts w:hint="eastAsia"/>
          <w:kern w:val="0"/>
          <w:szCs w:val="21"/>
        </w:rPr>
        <w:t>个月定期开放混合型证券投资基金</w:t>
      </w:r>
      <w:r>
        <w:rPr>
          <w:rFonts w:hint="eastAsia"/>
          <w:kern w:val="0"/>
          <w:szCs w:val="21"/>
        </w:rPr>
        <w:t>(2020</w:t>
      </w:r>
      <w:r>
        <w:rPr>
          <w:rFonts w:hint="eastAsia"/>
          <w:kern w:val="0"/>
          <w:szCs w:val="21"/>
        </w:rPr>
        <w:t>年</w:t>
      </w:r>
      <w:r>
        <w:rPr>
          <w:rFonts w:hint="eastAsia"/>
          <w:kern w:val="0"/>
          <w:szCs w:val="21"/>
        </w:rPr>
        <w:t>4</w:t>
      </w:r>
      <w:r>
        <w:rPr>
          <w:rFonts w:hint="eastAsia"/>
          <w:kern w:val="0"/>
          <w:szCs w:val="21"/>
        </w:rPr>
        <w:t>月</w:t>
      </w:r>
      <w:r>
        <w:rPr>
          <w:rFonts w:hint="eastAsia"/>
          <w:kern w:val="0"/>
          <w:szCs w:val="21"/>
        </w:rPr>
        <w:t>29</w:t>
      </w:r>
      <w:r>
        <w:rPr>
          <w:rFonts w:hint="eastAsia"/>
          <w:kern w:val="0"/>
          <w:szCs w:val="21"/>
        </w:rPr>
        <w:t>日—至今</w:t>
      </w:r>
      <w:r>
        <w:rPr>
          <w:rFonts w:hint="eastAsia"/>
          <w:kern w:val="0"/>
          <w:szCs w:val="21"/>
        </w:rPr>
        <w:t>)</w:t>
      </w:r>
      <w:r>
        <w:rPr>
          <w:rFonts w:hint="eastAsia"/>
          <w:kern w:val="0"/>
          <w:szCs w:val="21"/>
        </w:rPr>
        <w:t>的基金经理。</w:t>
      </w:r>
    </w:p>
    <w:p w:rsidR="004A3137" w:rsidRPr="004A3137" w:rsidRDefault="004A3137" w:rsidP="00542E19">
      <w:pPr>
        <w:spacing w:line="360" w:lineRule="auto"/>
        <w:ind w:firstLineChars="200" w:firstLine="420"/>
        <w:rPr>
          <w:rFonts w:ascii="宋体" w:hAnsi="宋体"/>
          <w:kern w:val="0"/>
          <w:szCs w:val="21"/>
        </w:rPr>
      </w:pPr>
      <w:r w:rsidRPr="004A3137">
        <w:rPr>
          <w:rFonts w:ascii="宋体" w:hAnsi="宋体" w:hint="eastAsia"/>
          <w:kern w:val="0"/>
          <w:szCs w:val="21"/>
        </w:rPr>
        <w:t>5、投资决策委员会成员</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委员：江向阳、邵凯、黄健斌、张龙、魏凤春、王俊、过钧、黄瑞庆、曾鹏</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江向阳先生，简历同上。</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邵凯先生，简历同上。</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黄健斌先生，简历同上。</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张龙先生，硕士。</w:t>
      </w:r>
      <w:r w:rsidRPr="00542E19">
        <w:rPr>
          <w:rFonts w:ascii="宋体" w:hAnsi="宋体"/>
          <w:kern w:val="0"/>
          <w:szCs w:val="21"/>
        </w:rPr>
        <w:t>1996年起先后在长江证券、长盛基金、华夏基金、北京金百朋投资管理有限公司工作。2019年加入博时基金管理有限公司，现任公司投资决策委员会专职委</w:t>
      </w:r>
      <w:r w:rsidRPr="00542E19">
        <w:rPr>
          <w:rFonts w:ascii="宋体" w:hAnsi="宋体" w:hint="eastAsia"/>
          <w:kern w:val="0"/>
          <w:szCs w:val="21"/>
        </w:rPr>
        <w:lastRenderedPageBreak/>
        <w:t>员兼股票投资部总经理。</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魏凤春先生，博士。</w:t>
      </w:r>
      <w:r w:rsidRPr="00542E19">
        <w:rPr>
          <w:rFonts w:ascii="宋体" w:hAnsi="宋体"/>
          <w:kern w:val="0"/>
          <w:szCs w:val="21"/>
        </w:rPr>
        <w:t>1993年起先后在山东经济学院、江南信托、清华大学、江南证券、中信建投证券工作。2011年加入博时基金管理有限公司。历任投资经理、博时抗通胀增强回报证券投资基金(2015年8月24日-2016年12月19日)、博时平衡配置混合型证券投资基金(2015年11月30日-2016年12月19日)的基金经理、多元资产管理部总经理、博时颐泽稳健养老目标一年持有期混合型基金中基金（FOF）(2019年3月20日—2020年9月3日)、博时颐泽平衡养老目标三年持有期混合型发起式基金中基金（FOF）(2019年8月28日—2020年9月3日)的基金经理。现任首席宏观策略分析师兼宏观策略部总经理。</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王俊先生，硕士。</w:t>
      </w:r>
      <w:r w:rsidRPr="00542E19">
        <w:rPr>
          <w:rFonts w:ascii="宋体" w:hAnsi="宋体"/>
          <w:kern w:val="0"/>
          <w:szCs w:val="21"/>
        </w:rPr>
        <w:t>2008年从上海交通大学硕士研究生毕业后加入博时基金管理有限公司。历任研究员、金融地产与公用事业组组长、研究部副总经理、博时国企改革股票基金（2015.5.20-2016.6.8）、博时丝路主题股票基金（2015.5.22-2016.6.8）、博时沪港深价值优选混合基金（2017.1.25-2018.3.14）、博时沪港深成长企业混合基金（2016.11.9-2019.6.10）的基金经理、研究部总经理。现任研究部研究总监兼博时主题行业混合(LOF)基金（2015.1.22-至今）、博时沪港深优质企业混合基金（2016.11.9-至今）、博时新兴消费主题混合基金（2017.6.5-至今）、博时优势企业混合基金（2019.6.3-至今）、博时研究优选混合基金（2020.3.20-至今）、博时研究精选持有期混合基金(2020.6.24-至今)、博时研究臻选持有期混合基金(2020.6.30-至今)、博时价值臻选持有期混合基金（2020.7.29-至今）的基金经理。</w:t>
      </w:r>
    </w:p>
    <w:p w:rsidR="004A3137" w:rsidRPr="00542E19" w:rsidRDefault="004A3137" w:rsidP="00542E19">
      <w:pPr>
        <w:spacing w:line="360" w:lineRule="auto"/>
        <w:ind w:firstLineChars="200" w:firstLine="420"/>
        <w:rPr>
          <w:rFonts w:ascii="宋体" w:hAnsi="宋体"/>
          <w:kern w:val="0"/>
          <w:szCs w:val="21"/>
        </w:rPr>
      </w:pPr>
      <w:bookmarkStart w:id="20" w:name="OLE_LINK2"/>
      <w:r w:rsidRPr="00542E19">
        <w:rPr>
          <w:rFonts w:ascii="宋体" w:hAnsi="宋体" w:hint="eastAsia"/>
          <w:kern w:val="0"/>
          <w:szCs w:val="21"/>
        </w:rPr>
        <w:t>过钧先生，硕士。</w:t>
      </w:r>
      <w:r w:rsidRPr="00542E19">
        <w:rPr>
          <w:rFonts w:ascii="宋体" w:hAnsi="宋体"/>
          <w:kern w:val="0"/>
          <w:szCs w:val="21"/>
        </w:rPr>
        <w:t>1995</w:t>
      </w:r>
      <w:bookmarkEnd w:id="20"/>
      <w:r w:rsidRPr="00542E19">
        <w:rPr>
          <w:rFonts w:ascii="宋体" w:hAnsi="宋体" w:hint="eastAsia"/>
          <w:kern w:val="0"/>
          <w:szCs w:val="21"/>
        </w:rPr>
        <w:t>年起先后在上海工艺品进出口公司、德国德累斯顿银行上海分行、美国</w:t>
      </w:r>
      <w:r w:rsidRPr="00542E19">
        <w:rPr>
          <w:rFonts w:ascii="宋体" w:hAnsi="宋体"/>
          <w:kern w:val="0"/>
          <w:szCs w:val="21"/>
        </w:rPr>
        <w:t>Lowes</w:t>
      </w:r>
      <w:r w:rsidRPr="00542E19">
        <w:rPr>
          <w:rFonts w:ascii="宋体" w:hAnsi="宋体" w:hint="eastAsia"/>
          <w:kern w:val="0"/>
          <w:szCs w:val="21"/>
        </w:rPr>
        <w:t>食品有限公司、美国通用电气公司、华夏基金固定收益部工作。</w:t>
      </w:r>
      <w:r w:rsidRPr="00542E19">
        <w:rPr>
          <w:rFonts w:ascii="宋体" w:hAnsi="宋体"/>
          <w:kern w:val="0"/>
          <w:szCs w:val="21"/>
        </w:rPr>
        <w:t>2005</w:t>
      </w:r>
      <w:r w:rsidRPr="00542E19">
        <w:rPr>
          <w:rFonts w:ascii="宋体" w:hAnsi="宋体" w:hint="eastAsia"/>
          <w:kern w:val="0"/>
          <w:szCs w:val="21"/>
        </w:rPr>
        <w:t>年加入博时基金管理有限公司，历任基金经理、博时稳定价值债券投资基金（</w:t>
      </w:r>
      <w:r w:rsidRPr="00542E19">
        <w:rPr>
          <w:rFonts w:ascii="宋体" w:hAnsi="宋体"/>
          <w:kern w:val="0"/>
          <w:szCs w:val="21"/>
        </w:rPr>
        <w:t>2005.8.24-2010.8.4</w:t>
      </w:r>
      <w:r w:rsidRPr="00542E19">
        <w:rPr>
          <w:rFonts w:ascii="宋体" w:hAnsi="宋体" w:hint="eastAsia"/>
          <w:kern w:val="0"/>
          <w:szCs w:val="21"/>
        </w:rPr>
        <w:t>）的基金经理、固定收益部副总经理、博时转债增强债券型证券投资基金（</w:t>
      </w:r>
      <w:r w:rsidRPr="00542E19">
        <w:rPr>
          <w:rFonts w:ascii="宋体" w:hAnsi="宋体"/>
          <w:kern w:val="0"/>
          <w:szCs w:val="21"/>
        </w:rPr>
        <w:t>2010.11.24-2013.9.25</w:t>
      </w:r>
      <w:r w:rsidRPr="00542E19">
        <w:rPr>
          <w:rFonts w:ascii="宋体" w:hAnsi="宋体" w:hint="eastAsia"/>
          <w:kern w:val="0"/>
          <w:szCs w:val="21"/>
        </w:rPr>
        <w:t>）、博时亚洲票息收益债券型证券投资基金（</w:t>
      </w:r>
      <w:r w:rsidRPr="00542E19">
        <w:rPr>
          <w:rFonts w:ascii="宋体" w:hAnsi="宋体"/>
          <w:kern w:val="0"/>
          <w:szCs w:val="21"/>
        </w:rPr>
        <w:t>2013.2.1-2014.4.2</w:t>
      </w:r>
      <w:r w:rsidRPr="00542E19">
        <w:rPr>
          <w:rFonts w:ascii="宋体" w:hAnsi="宋体" w:hint="eastAsia"/>
          <w:kern w:val="0"/>
          <w:szCs w:val="21"/>
        </w:rPr>
        <w:t>）、博时裕祥分级债券型证券投资基金（</w:t>
      </w:r>
      <w:r w:rsidRPr="00542E19">
        <w:rPr>
          <w:rFonts w:ascii="宋体" w:hAnsi="宋体"/>
          <w:kern w:val="0"/>
          <w:szCs w:val="21"/>
        </w:rPr>
        <w:t>2014.1.8-2014.6.10</w:t>
      </w:r>
      <w:r w:rsidRPr="00542E19">
        <w:rPr>
          <w:rFonts w:ascii="宋体" w:hAnsi="宋体" w:hint="eastAsia"/>
          <w:kern w:val="0"/>
          <w:szCs w:val="21"/>
        </w:rPr>
        <w:t>）、博时双债增强债券型证券投资基金（</w:t>
      </w:r>
      <w:r w:rsidRPr="00542E19">
        <w:rPr>
          <w:rFonts w:ascii="宋体" w:hAnsi="宋体"/>
          <w:kern w:val="0"/>
          <w:szCs w:val="21"/>
        </w:rPr>
        <w:t>2013.9.13-2015.7.16</w:t>
      </w:r>
      <w:r w:rsidRPr="00542E19">
        <w:rPr>
          <w:rFonts w:ascii="宋体" w:hAnsi="宋体" w:hint="eastAsia"/>
          <w:kern w:val="0"/>
          <w:szCs w:val="21"/>
        </w:rPr>
        <w:t>）、博时新财富混合型证券投资基金（</w:t>
      </w:r>
      <w:r w:rsidRPr="00542E19">
        <w:rPr>
          <w:rFonts w:ascii="宋体" w:hAnsi="宋体"/>
          <w:kern w:val="0"/>
          <w:szCs w:val="21"/>
        </w:rPr>
        <w:t>2015.6.24-2016.7.4</w:t>
      </w:r>
      <w:r w:rsidRPr="00542E19">
        <w:rPr>
          <w:rFonts w:ascii="宋体" w:hAnsi="宋体" w:hint="eastAsia"/>
          <w:kern w:val="0"/>
          <w:szCs w:val="21"/>
        </w:rPr>
        <w:t>）、博时新机遇混合型证券投资基金（</w:t>
      </w:r>
      <w:r w:rsidRPr="00542E19">
        <w:rPr>
          <w:rFonts w:ascii="宋体" w:hAnsi="宋体"/>
          <w:kern w:val="0"/>
          <w:szCs w:val="21"/>
        </w:rPr>
        <w:t>2016.3.29-2018.2.6</w:t>
      </w:r>
      <w:r w:rsidRPr="00542E19">
        <w:rPr>
          <w:rFonts w:ascii="宋体" w:hAnsi="宋体" w:hint="eastAsia"/>
          <w:kern w:val="0"/>
          <w:szCs w:val="21"/>
        </w:rPr>
        <w:t>）、博时新策略灵活配置混合型证券投资基金（</w:t>
      </w:r>
      <w:r w:rsidRPr="00542E19">
        <w:rPr>
          <w:rFonts w:ascii="宋体" w:hAnsi="宋体"/>
          <w:kern w:val="0"/>
          <w:szCs w:val="21"/>
        </w:rPr>
        <w:t>2016.8.1-2018.2.6</w:t>
      </w:r>
      <w:r w:rsidRPr="00542E19">
        <w:rPr>
          <w:rFonts w:ascii="宋体" w:hAnsi="宋体" w:hint="eastAsia"/>
          <w:kern w:val="0"/>
          <w:szCs w:val="21"/>
        </w:rPr>
        <w:t>）、博时稳健回报债券型证券投资基金（</w:t>
      </w:r>
      <w:r w:rsidRPr="00542E19">
        <w:rPr>
          <w:rFonts w:ascii="宋体" w:hAnsi="宋体"/>
          <w:kern w:val="0"/>
          <w:szCs w:val="21"/>
        </w:rPr>
        <w:t>LOF</w:t>
      </w:r>
      <w:r w:rsidRPr="00542E19">
        <w:rPr>
          <w:rFonts w:ascii="宋体" w:hAnsi="宋体" w:hint="eastAsia"/>
          <w:kern w:val="0"/>
          <w:szCs w:val="21"/>
        </w:rPr>
        <w:t>）（</w:t>
      </w:r>
      <w:r w:rsidRPr="00542E19">
        <w:rPr>
          <w:rFonts w:ascii="宋体" w:hAnsi="宋体"/>
          <w:kern w:val="0"/>
          <w:szCs w:val="21"/>
        </w:rPr>
        <w:t>2014.6.10-2018.4.23</w:t>
      </w:r>
      <w:r w:rsidRPr="00542E19">
        <w:rPr>
          <w:rFonts w:ascii="宋体" w:hAnsi="宋体" w:hint="eastAsia"/>
          <w:kern w:val="0"/>
          <w:szCs w:val="21"/>
        </w:rPr>
        <w:t>）、博时双债增强债券型证券投资基金（</w:t>
      </w:r>
      <w:r w:rsidRPr="00542E19">
        <w:rPr>
          <w:rFonts w:ascii="宋体" w:hAnsi="宋体"/>
          <w:kern w:val="0"/>
          <w:szCs w:val="21"/>
        </w:rPr>
        <w:t>2016.10.24-2018.5.5</w:t>
      </w:r>
      <w:r w:rsidRPr="00542E19">
        <w:rPr>
          <w:rFonts w:ascii="宋体" w:hAnsi="宋体" w:hint="eastAsia"/>
          <w:kern w:val="0"/>
          <w:szCs w:val="21"/>
        </w:rPr>
        <w:t>）、博时鑫润灵活配置混合型证券投资基金（</w:t>
      </w:r>
      <w:r w:rsidRPr="00542E19">
        <w:rPr>
          <w:rFonts w:ascii="宋体" w:hAnsi="宋体"/>
          <w:kern w:val="0"/>
          <w:szCs w:val="21"/>
        </w:rPr>
        <w:t>2017.2.10-2018.5.21</w:t>
      </w:r>
      <w:r w:rsidRPr="00542E19">
        <w:rPr>
          <w:rFonts w:ascii="宋体" w:hAnsi="宋体" w:hint="eastAsia"/>
          <w:kern w:val="0"/>
          <w:szCs w:val="21"/>
        </w:rPr>
        <w:t>）、博时鑫和灵活配置混合型证券投资基金（</w:t>
      </w:r>
      <w:r w:rsidRPr="00542E19">
        <w:rPr>
          <w:rFonts w:ascii="宋体" w:hAnsi="宋体"/>
          <w:kern w:val="0"/>
          <w:szCs w:val="21"/>
        </w:rPr>
        <w:t>2017.12.13-2018.6.16</w:t>
      </w:r>
      <w:r w:rsidRPr="00542E19">
        <w:rPr>
          <w:rFonts w:ascii="宋体" w:hAnsi="宋体" w:hint="eastAsia"/>
          <w:kern w:val="0"/>
          <w:szCs w:val="21"/>
        </w:rPr>
        <w:t>）、博时鑫惠灵活配置混合型证券投资基金（</w:t>
      </w:r>
      <w:r w:rsidRPr="00542E19">
        <w:rPr>
          <w:rFonts w:ascii="宋体" w:hAnsi="宋体"/>
          <w:kern w:val="0"/>
          <w:szCs w:val="21"/>
        </w:rPr>
        <w:t>2017.1.10-2018.7.30</w:t>
      </w:r>
      <w:r w:rsidRPr="00542E19">
        <w:rPr>
          <w:rFonts w:ascii="宋体" w:hAnsi="宋体" w:hint="eastAsia"/>
          <w:kern w:val="0"/>
          <w:szCs w:val="21"/>
        </w:rPr>
        <w:t>）的基金经理、固定收益总部公募基金组负责人、博时新价值灵活配置混合型证券投资基金（</w:t>
      </w:r>
      <w:r w:rsidRPr="00542E19">
        <w:rPr>
          <w:rFonts w:ascii="宋体" w:hAnsi="宋体"/>
          <w:kern w:val="0"/>
          <w:szCs w:val="21"/>
        </w:rPr>
        <w:t>2016.3.29-2019.4.30</w:t>
      </w:r>
      <w:r w:rsidRPr="00542E19">
        <w:rPr>
          <w:rFonts w:ascii="宋体" w:hAnsi="宋体" w:hint="eastAsia"/>
          <w:kern w:val="0"/>
          <w:szCs w:val="21"/>
        </w:rPr>
        <w:t>）、博时乐臻定期开放混合型证券投资基金（</w:t>
      </w:r>
      <w:r w:rsidRPr="00542E19">
        <w:rPr>
          <w:rFonts w:ascii="宋体" w:hAnsi="宋体"/>
          <w:kern w:val="0"/>
          <w:szCs w:val="21"/>
        </w:rPr>
        <w:t>2016.9.29-2019.10.14）、博时转债增强债券型证券投资基金（2019.1.28-2020.4.3）、博时鑫源灵活配置混合型证券投资基金（2016.9.6-2020.7.20）、</w:t>
      </w:r>
      <w:r w:rsidRPr="00542E19">
        <w:rPr>
          <w:rFonts w:ascii="宋体" w:hAnsi="宋体" w:hint="eastAsia"/>
          <w:kern w:val="0"/>
          <w:szCs w:val="21"/>
        </w:rPr>
        <w:lastRenderedPageBreak/>
        <w:t>博时新起点灵活配置混合型证券投资基金（</w:t>
      </w:r>
      <w:r w:rsidRPr="00542E19">
        <w:rPr>
          <w:rFonts w:ascii="宋体" w:hAnsi="宋体"/>
          <w:kern w:val="0"/>
          <w:szCs w:val="21"/>
        </w:rPr>
        <w:t>2016.10.17-2020.7.20）、博时鑫瑞灵活配置混合型证券投资基金（2017.2.10-2020.7.20）的基金经理。现任公司董事总经理兼固定收益总部指数与创新组负责人、博时信用债券投资基金（2009.6.10-</w:t>
      </w:r>
      <w:r w:rsidRPr="00542E19">
        <w:rPr>
          <w:rFonts w:ascii="宋体" w:hAnsi="宋体" w:hint="eastAsia"/>
          <w:kern w:val="0"/>
          <w:szCs w:val="21"/>
        </w:rPr>
        <w:t>至今）、博时新收益灵活配置混合型证券投资基金（</w:t>
      </w:r>
      <w:r w:rsidRPr="00542E19">
        <w:rPr>
          <w:rFonts w:ascii="宋体" w:hAnsi="宋体"/>
          <w:kern w:val="0"/>
          <w:szCs w:val="21"/>
        </w:rPr>
        <w:t>2016.2.29-</w:t>
      </w:r>
      <w:r w:rsidRPr="00542E19">
        <w:rPr>
          <w:rFonts w:ascii="宋体" w:hAnsi="宋体" w:hint="eastAsia"/>
          <w:kern w:val="0"/>
          <w:szCs w:val="21"/>
        </w:rPr>
        <w:t>至今）、博时中债</w:t>
      </w:r>
      <w:r w:rsidRPr="00542E19">
        <w:rPr>
          <w:rFonts w:ascii="宋体" w:hAnsi="宋体"/>
          <w:kern w:val="0"/>
          <w:szCs w:val="21"/>
        </w:rPr>
        <w:t>3-5</w:t>
      </w:r>
      <w:r w:rsidRPr="00542E19">
        <w:rPr>
          <w:rFonts w:ascii="宋体" w:hAnsi="宋体" w:hint="eastAsia"/>
          <w:kern w:val="0"/>
          <w:szCs w:val="21"/>
        </w:rPr>
        <w:t>年进出口行债券指数证券投资基金（</w:t>
      </w:r>
      <w:r w:rsidRPr="00542E19">
        <w:rPr>
          <w:rFonts w:ascii="宋体" w:hAnsi="宋体"/>
          <w:kern w:val="0"/>
          <w:szCs w:val="21"/>
        </w:rPr>
        <w:t>2018.12.25-</w:t>
      </w:r>
      <w:r w:rsidRPr="00542E19">
        <w:rPr>
          <w:rFonts w:ascii="宋体" w:hAnsi="宋体" w:hint="eastAsia"/>
          <w:kern w:val="0"/>
          <w:szCs w:val="21"/>
        </w:rPr>
        <w:t>至今）、博时中债</w:t>
      </w:r>
      <w:r w:rsidRPr="00542E19">
        <w:rPr>
          <w:rFonts w:ascii="宋体" w:hAnsi="宋体"/>
          <w:kern w:val="0"/>
          <w:szCs w:val="21"/>
        </w:rPr>
        <w:t>3-5</w:t>
      </w:r>
      <w:r w:rsidRPr="00542E19">
        <w:rPr>
          <w:rFonts w:ascii="宋体" w:hAnsi="宋体" w:hint="eastAsia"/>
          <w:kern w:val="0"/>
          <w:szCs w:val="21"/>
        </w:rPr>
        <w:t>年国开行债券指数证券投资基金（</w:t>
      </w:r>
      <w:r w:rsidRPr="00542E19">
        <w:rPr>
          <w:rFonts w:ascii="宋体" w:hAnsi="宋体"/>
          <w:kern w:val="0"/>
          <w:szCs w:val="21"/>
        </w:rPr>
        <w:t>2019.7.19-</w:t>
      </w:r>
      <w:r w:rsidRPr="00542E19">
        <w:rPr>
          <w:rFonts w:ascii="宋体" w:hAnsi="宋体" w:hint="eastAsia"/>
          <w:kern w:val="0"/>
          <w:szCs w:val="21"/>
        </w:rPr>
        <w:t>至今）的基金经理。</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黄瑞庆先生，博士。</w:t>
      </w:r>
      <w:r w:rsidRPr="00542E19">
        <w:rPr>
          <w:rFonts w:ascii="宋体" w:hAnsi="宋体"/>
          <w:kern w:val="0"/>
          <w:szCs w:val="21"/>
        </w:rPr>
        <w:t>2002年起先后在融通基金、长城基金、长盛基金、财通基金、合众资产管理股份有限公司从事研究、投资、管理等工作。2013年加入博时基金管理有限公司，历任股票投资部ETF及量化组投资副总监、基金经理助理、股票投资部量化投资组投资副总监（主持工作）、股票投资部量化投资组投资总监、博时价值增长混合基金（2015.2.9-2016.10.24）、博时价值增长贰号混合基金（2015.2.9-2016.10.24）、博时特许价值混合基金（2015.2.9-2018.6.21）的基金经理。现任指数与量化投资部总经理兼博时量化平衡混合基金（2017.5.4-至今）、博时量化多策略股票基金（2018.4.3-至今）、博时量化价值股票基金（2018.6.26-至今）的基金经理。</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hint="eastAsia"/>
          <w:kern w:val="0"/>
          <w:szCs w:val="21"/>
        </w:rPr>
        <w:t>曾鹏先生，硕士。</w:t>
      </w:r>
      <w:r w:rsidRPr="00542E19">
        <w:rPr>
          <w:rFonts w:ascii="宋体" w:hAnsi="宋体"/>
          <w:kern w:val="0"/>
          <w:szCs w:val="21"/>
        </w:rPr>
        <w:t>2005年起先后在上投摩根基金、嘉实基金从事研究、投资工作。2012年加入博时基金管理有限公司。历任投资经理、博时灵活配置混合型证券投资基金(2015年2月9日-2016年4月25日)基金经理。现任权益投资总部一体化投研总监兼权益投资主题组负责人、博时新兴成长混合型证券投资基金(2013年1月18日—至今)、博时特许价值混合型证券投资基金(2018年6月21日—至今)、博时科创主题3年封闭运作灵活配置混合型证券投资基金(2019年6月27日—至今)、博时科技创新混合型证券投资基金(2020年4月15日—至今)的基金经理。</w:t>
      </w:r>
    </w:p>
    <w:p w:rsidR="004A3137" w:rsidRPr="00542E19" w:rsidRDefault="004A3137" w:rsidP="00542E19">
      <w:pPr>
        <w:spacing w:line="360" w:lineRule="auto"/>
        <w:ind w:firstLineChars="200" w:firstLine="420"/>
        <w:rPr>
          <w:rFonts w:ascii="宋体" w:hAnsi="宋体"/>
          <w:kern w:val="0"/>
          <w:szCs w:val="21"/>
        </w:rPr>
      </w:pPr>
      <w:r w:rsidRPr="00542E19">
        <w:rPr>
          <w:rFonts w:ascii="宋体" w:hAnsi="宋体"/>
          <w:kern w:val="0"/>
          <w:szCs w:val="21"/>
        </w:rPr>
        <w:t xml:space="preserve"> 6、上述人员之间均不存在近亲属关系。</w:t>
      </w:r>
    </w:p>
    <w:p w:rsidR="004A3137" w:rsidRPr="00542E19" w:rsidRDefault="004A3137" w:rsidP="00542E19">
      <w:pPr>
        <w:spacing w:line="360" w:lineRule="auto"/>
        <w:ind w:firstLineChars="200" w:firstLine="420"/>
        <w:rPr>
          <w:rFonts w:ascii="宋体" w:hAnsi="宋体"/>
          <w:kern w:val="0"/>
          <w:szCs w:val="21"/>
        </w:rPr>
      </w:pPr>
    </w:p>
    <w:p w:rsidR="00D5306E" w:rsidRDefault="006D76AB">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三、</w:t>
      </w:r>
      <w:r>
        <w:rPr>
          <w:rFonts w:ascii="Arial Unicode MS" w:hAnsi="Arial Unicode MS" w:cs="Arial"/>
          <w:b/>
          <w:bCs/>
          <w:szCs w:val="21"/>
        </w:rPr>
        <w:t>基金管理人的职责</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、依法募集资金，办理或者委托经中国证监会认定的其他机构代为办理基金份额的发售、申购、赎回和登记事宜；</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、办理基金备案手续；</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、自《基金合同》生效之日起，以诚实信用、谨慎勤勉的原则管理和运用基金财产；</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、配备足够的具有专业资格的人员进行基金投资分析、决策，以专业化的经营方式管理和运作基金财产；</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、建立健全内部风险控制、监察与稽核、财务管理及人事管理等制度，保证所管理的基金财产和基金管理人的财产相互独立，对所管理的不同基金分别管理，分别记账，进行证</w:t>
      </w:r>
      <w:r>
        <w:rPr>
          <w:rFonts w:ascii="Arial Unicode MS" w:hAnsi="Arial Unicode MS" w:cs="Arial" w:hint="eastAsia"/>
          <w:bCs/>
          <w:szCs w:val="21"/>
        </w:rPr>
        <w:lastRenderedPageBreak/>
        <w:t>券投资；</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、除依据《基金法》、《基金合同》及其他有关规定外，不得利用基金财产为自己及任何第三人谋取利益，不得委托第三人运作基金财产；</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、依法接受基金托管人的监督；</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8</w:t>
      </w:r>
      <w:r>
        <w:rPr>
          <w:rFonts w:ascii="Arial Unicode MS" w:hAnsi="Arial Unicode MS" w:cs="Arial" w:hint="eastAsia"/>
          <w:bCs/>
          <w:szCs w:val="21"/>
        </w:rPr>
        <w:t>、采取适当合理的措施使计算基金份额认购、申购、赎回和注销价格的方法符合《基金合同》等法律文件的规定，按有关规定计算并公告基金净值信息，确定基金份额申购、赎回的价格；</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9</w:t>
      </w:r>
      <w:r>
        <w:rPr>
          <w:rFonts w:ascii="Arial Unicode MS" w:hAnsi="Arial Unicode MS" w:cs="Arial" w:hint="eastAsia"/>
          <w:bCs/>
          <w:szCs w:val="21"/>
        </w:rPr>
        <w:t>、进行基金会计核算并编制基金财务会计报告；</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10</w:t>
      </w:r>
      <w:r>
        <w:rPr>
          <w:rFonts w:ascii="Arial Unicode MS" w:hAnsi="Arial Unicode MS" w:cs="Arial" w:hint="eastAsia"/>
          <w:bCs/>
          <w:szCs w:val="21"/>
        </w:rPr>
        <w:t>、</w:t>
      </w:r>
      <w:r>
        <w:rPr>
          <w:rFonts w:ascii="宋体" w:hAnsi="宋体" w:cs="Arial"/>
          <w:szCs w:val="21"/>
        </w:rPr>
        <w:t>编制季度报告、中期报告和年度报告</w:t>
      </w:r>
      <w:r>
        <w:rPr>
          <w:rFonts w:ascii="Arial Unicode MS" w:hAnsi="Arial Unicode MS" w:cs="Arial" w:hint="eastAsia"/>
          <w:bCs/>
          <w:szCs w:val="21"/>
        </w:rPr>
        <w:t>；</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11</w:t>
      </w:r>
      <w:r>
        <w:rPr>
          <w:rFonts w:ascii="Arial Unicode MS" w:hAnsi="Arial Unicode MS" w:cs="Arial" w:hint="eastAsia"/>
          <w:bCs/>
          <w:szCs w:val="21"/>
        </w:rPr>
        <w:t>、严格按照《基金法》、《基金合同》及其他有关规定，履行信息披露及报告义务；</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12</w:t>
      </w:r>
      <w:r>
        <w:rPr>
          <w:rFonts w:ascii="Arial Unicode MS" w:hAnsi="Arial Unicode MS" w:cs="Arial" w:hint="eastAsia"/>
          <w:bCs/>
          <w:szCs w:val="21"/>
        </w:rPr>
        <w:t>、保守基金商业秘密，不泄露基金投资计划、投资意向等。除《基金法》、《基金合同》及其他有关规定另有规定外，在基金信息公开披露前应予保密，不向他人泄露，但向审计、法律等外部专业顾问提供的除外；</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13</w:t>
      </w:r>
      <w:r>
        <w:rPr>
          <w:rFonts w:ascii="Arial Unicode MS" w:hAnsi="Arial Unicode MS" w:cs="Arial" w:hint="eastAsia"/>
          <w:bCs/>
          <w:szCs w:val="21"/>
        </w:rPr>
        <w:t>、按《基金合同》的约定确定基金收益分配方案，及时向基金份额持有人分配基金收益；</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14</w:t>
      </w:r>
      <w:r>
        <w:rPr>
          <w:rFonts w:ascii="Arial Unicode MS" w:hAnsi="Arial Unicode MS" w:cs="Arial" w:hint="eastAsia"/>
          <w:bCs/>
          <w:szCs w:val="21"/>
        </w:rPr>
        <w:t>、按规定受理申购与赎回申请，及时、足额支付赎回款项；</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15</w:t>
      </w:r>
      <w:r>
        <w:rPr>
          <w:rFonts w:ascii="Arial Unicode MS" w:hAnsi="Arial Unicode MS" w:cs="Arial" w:hint="eastAsia"/>
          <w:bCs/>
          <w:szCs w:val="21"/>
        </w:rPr>
        <w:t>、依据《基金法》、《基金合同》及其他有关规定召集基金份额持有人大会或配合基金托管人、基金份额持有人依法召集基金份额持有人大会；</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16</w:t>
      </w:r>
      <w:r>
        <w:rPr>
          <w:rFonts w:ascii="Arial Unicode MS" w:hAnsi="Arial Unicode MS" w:cs="Arial" w:hint="eastAsia"/>
          <w:bCs/>
          <w:szCs w:val="21"/>
        </w:rPr>
        <w:t>、按规定保存基金财产管理业务活动的会计账册、报表、记录和其他相关资料</w:t>
      </w:r>
      <w:r>
        <w:rPr>
          <w:rFonts w:ascii="Arial Unicode MS" w:hAnsi="Arial Unicode MS" w:cs="Arial" w:hint="eastAsia"/>
          <w:bCs/>
          <w:szCs w:val="21"/>
        </w:rPr>
        <w:t>15</w:t>
      </w:r>
      <w:r>
        <w:rPr>
          <w:rFonts w:ascii="Arial Unicode MS" w:hAnsi="Arial Unicode MS" w:cs="Arial" w:hint="eastAsia"/>
          <w:bCs/>
          <w:szCs w:val="21"/>
        </w:rPr>
        <w:t>年以上；</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17</w:t>
      </w:r>
      <w:r>
        <w:rPr>
          <w:rFonts w:ascii="Arial Unicode MS" w:hAnsi="Arial Unicode MS" w:cs="Arial"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18</w:t>
      </w:r>
      <w:r>
        <w:rPr>
          <w:rFonts w:ascii="Arial Unicode MS" w:hAnsi="Arial Unicode MS" w:cs="Arial" w:hint="eastAsia"/>
          <w:bCs/>
          <w:szCs w:val="21"/>
        </w:rPr>
        <w:t>、组织并参加基金财产清算小组，参与基金财产的保管、清理、估价、变现和分配；</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19</w:t>
      </w:r>
      <w:r>
        <w:rPr>
          <w:rFonts w:ascii="Arial Unicode MS" w:hAnsi="Arial Unicode MS" w:cs="Arial" w:hint="eastAsia"/>
          <w:bCs/>
          <w:szCs w:val="21"/>
        </w:rPr>
        <w:t>、面临解散、依法被撤销或者被依法宣告破产时，及时报告中国证监会并通知基金托管人；</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20</w:t>
      </w:r>
      <w:r>
        <w:rPr>
          <w:rFonts w:ascii="Arial Unicode MS" w:hAnsi="Arial Unicode MS" w:cs="Arial" w:hint="eastAsia"/>
          <w:bCs/>
          <w:szCs w:val="21"/>
        </w:rPr>
        <w:t>、因违反《基金合同》导致基金财产的损失或损害基金份额持有人合法权益时，应当承担赔偿责任，其赔偿责任不因其退任而免除；</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21</w:t>
      </w:r>
      <w:r>
        <w:rPr>
          <w:rFonts w:ascii="Arial Unicode MS" w:hAnsi="Arial Unicode MS" w:cs="Arial" w:hint="eastAsia"/>
          <w:bCs/>
          <w:szCs w:val="21"/>
        </w:rPr>
        <w:t>、监督基金托管人按法律法规和《基金合同》规定履行自己的义务，基金托管人违</w:t>
      </w:r>
      <w:r>
        <w:rPr>
          <w:rFonts w:ascii="Arial Unicode MS" w:hAnsi="Arial Unicode MS" w:cs="Arial" w:hint="eastAsia"/>
          <w:bCs/>
          <w:szCs w:val="21"/>
        </w:rPr>
        <w:lastRenderedPageBreak/>
        <w:t>反《基金合同》造成基金财产损失时，基金管理人应为基金份额持有人利益向基金托管人追偿；</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22</w:t>
      </w:r>
      <w:r>
        <w:rPr>
          <w:rFonts w:ascii="Arial Unicode MS" w:hAnsi="Arial Unicode MS" w:cs="Arial" w:hint="eastAsia"/>
          <w:bCs/>
          <w:szCs w:val="21"/>
        </w:rPr>
        <w:t>、当基金管理人将其义务委托第三方处理时，应当对第三方处理有关基金事务的行为承担责任；</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23</w:t>
      </w:r>
      <w:r>
        <w:rPr>
          <w:rFonts w:ascii="Arial Unicode MS" w:hAnsi="Arial Unicode MS" w:cs="Arial" w:hint="eastAsia"/>
          <w:bCs/>
          <w:szCs w:val="21"/>
        </w:rPr>
        <w:t>、以基金管理人名义，代表基金份额持有人利益行使诉讼权利或实施其他法律行为；</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24</w:t>
      </w:r>
      <w:r>
        <w:rPr>
          <w:rFonts w:ascii="Arial Unicode MS" w:hAnsi="Arial Unicode MS" w:cs="Arial" w:hint="eastAsia"/>
          <w:bCs/>
          <w:szCs w:val="21"/>
        </w:rPr>
        <w:t>、基金管理人在募集期间未能达到基金的备案条件，《基金合同》不能生效，基金管理人承担全部募集费用，将已募集资金并加计银行同期活期存款利息在基金募集期结束后</w:t>
      </w:r>
      <w:r>
        <w:rPr>
          <w:rFonts w:ascii="Arial Unicode MS" w:hAnsi="Arial Unicode MS" w:cs="Arial" w:hint="eastAsia"/>
          <w:bCs/>
          <w:szCs w:val="21"/>
        </w:rPr>
        <w:t>30</w:t>
      </w:r>
      <w:r>
        <w:rPr>
          <w:rFonts w:ascii="Arial Unicode MS" w:hAnsi="Arial Unicode MS" w:cs="Arial" w:hint="eastAsia"/>
          <w:bCs/>
          <w:szCs w:val="21"/>
        </w:rPr>
        <w:t>日内退还基金认购人；</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25</w:t>
      </w:r>
      <w:r>
        <w:rPr>
          <w:rFonts w:ascii="Arial Unicode MS" w:hAnsi="Arial Unicode MS" w:cs="Arial" w:hint="eastAsia"/>
          <w:bCs/>
          <w:szCs w:val="21"/>
        </w:rPr>
        <w:t>、执行生效的基金份额持有人大会的决议；</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26</w:t>
      </w:r>
      <w:r>
        <w:rPr>
          <w:rFonts w:ascii="Arial Unicode MS" w:hAnsi="Arial Unicode MS" w:cs="Arial" w:hint="eastAsia"/>
          <w:bCs/>
          <w:szCs w:val="21"/>
        </w:rPr>
        <w:t>、建立并保存基金份额持有人名册；</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27</w:t>
      </w:r>
      <w:r>
        <w:rPr>
          <w:rFonts w:ascii="Arial Unicode MS" w:hAnsi="Arial Unicode MS" w:cs="Arial" w:hint="eastAsia"/>
          <w:bCs/>
          <w:szCs w:val="21"/>
        </w:rPr>
        <w:t>、法律法规及中国证监会规定的和《基金合同》约定的其他义务。</w:t>
      </w:r>
    </w:p>
    <w:p w:rsidR="00D5306E" w:rsidRDefault="006D76AB">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四、</w:t>
      </w:r>
      <w:r>
        <w:rPr>
          <w:rFonts w:ascii="Arial Unicode MS" w:hAnsi="Arial Unicode MS" w:cs="Arial"/>
          <w:b/>
          <w:bCs/>
          <w:szCs w:val="21"/>
        </w:rPr>
        <w:t>基金管理人的承诺</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、基金管理人承诺不从事违反《中华人民共和国证券法》的行为，并承诺建立健全内部控制制度，采取有效措施，防止违反《中华人民共和国证券法》行为的发生；</w:t>
      </w:r>
      <w:r>
        <w:rPr>
          <w:rFonts w:ascii="Arial Unicode MS" w:hAnsi="Arial Unicode MS" w:cs="Arial" w:hint="eastAsia"/>
          <w:szCs w:val="21"/>
        </w:rPr>
        <w:t xml:space="preserve"> </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、基金管理人承诺不从事违反《基金法》的行为，并承诺建立健全内部风险控制制度，采取有效措施，防止下列行为的发生：</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）将基金管理人固有财产或者他人财产混同于基金财产从事证券投资；</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）不公平地对待管理的不同基金财产；</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）利用基金财产或者职务之便为基金份额持有人以外的第三人牟取利益；</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）向基金份额持有人违规承诺收益或者承担损失；</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）侵占、挪用基金财产；</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）泄露因职务便利获取的未公开信息、利用该信息从事或者明示、暗示他人从事相关的交易活动；</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）玩忽职守，不按照规定履行职责；</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8</w:t>
      </w:r>
      <w:r>
        <w:rPr>
          <w:rFonts w:ascii="Arial Unicode MS" w:hAnsi="Arial Unicode MS" w:cs="Arial" w:hint="eastAsia"/>
          <w:szCs w:val="21"/>
        </w:rPr>
        <w:t>）法律、行政法规和中国证监会规定禁止的其他行为。</w:t>
      </w:r>
      <w:r>
        <w:rPr>
          <w:rFonts w:ascii="Arial Unicode MS" w:hAnsi="Arial Unicode MS" w:cs="Arial" w:hint="eastAsia"/>
          <w:szCs w:val="21"/>
        </w:rPr>
        <w:t xml:space="preserve"> </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、基金管理人承诺严格遵守基金合同，并承诺建立健全内部控制制度，采取有效措施，防止违反基金合同行为的发生；</w:t>
      </w:r>
      <w:r>
        <w:rPr>
          <w:rFonts w:ascii="Arial Unicode MS" w:hAnsi="Arial Unicode MS" w:cs="Arial" w:hint="eastAsia"/>
          <w:szCs w:val="21"/>
        </w:rPr>
        <w:t xml:space="preserve"> </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、基金管理人承诺加强人员管理，强化职业操守，督促和约束员工遵守国家有关法律</w:t>
      </w:r>
      <w:r>
        <w:rPr>
          <w:rFonts w:ascii="Arial Unicode MS" w:hAnsi="Arial Unicode MS" w:cs="Arial" w:hint="eastAsia"/>
          <w:szCs w:val="21"/>
        </w:rPr>
        <w:lastRenderedPageBreak/>
        <w:t>法规及行业规范，诚实信用、勤勉尽责；</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、基金管理人承诺不从事其他法规规定禁止从事的行为。</w:t>
      </w:r>
      <w:r>
        <w:rPr>
          <w:rFonts w:ascii="Arial Unicode MS" w:hAnsi="Arial Unicode MS" w:cs="Arial" w:hint="eastAsia"/>
          <w:szCs w:val="21"/>
        </w:rPr>
        <w:t xml:space="preserve"> </w:t>
      </w:r>
    </w:p>
    <w:p w:rsidR="00D5306E" w:rsidRDefault="006D76AB">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szCs w:val="21"/>
        </w:rPr>
      </w:pPr>
      <w:r>
        <w:rPr>
          <w:rFonts w:ascii="Arial Unicode MS" w:hAnsi="Arial Unicode MS" w:cs="Arial" w:hint="eastAsia"/>
          <w:b/>
          <w:szCs w:val="21"/>
        </w:rPr>
        <w:t>五、基金经理承诺</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、依照有关法律法规和基金合同的规定，本着谨慎的原则为基金份额持有人谋取最大利益；</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、不利用职务之便为自己、受雇人或任何第三者牟取利益；</w:t>
      </w:r>
      <w:r>
        <w:rPr>
          <w:rFonts w:ascii="Arial Unicode MS" w:hAnsi="Arial Unicode MS" w:cs="Arial" w:hint="eastAsia"/>
          <w:szCs w:val="21"/>
        </w:rPr>
        <w:t xml:space="preserve"> </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、不泄露在任职期间知悉的有关证券、基金的商业秘密，尚未依法公开的基金投资内容、基金投资计划等信息，或利用该信息从事或者明示、暗示他人从事相关的交易活动；</w:t>
      </w:r>
    </w:p>
    <w:p w:rsidR="00D5306E" w:rsidRDefault="006D76AB">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、不以任何形式为其他组织或个人进行证券交易。</w:t>
      </w:r>
    </w:p>
    <w:p w:rsidR="00D5306E" w:rsidRDefault="006D76AB">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基金管理人的内部控制制度</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、风险管理的原则</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1</w:t>
      </w:r>
      <w:r>
        <w:rPr>
          <w:rFonts w:ascii="Arial Unicode MS" w:hAnsi="Arial Unicode MS" w:cs="Arial"/>
          <w:szCs w:val="21"/>
        </w:rPr>
        <w:t>）全面性原则</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公司风险管理必须覆盖公司的所有部门和岗位，渗透各项业务过程和业务环节。</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2</w:t>
      </w:r>
      <w:r>
        <w:rPr>
          <w:rFonts w:ascii="Arial Unicode MS" w:hAnsi="Arial Unicode MS" w:cs="Arial"/>
          <w:szCs w:val="21"/>
        </w:rPr>
        <w:t>）独立性原则</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公司设立独立的监察部，监察部保持高度的独立性和权威性，负责对公司各部门风险控制工作进行稽核和检查。</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3</w:t>
      </w:r>
      <w:r>
        <w:rPr>
          <w:rFonts w:ascii="Arial Unicode MS" w:hAnsi="Arial Unicode MS" w:cs="Arial"/>
          <w:szCs w:val="21"/>
        </w:rPr>
        <w:t>）相互制约原则</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公司及各部门在内部组织结构的设计上要形成一种相互制约的机制，建立不同岗位之间的制衡体系。</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4</w:t>
      </w:r>
      <w:r>
        <w:rPr>
          <w:rFonts w:ascii="Arial Unicode MS" w:hAnsi="Arial Unicode MS" w:cs="Arial"/>
          <w:szCs w:val="21"/>
        </w:rPr>
        <w:t>）定性和定量相结合原则</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建立完备的风险管理指标体系，使风险管理更具客观性和操作性。</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、风险管理和内部风险控制体系结构</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的风险管理体系结构是一个分工明确、相互牵制的组织结构，由最高管理层对风险管理负最终责任，各个业务部门负责本部门的风险评估和监控，监察部负责监察公司的风险管理措施的执行。具体而言，包括如下组成部分：</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1</w:t>
      </w:r>
      <w:r>
        <w:rPr>
          <w:rFonts w:ascii="Arial Unicode MS" w:hAnsi="Arial Unicode MS" w:cs="Arial"/>
          <w:szCs w:val="21"/>
        </w:rPr>
        <w:t>）董事会</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负责制定公司的风险管理政策，对风险管理负完全的和最终的责任。</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2</w:t>
      </w:r>
      <w:r>
        <w:rPr>
          <w:rFonts w:ascii="Arial Unicode MS" w:hAnsi="Arial Unicode MS" w:cs="Arial"/>
          <w:szCs w:val="21"/>
        </w:rPr>
        <w:t>）风险管理委员会</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lastRenderedPageBreak/>
        <w:t>作为董事会下的专业委员会之一，风险管理委员会负责批准公司风险管理系统文件，即负责确保每一个部门都有合适的系统来识别、评定和监控该部门的风险，负责批准每一个部门的风险级别。负责解决重大的突发的风险。</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3</w:t>
      </w:r>
      <w:r>
        <w:rPr>
          <w:rFonts w:ascii="Arial Unicode MS" w:hAnsi="Arial Unicode MS" w:cs="Arial"/>
          <w:szCs w:val="21"/>
        </w:rPr>
        <w:t>）督察长</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独立行使督察权利；直接对董事会负责；按季向风险管理委员会提交独立的风险管理报告和风险管理建议。</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4</w:t>
      </w:r>
      <w:r>
        <w:rPr>
          <w:rFonts w:ascii="Arial Unicode MS" w:hAnsi="Arial Unicode MS" w:cs="Arial"/>
          <w:szCs w:val="21"/>
        </w:rPr>
        <w:t>）监察法律部</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监察法律部负责对公司风险管理政策和措施的执行情况进行监察，并为每一个部门的风险管理系统的发展提供协助，使公司在一种风险管理和控制的环境中实现业务目标。</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5</w:t>
      </w:r>
      <w:r>
        <w:rPr>
          <w:rFonts w:ascii="Arial Unicode MS" w:hAnsi="Arial Unicode MS" w:cs="Arial"/>
          <w:szCs w:val="21"/>
        </w:rPr>
        <w:t>）风险管理部</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风险管理部负责建立和完善公司投资风险管理制度与流程，组织实施公司投资风险管理与绩效分析工作，确保公司各类投资风险得到良好监督与控制。</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6</w:t>
      </w:r>
      <w:r>
        <w:rPr>
          <w:rFonts w:ascii="Arial Unicode MS" w:hAnsi="Arial Unicode MS" w:cs="Arial"/>
          <w:szCs w:val="21"/>
        </w:rPr>
        <w:t>）业务部门</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风险管理是每一个业务部门最首要的责任。部门经理对本部门的风险负全部责任，负责履行公司的风险管理程序，负责本部门的风险管理系统的开发、执行和维护，用于识别、监控和降低风险。</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3</w:t>
      </w:r>
      <w:r>
        <w:rPr>
          <w:rFonts w:ascii="Arial Unicode MS" w:hAnsi="Arial Unicode MS" w:cs="Arial"/>
          <w:szCs w:val="21"/>
        </w:rPr>
        <w:t>、风险管理和内部风险控制的措施</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1</w:t>
      </w:r>
      <w:r>
        <w:rPr>
          <w:rFonts w:ascii="Arial Unicode MS" w:hAnsi="Arial Unicode MS" w:cs="Arial"/>
          <w:szCs w:val="21"/>
        </w:rPr>
        <w:t>）建立内控结构，完善内控制度</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公司建立、健全了内控结构，高管人员关于内控有明确的分工，确保各项业务活动有恰当的组织和授权，确保监察活动是独立的，并得到高管人员的支持，同时置备操作手册，并定期更新。</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2</w:t>
      </w:r>
      <w:r>
        <w:rPr>
          <w:rFonts w:ascii="Arial Unicode MS" w:hAnsi="Arial Unicode MS" w:cs="Arial"/>
          <w:szCs w:val="21"/>
        </w:rPr>
        <w:t>）建立相互分离、相互制衡的内控机制</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建立、健全了各项制度，做到基金经理分开，投资决策分开，基金交易集中，形成不同部门，不同岗位之间的制衡机制，从制度上减少和防范风险。</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3</w:t>
      </w:r>
      <w:r>
        <w:rPr>
          <w:rFonts w:ascii="Arial Unicode MS" w:hAnsi="Arial Unicode MS" w:cs="Arial"/>
          <w:szCs w:val="21"/>
        </w:rPr>
        <w:t>）建立、健全岗位责任制</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建立、健全了岗位责任制，使每个员工都明确自己的任务、职责，并及时将各自工作领域中的风险隐患上报，以防范和减少风险。</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4</w:t>
      </w:r>
      <w:r>
        <w:rPr>
          <w:rFonts w:ascii="Arial Unicode MS" w:hAnsi="Arial Unicode MS" w:cs="Arial"/>
          <w:szCs w:val="21"/>
        </w:rPr>
        <w:t>）建立风险分类、识别、评估、报告、提示程序</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了评估风险的委员会，使用适合的程序，确认和评估与公司运作有关的风险；公司建立了自下而上的风险报告程序，对风险隐患进行层层汇报，使各个层次的人员及时掌握风险状况，从而以最快速度作出决策。</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lastRenderedPageBreak/>
        <w:t>（</w:t>
      </w:r>
      <w:r>
        <w:rPr>
          <w:rFonts w:ascii="Arial Unicode MS" w:hAnsi="Arial Unicode MS" w:cs="Arial"/>
          <w:szCs w:val="21"/>
        </w:rPr>
        <w:t>5</w:t>
      </w:r>
      <w:r>
        <w:rPr>
          <w:rFonts w:ascii="Arial Unicode MS" w:hAnsi="Arial Unicode MS" w:cs="Arial"/>
          <w:szCs w:val="21"/>
        </w:rPr>
        <w:t>）建立有效的内部监控系统</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建立了足够、有效的内部监控系统，如电脑预警系统、投资监控系统，对可能出现的各种风险进行全面和实时的监控。</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6</w:t>
      </w:r>
      <w:r>
        <w:rPr>
          <w:rFonts w:ascii="Arial Unicode MS" w:hAnsi="Arial Unicode MS" w:cs="Arial"/>
          <w:szCs w:val="21"/>
        </w:rPr>
        <w:t>）使用数量化的风险管理手段</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采取数量化、技术化的风险控制手段，建立数量化的风险管理模型，用以提示指数趋势、行业及个股的风险，以便公司及时采取有效的措施，对风险进行分散、控制和规避，尽可能地减少损失。</w:t>
      </w:r>
    </w:p>
    <w:p w:rsidR="00D5306E" w:rsidRDefault="006D76AB">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7</w:t>
      </w:r>
      <w:r>
        <w:rPr>
          <w:rFonts w:ascii="Arial Unicode MS" w:hAnsi="Arial Unicode MS" w:cs="Arial"/>
          <w:szCs w:val="21"/>
        </w:rPr>
        <w:t>）提供足够的培训</w:t>
      </w:r>
    </w:p>
    <w:p w:rsidR="00D5306E" w:rsidRDefault="006D76AB">
      <w:pPr>
        <w:widowControl/>
        <w:adjustRightInd w:val="0"/>
        <w:snapToGrid w:val="0"/>
        <w:spacing w:line="360" w:lineRule="auto"/>
        <w:ind w:firstLineChars="200" w:firstLine="420"/>
        <w:rPr>
          <w:rFonts w:ascii="Arial Unicode MS" w:hAnsi="Arial Unicode MS" w:cs="Arial"/>
          <w:b/>
          <w:bCs/>
          <w:szCs w:val="21"/>
        </w:rPr>
      </w:pPr>
      <w:r>
        <w:rPr>
          <w:rFonts w:ascii="Arial Unicode MS" w:hAnsi="Arial Unicode MS" w:cs="Arial"/>
          <w:szCs w:val="21"/>
        </w:rPr>
        <w:t>制定了完整的培训计划，为所有员工提供足够和适当的培训，使员工明确其职责所在，控制风险。</w:t>
      </w:r>
    </w:p>
    <w:p w:rsidR="00D5306E" w:rsidRDefault="00D5306E">
      <w:pPr>
        <w:widowControl/>
        <w:adjustRightInd w:val="0"/>
        <w:snapToGrid w:val="0"/>
        <w:spacing w:line="360" w:lineRule="auto"/>
        <w:ind w:firstLineChars="200" w:firstLine="422"/>
        <w:rPr>
          <w:rFonts w:ascii="Arial Unicode MS" w:hAnsi="Arial Unicode MS" w:cs="Arial"/>
          <w:b/>
          <w:bCs/>
          <w:szCs w:val="21"/>
        </w:rPr>
        <w:sectPr w:rsidR="00D5306E">
          <w:footerReference w:type="default" r:id="rId23"/>
          <w:footerReference w:type="first" r:id="rId24"/>
          <w:pgSz w:w="11906" w:h="16838"/>
          <w:pgMar w:top="1440" w:right="1800" w:bottom="1440" w:left="1800" w:header="851" w:footer="992" w:gutter="0"/>
          <w:pgNumType w:start="1"/>
          <w:cols w:space="720"/>
          <w:titlePg/>
          <w:docGrid w:linePitch="312"/>
        </w:sectPr>
      </w:pPr>
    </w:p>
    <w:p w:rsidR="00D5306E" w:rsidRDefault="006D76AB">
      <w:pPr>
        <w:pStyle w:val="11"/>
        <w:snapToGrid w:val="0"/>
        <w:spacing w:before="0" w:after="0" w:line="360" w:lineRule="auto"/>
        <w:ind w:firstLineChars="150" w:firstLine="422"/>
        <w:rPr>
          <w:rFonts w:ascii="Arial Unicode MS" w:eastAsia="宋体" w:hAnsi="Arial Unicode MS" w:cs="Arial"/>
          <w:b/>
          <w:bCs/>
          <w:sz w:val="28"/>
          <w:szCs w:val="28"/>
        </w:rPr>
      </w:pPr>
      <w:bookmarkStart w:id="21" w:name="_Toc429490281"/>
      <w:bookmarkStart w:id="22" w:name="_Toc47622416"/>
      <w:bookmarkStart w:id="23" w:name="_Toc47604308"/>
      <w:r>
        <w:rPr>
          <w:rFonts w:ascii="Arial Unicode MS" w:eastAsia="宋体" w:hAnsi="Arial Unicode MS" w:cs="Arial"/>
          <w:b/>
          <w:bCs/>
          <w:sz w:val="28"/>
          <w:szCs w:val="28"/>
        </w:rPr>
        <w:lastRenderedPageBreak/>
        <w:t>第四部分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基金托管人</w:t>
      </w:r>
      <w:bookmarkEnd w:id="18"/>
      <w:bookmarkEnd w:id="19"/>
      <w:bookmarkEnd w:id="21"/>
      <w:bookmarkEnd w:id="22"/>
      <w:bookmarkEnd w:id="23"/>
    </w:p>
    <w:p w:rsidR="00D5306E" w:rsidRDefault="006D76AB">
      <w:pPr>
        <w:spacing w:line="360" w:lineRule="auto"/>
        <w:ind w:firstLineChars="200" w:firstLine="422"/>
        <w:rPr>
          <w:rFonts w:ascii="宋体" w:hAnsi="宋体"/>
          <w:b/>
          <w:szCs w:val="21"/>
        </w:rPr>
      </w:pPr>
      <w:r>
        <w:rPr>
          <w:rFonts w:ascii="宋体" w:hAnsi="宋体" w:hint="eastAsia"/>
          <w:b/>
          <w:kern w:val="0"/>
          <w:szCs w:val="21"/>
        </w:rPr>
        <w:t>一、基金托管人概况</w:t>
      </w:r>
    </w:p>
    <w:p w:rsidR="00D5306E" w:rsidRDefault="006D76AB">
      <w:pPr>
        <w:spacing w:line="360" w:lineRule="auto"/>
        <w:ind w:firstLineChars="200" w:firstLine="420"/>
        <w:outlineLvl w:val="0"/>
        <w:rPr>
          <w:rFonts w:ascii="宋体" w:hAnsi="宋体"/>
          <w:szCs w:val="21"/>
        </w:rPr>
      </w:pPr>
      <w:bookmarkStart w:id="24" w:name="_Toc116971000"/>
      <w:bookmarkStart w:id="25" w:name="_Toc116971120"/>
      <w:bookmarkStart w:id="26" w:name="_Toc116970834"/>
      <w:r>
        <w:rPr>
          <w:rFonts w:ascii="宋体" w:hAnsi="宋体" w:hint="eastAsia"/>
          <w:szCs w:val="21"/>
        </w:rPr>
        <w:t>1、基本情况</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名称：平安银行股份有限公司</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注册住所：广东省深圳市罗湖区深南东路5047号</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办公地址：广东省深圳市福田区益田路5023号</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法定代表人：谢永林</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成立日期：1987年12月22日</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组织形式：股份有限公司</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注册资本：19,405,918,198元</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存续期间：持续经营</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基金托管资格批文及文号：中国证监会证监许可[2008]1037 号</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联系人：高希泉</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联系电话：(0755) 2219 7701</w:t>
      </w:r>
    </w:p>
    <w:p w:rsidR="00D5306E" w:rsidRDefault="006D76AB">
      <w:pPr>
        <w:spacing w:line="360" w:lineRule="auto"/>
        <w:ind w:firstLineChars="200" w:firstLine="420"/>
        <w:outlineLvl w:val="0"/>
        <w:rPr>
          <w:rFonts w:ascii="宋体" w:hAnsi="宋体"/>
          <w:szCs w:val="21"/>
        </w:rPr>
      </w:pPr>
      <w:r>
        <w:rPr>
          <w:rFonts w:ascii="宋体" w:hAnsi="宋体"/>
          <w:szCs w:val="21"/>
        </w:rPr>
        <w:t>平安银行股份有限公司是一家总部设在深圳的全国性股份制商业银行（深圳证券交易所简称：平安银行，证券代码000001）。其前身是深圳发展银行股份有限公司，于2012年6月吸收合并原平安银行并于同年7月更名为平安银行。中国平安保险（集团）股份有限公司及其子公司合计持有平安银行5</w:t>
      </w:r>
      <w:r>
        <w:rPr>
          <w:rFonts w:ascii="宋体" w:hAnsi="宋体" w:hint="eastAsia"/>
          <w:szCs w:val="21"/>
        </w:rPr>
        <w:t>8</w:t>
      </w:r>
      <w:r>
        <w:rPr>
          <w:rFonts w:ascii="宋体" w:hAnsi="宋体"/>
          <w:szCs w:val="21"/>
        </w:rPr>
        <w:t>%的股份，为平安银行的控股股东。</w:t>
      </w:r>
      <w:r>
        <w:rPr>
          <w:rFonts w:ascii="宋体" w:hAnsi="宋体" w:hint="eastAsia"/>
          <w:szCs w:val="21"/>
        </w:rPr>
        <w:t>截至2019年末，</w:t>
      </w:r>
      <w:r>
        <w:rPr>
          <w:rFonts w:ascii="宋体" w:hAnsi="宋体"/>
          <w:szCs w:val="21"/>
        </w:rPr>
        <w:t>平安银行</w:t>
      </w:r>
      <w:r>
        <w:rPr>
          <w:rFonts w:ascii="宋体" w:hAnsi="宋体" w:hint="eastAsia"/>
          <w:szCs w:val="21"/>
        </w:rPr>
        <w:t>有91家分行（含香港分行）,共1,058家营业机构。</w:t>
      </w:r>
    </w:p>
    <w:p w:rsidR="00D5306E" w:rsidRDefault="006D76AB">
      <w:pPr>
        <w:spacing w:line="360" w:lineRule="auto"/>
        <w:ind w:firstLineChars="200" w:firstLine="420"/>
        <w:outlineLvl w:val="0"/>
        <w:rPr>
          <w:rFonts w:ascii="宋体" w:hAnsi="宋体"/>
          <w:szCs w:val="21"/>
        </w:rPr>
      </w:pPr>
      <w:r>
        <w:rPr>
          <w:rFonts w:ascii="宋体" w:hAnsi="宋体"/>
          <w:szCs w:val="21"/>
        </w:rPr>
        <w:t>201</w:t>
      </w:r>
      <w:r>
        <w:rPr>
          <w:rFonts w:ascii="宋体" w:hAnsi="宋体" w:hint="eastAsia"/>
          <w:szCs w:val="21"/>
        </w:rPr>
        <w:t>9</w:t>
      </w:r>
      <w:r>
        <w:rPr>
          <w:rFonts w:ascii="宋体" w:hAnsi="宋体"/>
          <w:szCs w:val="21"/>
        </w:rPr>
        <w:t>年，</w:t>
      </w:r>
      <w:r>
        <w:rPr>
          <w:rFonts w:ascii="宋体" w:hAnsi="宋体" w:hint="eastAsia"/>
          <w:szCs w:val="21"/>
        </w:rPr>
        <w:t>平安银行实现</w:t>
      </w:r>
      <w:r>
        <w:rPr>
          <w:rFonts w:ascii="宋体" w:hAnsi="宋体"/>
          <w:szCs w:val="21"/>
        </w:rPr>
        <w:t>营业收入</w:t>
      </w:r>
      <w:r>
        <w:rPr>
          <w:rFonts w:ascii="宋体" w:hAnsi="宋体" w:hint="eastAsia"/>
          <w:szCs w:val="21"/>
        </w:rPr>
        <w:t>1379.58</w:t>
      </w:r>
      <w:r>
        <w:rPr>
          <w:rFonts w:ascii="宋体" w:hAnsi="宋体"/>
          <w:szCs w:val="21"/>
        </w:rPr>
        <w:t>亿元（同比增长</w:t>
      </w:r>
      <w:r>
        <w:rPr>
          <w:rFonts w:ascii="宋体" w:hAnsi="宋体" w:hint="eastAsia"/>
          <w:szCs w:val="21"/>
        </w:rPr>
        <w:t>18.2</w:t>
      </w:r>
      <w:r>
        <w:rPr>
          <w:rFonts w:ascii="宋体" w:hAnsi="宋体"/>
          <w:szCs w:val="21"/>
        </w:rPr>
        <w:t>%</w:t>
      </w:r>
      <w:r>
        <w:rPr>
          <w:rFonts w:ascii="宋体" w:hAnsi="宋体" w:hint="eastAsia"/>
          <w:szCs w:val="21"/>
        </w:rPr>
        <w:t>）</w:t>
      </w:r>
      <w:r>
        <w:rPr>
          <w:rFonts w:ascii="宋体" w:hAnsi="宋体"/>
          <w:szCs w:val="21"/>
        </w:rPr>
        <w:t>、净利润 281.95亿元（同比增长 13.6 %）、资产总额 39,390.70亿元（较上年末增长15.2 %）、吸收存款余额24,369.35亿元（较上年末增长 14.5 %）、发放贷款和垫款总额（含贴现）23,232.05亿元（较上年末增长 16.3%）。</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平安银行总行设资产托管事业部，下设市场拓展处、创新发展处、估值核算处、资金清算处、规划发展处、IT系统支持处、督察合规处、基金服务中心8 个处室，目前部门人员为60人。</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2、主要人员情况</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陈正涛,男,中共党员，经济学硕士、高级经济师、高级理财规划师、国际注册私人银行家，具备《中国证券业执业证书》。长期从事商业银行工作，具有本外币资金清算，银行经营管理及基金托管业务的经营管理经验。1985年7月至1993年2月在武汉金融高等专科学校任教；1993年3月至1993年7月在招商银行武汉分行任客户经理；1993年8月至1999年2月在招行武汉分行武昌支行任计划信贷部经理、行长助理；1999年3月－2000年1月在招行武汉分行青山支行任行长助理；2000年2月至2001年7月在招行武汉分行公司银行部任副总经理；2001年8月至2003年2月在招行武汉分行解放公园支行任行长；2003年3</w:t>
      </w:r>
      <w:r>
        <w:rPr>
          <w:rFonts w:ascii="宋体" w:hAnsi="宋体" w:hint="eastAsia"/>
          <w:szCs w:val="21"/>
        </w:rPr>
        <w:lastRenderedPageBreak/>
        <w:t>月至2005年4月在招行武汉分行机构业务部任总经理；2005年5月至2007年6月在招行武汉分行硚口支行任行长；2007年7月至2008年1月在招行武汉分行同业银行部任总经理；自2008年2月加盟平安银行先后任公司业务部总经理助理、产品及交易银行部副总经理，一直负责公司银行产品开发与管理，全面掌握银行产品包括托管业务产品的运作、营销和管理，尤其是对商业银行有关的各项监管政策比较熟悉。2011年12月任平安银行资产托管部副总经理；2013年5月起任平安银行资产托管事业部副总裁（主持工作）；2015年3月5日起任平安银行资产托管事业部总裁。</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3、基金托管业务经营情况</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2008年8月15日获得中国证监会、银监会核准开办证券投资基金托管业务。</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截至2020年6月末，平安银行股份有限公司托管证券投资基金净值规模合计4200.97亿，托管证券投资基金共141只，具体包括华富价值增长灵活配置混合型证券投资基金、华富量子生命力股票型证券投资基金、长信可转债债券型证券投资基金、招商保证金快线货币市场基金、平安日增利货币市场基金、新华鑫益灵活配置混合型证券投资基金、东吴中证可转换债券指数分级证券投资基金、平安财富宝货币市场基金、红塔红土盛世普益灵活配置混合型发起式证券投资基金、新华活期添利货币市场证券投资基金、民生加银优选股票型证券投资基金、新华增盈回报债券型证券投资基金、鹏华安盈宝货币市场基金、平安新鑫先锋混合型证券投资基金、新华万银多元策略灵活配置混合型证券投资基金、中海进取收益灵活配置混合型证券投资基金、东吴移动互联灵活配置混合型证券投资基金、平安智慧中国灵活配置混合型证券投资基金、国金通用鑫新灵活配置混合型证券投资基金（LOF）、嘉合磐石混合型证券投资基金、平安鑫享混合型证券投资基金、广发聚盛灵活配置混合型证券投资基金、鹏华弘安灵活配置混合型证券投资基金、博时裕泰纯债债券型证券投资基金、中海顺鑫保本混合型证券投资基金、东方红睿轩沪港深灵活配置混合型证券投资基金、浙商汇金转型升级灵活配置混合型证券投资基金、广发安泽回报纯债债券型证券投资基金、博时裕景纯债债券型证券投资基金、平安惠盈纯债债券型证券投资基金、长城久源保本混合型证券投资基金、平安安盈保本混合型证券投资基金、嘉实稳盛债券型证券投资基金、长信先锐债券型证券投资基金、华润元大现金通货币市场基金、平安鼎信定期开放债券型证券投资基金、平安鼎泰灵活配置混合型证券投资基金</w:t>
      </w:r>
      <w:r>
        <w:rPr>
          <w:rFonts w:ascii="宋体" w:hAnsi="宋体"/>
          <w:szCs w:val="21"/>
        </w:rPr>
        <w:t>(LOF)</w:t>
      </w:r>
      <w:r>
        <w:rPr>
          <w:rFonts w:ascii="宋体" w:hAnsi="宋体" w:hint="eastAsia"/>
          <w:szCs w:val="21"/>
        </w:rPr>
        <w:t>、南方荣欢定期开放混合型发起式证券投资基金、长信富平纯债一年定期开放债券型证券投资基金、中海合嘉增强收益债券型证券投资基金、富兰克林国海新活力灵活配置混合型证券投资基金、南方颐元债券型发起式证券投资基金、鹏华弘惠灵活配置混合型证券投资基金、鹏华兴安定期开放灵活配置混合型证券投资基金、西部利得天添利货币市场基金、博时安祺一年定期开放债券型证券投资基金、安信活期宝货币市场基金、广发鑫源灵活配置混合型证券投资基金、平安惠享纯债债券型证券投资基金、广发安悦回报灵活配置混合型证券投资基金、平安惠融纯债债券型证券投资基金、广发沪港深新起点股票型证券投资基金、平安惠金定期开放债券型证券投资基金、博时丰达纯债6个月定</w:t>
      </w:r>
      <w:r>
        <w:rPr>
          <w:rFonts w:ascii="宋体" w:hAnsi="宋体" w:hint="eastAsia"/>
          <w:szCs w:val="21"/>
        </w:rPr>
        <w:lastRenderedPageBreak/>
        <w:t>期开放债券型发起式证券投资基金、英大睿鑫灵活配置混合型证券投资基金、西部利得新动力灵活配置混合型证券投资基金、平安惠利纯债债券型证券投资基金、长盛盛丰灵活配置混合型证券投资基金、鹏华丰盈债券型证券投资基金、平安惠隆纯债债券型证券投资基金、平安金管家货币市场基金、平安鑫利定期开放灵活配置混合型证券投资基金、华泰柏瑞享利灵活配置混合型证券投资基金、广发汇平一年定期开放债券型证券投资基金、平安中证沪港深高股息精选指数型证券投资基金、前海开源聚财宝货币市场基金、前海开源沪港深隆鑫灵活配置混合型证券投资基金、金鹰添荣纯债债券型证券投资基金、西部利得汇享债券型证券投资基金、鹏华丰玉债券型证券投资基金、华安睿安定期开放混合型证券投资基金、西部利得久安回报灵活配置混合型证券投资基金、广发汇安18个月定期开放债券型证券投资基金、平安转型创新灵活配置混合型证券投资基金、南方和元债券型证券投资基金、兴银消费新趋势灵活配置混合型证券投资基金、南方高元债券型发起式证券投资基金、易方达瑞智灵活配置混合型证券投资基金、平安惠泽纯债债券型证券投资基金、南方智造未来股票型证券投资基金、万家安弘纯债一年定期开放债券型证券投资基金、平安量化先锋混合型发起式证券投资基金、平安沪深300指数量化增强证券投资基金、平安合正定期开放纯债债券型发起式证券投资基金、嘉合磐通债券型证券投资基金、华夏鼎旺三个月定期开放债券型发起式证券投资基金、博时富安纯债3个月定期开放债券型发起式证券投资基金、富荣福鑫灵活配置混合型证券投资基金、富荣福锦混合型证券投资基金、前海开源丰鑫灵活配置混合型证券投资基金、平安中证500交易型开放式指数证券投资基金（ETF）、汇添富鑫成定期开放债券型发起式证券投资基金、平安合韵定期开放纯债债券型发起式证券投资基金、易方达恒安定期开放债券型发起式证券投资基金、中银证券汇享定期开放债券型发起式证券投资基金、平安MSCI中国A股低波动交易型开放式指数证券投资基金（ETF）、平安合悦定期开放债券型发起式证券投资基金、平安中证500交易型开放式指数证券投资基金联接基金、中金瑞祥灵活配置混合型证券投资基金、招商添荣3个月定期开放债券型发起式证券投资基金、平安中证5-10年期国债活跃券交易型开放式指数证券投资基金、平安中债-中高等级公司债利差因子交易型开放式指数证券投资基金、平安季添盈三个月定期开放债券型证券投资基金、人保鑫泽纯债债券型证券投资基金、长江量化匠心甄选股票型证券投资基金、华夏中债1-3年政策性金融债指数证券投资基金、兴业养老目标日期2035三年持有期混合型发起式基金中基金（FOF）、诺德策略精选混合型证券投资基金、国泰瑞安三个月定期开放债券型发起式证券投资基金、西部利得添盈短债债券型证券投资基金、华安安平6个月定期开放债券型发起式证券投资基金、中庚价值灵动灵活配置混合型证券投资基金、凯石源混合型证券投资基金、平安季开鑫三个月定期开放债券型证券投资基金、中银康享3个月定期开放债券型发起式证券投资基金、同泰开泰混合型证券投资基金、鹏华浮动净值型发起式货币市场基金、南方聪元债券型发起式证券投资基金、平安季享裕三个月定期开放债券型证券投资基金、建信中债5-10年国开行债券指数证券投资基金、华泰柏瑞锦泰一年定期开放债券型证券投资基金、</w:t>
      </w:r>
      <w:r>
        <w:rPr>
          <w:rFonts w:ascii="宋体" w:hAnsi="宋体" w:hint="eastAsia"/>
          <w:szCs w:val="21"/>
        </w:rPr>
        <w:lastRenderedPageBreak/>
        <w:t>嘉实致安3个月定期开放债券型发起式证券投资基金、中证800交易型开放式指数证券投资基金、工银瑞信瑞弘三个月定期开放债券型发起式证券投资基金、万家惠享39个月定期开放债券型证券投资基金、招商中债-1-3年高等级央企主题债券指数证券投资基金、平安乐顺39个月定期开放债券型证券投资基金、长信中证可转债及可交换债券50指数证券投资基金、平安科技创新混合型证券投资基金、淳厚中短债债券型证券投资基金、平安合聚1年定期开放债券型发起式证券投资基金、浦银安盛盛熙一年定期开放债券型发起式证券投资基金、红塔红土盛平中短债债券型证券投资基金、中航瑞明纯债债券型证券投资基金、平安科技创新3年封闭运作灵活配置混合型证券投资基金、平安合享1年定期开放债券型发起式证券投资基金、平安增鑫六个月定期开放债券型证券投资基金、上投摩根MSCI中国A股交易型开放式指数证券投资基金、银华沪深股通精选混合型证券投资基金、朱雀企业优胜股票型证券投资基金、嘉合同顺智选股票型证券投资基金、招商瑞信稳健配置混合型证券投资基金。</w:t>
      </w:r>
    </w:p>
    <w:p w:rsidR="00D5306E" w:rsidRDefault="00D5306E">
      <w:pPr>
        <w:spacing w:line="360" w:lineRule="auto"/>
        <w:ind w:firstLineChars="200" w:firstLine="420"/>
        <w:outlineLvl w:val="0"/>
        <w:rPr>
          <w:rFonts w:ascii="宋体" w:hAnsi="宋体"/>
          <w:szCs w:val="21"/>
        </w:rPr>
      </w:pPr>
    </w:p>
    <w:p w:rsidR="00D5306E" w:rsidRDefault="006D76AB">
      <w:pPr>
        <w:spacing w:line="360" w:lineRule="auto"/>
        <w:ind w:firstLineChars="200" w:firstLine="422"/>
        <w:outlineLvl w:val="0"/>
        <w:rPr>
          <w:rFonts w:ascii="宋体" w:hAnsi="宋体"/>
          <w:b/>
          <w:szCs w:val="21"/>
        </w:rPr>
      </w:pPr>
      <w:r>
        <w:rPr>
          <w:rFonts w:ascii="宋体" w:hAnsi="宋体" w:hint="eastAsia"/>
          <w:b/>
          <w:szCs w:val="21"/>
        </w:rPr>
        <w:t>二、基金托管人的内部风险控制制度说明</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1、内部控制目标</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作为基金托管人，平安银行股份有限公司严格遵守国家有关托管业务的法律法规、行业监管要求，自觉形成守法经营、规范运作的经营理念和经营风格；确保基金财产的安全完整，确保有关信息的真实、准确、完整、及时，保护基金份额持有人的合法权益；确保内部控制和风险管理体系的有效性；防范和化解经营风险，确保业务的安全、稳健运行，促进经营目标的实现。</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2、内部控制组织结构</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平安银行股份有限公司设有总行独立一级部门资产托管事业部，是全行资产托管业务的管理和运营部门，专门配备了专职内部监察稽核人员负责托管业务的内部控制和风险管理工作，具有独立行使监督稽核工作的职权和能力。</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3、内部控制制度及措施</w:t>
      </w:r>
    </w:p>
    <w:p w:rsidR="00D5306E" w:rsidRDefault="006D76AB">
      <w:pPr>
        <w:spacing w:line="360" w:lineRule="auto"/>
        <w:ind w:firstLineChars="200" w:firstLine="420"/>
        <w:outlineLvl w:val="0"/>
        <w:rPr>
          <w:rFonts w:ascii="宋体" w:hAnsi="宋体"/>
          <w:i/>
          <w:szCs w:val="21"/>
        </w:rPr>
      </w:pPr>
      <w:r>
        <w:rPr>
          <w:rFonts w:ascii="宋体" w:hAnsi="宋体" w:hint="eastAsia"/>
          <w:szCs w:val="21"/>
        </w:rPr>
        <w:t>资产托管事业部具备系统、完善的制度控制体系，建立了管理制度、控制制度、岗位职责、业务操作流程，可以保证托管业务的规范操作和顺利进行；取得基金从业资格的人员符合监管要求；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D5306E" w:rsidRDefault="006D76AB">
      <w:pPr>
        <w:spacing w:line="360" w:lineRule="auto"/>
        <w:ind w:firstLineChars="200" w:firstLine="422"/>
        <w:outlineLvl w:val="0"/>
        <w:rPr>
          <w:rFonts w:ascii="宋体" w:hAnsi="宋体"/>
          <w:b/>
          <w:szCs w:val="21"/>
        </w:rPr>
      </w:pPr>
      <w:r>
        <w:rPr>
          <w:rFonts w:ascii="宋体" w:hAnsi="宋体" w:hint="eastAsia"/>
          <w:b/>
          <w:szCs w:val="21"/>
        </w:rPr>
        <w:t>三、基金托管人对基金管理人运作基金进行监督的方法和程序</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1、监督方法</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依照《基金法》及其配套法规和基金合同的约定，监督所托管基金的投资运作。利用行业普遍使用的“资产托管业务系统——监控子系统”，严格按照现行法律法规以及基金合同</w:t>
      </w:r>
      <w:r>
        <w:rPr>
          <w:rFonts w:ascii="宋体" w:hAnsi="宋体" w:hint="eastAsia"/>
          <w:szCs w:val="21"/>
        </w:rPr>
        <w:lastRenderedPageBreak/>
        <w:t>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2、监督流程</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1）每工作日按时通过监控子系统，对各基金投资运作比例控制指标进行例行监控，发现投资比例超标等异常情况，向基金管理人发出书面通知，与基金管理人进行情况核实，督促其纠正，并及时报告中国证监会。</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（2）收到基金管理人的投资指令后，对涉及各基金的投资范围、投资对象及交易对手等内容进行合法合规性监督。</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（3）根据基金投资运作监督情况，定期编写基金投资运作监督报告，对各基金投资运作的合法合规性、投资独立性和风格显著性等方面进行评价，报送中国证监会。</w:t>
      </w:r>
    </w:p>
    <w:p w:rsidR="00D5306E" w:rsidRDefault="006D76AB">
      <w:pPr>
        <w:spacing w:line="360" w:lineRule="auto"/>
        <w:ind w:firstLineChars="200" w:firstLine="420"/>
        <w:outlineLvl w:val="0"/>
        <w:rPr>
          <w:rFonts w:ascii="宋体" w:hAnsi="宋体"/>
          <w:szCs w:val="21"/>
        </w:rPr>
      </w:pPr>
      <w:r>
        <w:rPr>
          <w:rFonts w:ascii="宋体" w:hAnsi="宋体" w:hint="eastAsia"/>
          <w:szCs w:val="21"/>
        </w:rPr>
        <w:t>（4）通过技术或非技术手段发现基金涉嫌违规交易，电话或书面要求管理人进行解释或举证，并及时报告中国证监会。</w:t>
      </w:r>
      <w:bookmarkEnd w:id="24"/>
      <w:bookmarkEnd w:id="25"/>
      <w:bookmarkEnd w:id="26"/>
    </w:p>
    <w:p w:rsidR="00D5306E" w:rsidRDefault="00D5306E">
      <w:pPr>
        <w:spacing w:line="360" w:lineRule="auto"/>
        <w:rPr>
          <w:rFonts w:ascii="Arial Unicode MS" w:hAnsi="Arial Unicode MS" w:cs="Arial"/>
          <w:sz w:val="24"/>
        </w:rPr>
        <w:sectPr w:rsidR="00D5306E">
          <w:footerReference w:type="default" r:id="rId25"/>
          <w:footerReference w:type="first" r:id="rId26"/>
          <w:pgSz w:w="11906" w:h="16838"/>
          <w:pgMar w:top="1440" w:right="1800" w:bottom="1440" w:left="1800" w:header="851" w:footer="992" w:gutter="0"/>
          <w:pgNumType w:start="1"/>
          <w:cols w:space="720"/>
          <w:titlePg/>
          <w:docGrid w:linePitch="312"/>
        </w:sectPr>
      </w:pPr>
    </w:p>
    <w:p w:rsidR="00D5306E" w:rsidRDefault="00D5306E">
      <w:pPr>
        <w:spacing w:line="360" w:lineRule="auto"/>
        <w:rPr>
          <w:rFonts w:ascii="Arial Unicode MS" w:hAnsi="Arial Unicode MS" w:cs="Arial"/>
          <w:sz w:val="24"/>
        </w:rPr>
      </w:pPr>
    </w:p>
    <w:p w:rsidR="00D5306E" w:rsidRDefault="006D76AB">
      <w:pPr>
        <w:pStyle w:val="11"/>
        <w:snapToGrid w:val="0"/>
        <w:spacing w:before="0" w:after="0" w:line="360" w:lineRule="auto"/>
        <w:ind w:firstLineChars="150" w:firstLine="422"/>
        <w:rPr>
          <w:rFonts w:ascii="Arial Unicode MS" w:eastAsia="宋体" w:hAnsi="Arial Unicode MS" w:cs="Arial"/>
          <w:b/>
          <w:bCs/>
          <w:sz w:val="28"/>
          <w:szCs w:val="28"/>
        </w:rPr>
      </w:pPr>
      <w:bookmarkStart w:id="27" w:name="_Toc214873594"/>
      <w:bookmarkStart w:id="28" w:name="_Toc317088142"/>
      <w:bookmarkStart w:id="29" w:name="_Toc47622417"/>
      <w:bookmarkStart w:id="30" w:name="_Toc335232693"/>
      <w:bookmarkStart w:id="31" w:name="_Toc429490282"/>
      <w:bookmarkStart w:id="32" w:name="_Toc320887644"/>
      <w:bookmarkStart w:id="33" w:name="_Toc317088539"/>
      <w:bookmarkStart w:id="34" w:name="_Toc47604309"/>
      <w:r>
        <w:rPr>
          <w:rFonts w:ascii="Arial Unicode MS" w:eastAsia="宋体" w:hAnsi="Arial Unicode MS" w:cs="Arial"/>
          <w:b/>
          <w:bCs/>
          <w:sz w:val="28"/>
          <w:szCs w:val="28"/>
        </w:rPr>
        <w:t>第五部分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相关服务机构</w:t>
      </w:r>
      <w:bookmarkEnd w:id="27"/>
      <w:bookmarkEnd w:id="28"/>
      <w:bookmarkEnd w:id="29"/>
      <w:bookmarkEnd w:id="30"/>
      <w:bookmarkEnd w:id="31"/>
      <w:bookmarkEnd w:id="32"/>
      <w:bookmarkEnd w:id="33"/>
      <w:bookmarkEnd w:id="34"/>
    </w:p>
    <w:p w:rsidR="00D5306E" w:rsidRDefault="00D5306E">
      <w:pPr>
        <w:spacing w:line="360" w:lineRule="auto"/>
        <w:rPr>
          <w:rFonts w:ascii="Arial Unicode MS" w:hAnsi="Arial Unicode MS"/>
        </w:rPr>
      </w:pPr>
    </w:p>
    <w:p w:rsidR="00D5306E" w:rsidRDefault="006D76AB">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一、基金份额</w:t>
      </w:r>
      <w:r>
        <w:rPr>
          <w:rFonts w:ascii="Arial Unicode MS" w:hAnsi="Arial Unicode MS" w:cs="Arial" w:hint="eastAsia"/>
          <w:b/>
          <w:szCs w:val="21"/>
        </w:rPr>
        <w:t>发售</w:t>
      </w:r>
      <w:r>
        <w:rPr>
          <w:rFonts w:ascii="Arial Unicode MS" w:hAnsi="Arial Unicode MS" w:cs="Arial"/>
          <w:b/>
          <w:szCs w:val="21"/>
        </w:rPr>
        <w:t>机构</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基金销售机构的具体名单见基金份额发售公告，基金管理人可依据实际情况增减、变更基金销售机构，并在基金管理人网站公示。</w:t>
      </w:r>
    </w:p>
    <w:p w:rsidR="00D5306E" w:rsidRDefault="006D76AB">
      <w:pPr>
        <w:snapToGrid w:val="0"/>
        <w:spacing w:line="360" w:lineRule="auto"/>
        <w:ind w:firstLineChars="200" w:firstLine="422"/>
        <w:rPr>
          <w:rFonts w:ascii="Arial Unicode MS" w:hAnsi="Arial Unicode MS" w:cs="Arial"/>
          <w:b/>
          <w:color w:val="000000"/>
          <w:szCs w:val="21"/>
        </w:rPr>
      </w:pPr>
      <w:r>
        <w:rPr>
          <w:rFonts w:ascii="Arial Unicode MS" w:hAnsi="Arial Unicode MS" w:cs="Arial"/>
          <w:b/>
          <w:color w:val="000000"/>
          <w:szCs w:val="21"/>
        </w:rPr>
        <w:t>二、登记机构</w:t>
      </w:r>
    </w:p>
    <w:p w:rsidR="00D5306E" w:rsidRDefault="006D76AB">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名称：博时基金管理有限公司</w:t>
      </w:r>
    </w:p>
    <w:p w:rsidR="00D5306E" w:rsidRDefault="006D76AB">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住所：</w:t>
      </w:r>
      <w:r>
        <w:rPr>
          <w:rFonts w:ascii="Arial Unicode MS" w:hAnsi="Arial Unicode MS" w:cs="Arial" w:hint="eastAsia"/>
          <w:color w:val="000000"/>
          <w:kern w:val="0"/>
          <w:szCs w:val="21"/>
        </w:rPr>
        <w:t>深圳市福田区莲花街道福新社区益田路</w:t>
      </w:r>
      <w:r>
        <w:rPr>
          <w:rFonts w:ascii="Arial Unicode MS" w:hAnsi="Arial Unicode MS" w:cs="Arial" w:hint="eastAsia"/>
          <w:color w:val="000000"/>
          <w:kern w:val="0"/>
          <w:szCs w:val="21"/>
        </w:rPr>
        <w:t>5999</w:t>
      </w:r>
      <w:r>
        <w:rPr>
          <w:rFonts w:ascii="Arial Unicode MS" w:hAnsi="Arial Unicode MS" w:cs="Arial" w:hint="eastAsia"/>
          <w:color w:val="000000"/>
          <w:kern w:val="0"/>
          <w:szCs w:val="21"/>
        </w:rPr>
        <w:t>号基金大厦</w:t>
      </w:r>
      <w:r>
        <w:rPr>
          <w:rFonts w:ascii="Arial Unicode MS" w:hAnsi="Arial Unicode MS" w:cs="Arial" w:hint="eastAsia"/>
          <w:color w:val="000000"/>
          <w:kern w:val="0"/>
          <w:szCs w:val="21"/>
        </w:rPr>
        <w:t>21</w:t>
      </w:r>
      <w:r>
        <w:rPr>
          <w:rFonts w:ascii="Arial Unicode MS" w:hAnsi="Arial Unicode MS" w:cs="Arial" w:hint="eastAsia"/>
          <w:color w:val="000000"/>
          <w:kern w:val="0"/>
          <w:szCs w:val="21"/>
        </w:rPr>
        <w:t>层</w:t>
      </w:r>
    </w:p>
    <w:p w:rsidR="00D5306E" w:rsidRDefault="006D76AB">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办公地址：</w:t>
      </w:r>
      <w:r>
        <w:rPr>
          <w:rFonts w:ascii="Arial Unicode MS" w:hAnsi="Arial Unicode MS" w:cs="Arial"/>
          <w:color w:val="000000"/>
        </w:rPr>
        <w:t>北京市建国门内大街</w:t>
      </w:r>
      <w:r>
        <w:rPr>
          <w:rFonts w:ascii="Arial Unicode MS" w:hAnsi="Arial Unicode MS" w:cs="Arial"/>
          <w:color w:val="000000"/>
        </w:rPr>
        <w:t>18</w:t>
      </w:r>
      <w:r>
        <w:rPr>
          <w:rFonts w:ascii="Arial Unicode MS" w:hAnsi="Arial Unicode MS" w:cs="Arial"/>
          <w:color w:val="000000"/>
        </w:rPr>
        <w:t>号恒基中心</w:t>
      </w:r>
      <w:r>
        <w:rPr>
          <w:rFonts w:ascii="Arial Unicode MS" w:hAnsi="Arial Unicode MS" w:cs="Arial"/>
          <w:color w:val="000000"/>
        </w:rPr>
        <w:t>1</w:t>
      </w:r>
      <w:r>
        <w:rPr>
          <w:rFonts w:ascii="Arial Unicode MS" w:hAnsi="Arial Unicode MS" w:cs="Arial"/>
          <w:color w:val="000000"/>
        </w:rPr>
        <w:t>座</w:t>
      </w:r>
      <w:r>
        <w:rPr>
          <w:rFonts w:ascii="Arial Unicode MS" w:hAnsi="Arial Unicode MS" w:cs="Arial"/>
          <w:color w:val="000000"/>
        </w:rPr>
        <w:t>23</w:t>
      </w:r>
      <w:r>
        <w:rPr>
          <w:rFonts w:ascii="Arial Unicode MS" w:hAnsi="Arial Unicode MS" w:cs="Arial"/>
          <w:color w:val="000000"/>
        </w:rPr>
        <w:t>层</w:t>
      </w:r>
    </w:p>
    <w:p w:rsidR="00D5306E" w:rsidRDefault="006D76AB">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法定代表人：</w:t>
      </w:r>
      <w:r>
        <w:rPr>
          <w:rFonts w:ascii="Arial Unicode MS" w:hAnsi="Arial Unicode MS" w:cs="Arial" w:hint="eastAsia"/>
          <w:color w:val="000000"/>
          <w:kern w:val="0"/>
          <w:szCs w:val="21"/>
        </w:rPr>
        <w:t>江向阳</w:t>
      </w:r>
    </w:p>
    <w:p w:rsidR="00D5306E" w:rsidRDefault="006D76AB">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电话：</w:t>
      </w:r>
      <w:r>
        <w:rPr>
          <w:rFonts w:ascii="Arial Unicode MS" w:hAnsi="Arial Unicode MS" w:cs="Arial"/>
          <w:color w:val="000000"/>
          <w:kern w:val="0"/>
          <w:szCs w:val="21"/>
        </w:rPr>
        <w:t>010-65171166</w:t>
      </w:r>
    </w:p>
    <w:p w:rsidR="00D5306E" w:rsidRDefault="006D76AB">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传真：</w:t>
      </w:r>
      <w:r>
        <w:rPr>
          <w:rFonts w:ascii="Arial Unicode MS" w:hAnsi="Arial Unicode MS" w:cs="Arial"/>
          <w:color w:val="000000"/>
          <w:kern w:val="0"/>
          <w:szCs w:val="21"/>
        </w:rPr>
        <w:t>010-65187068</w:t>
      </w:r>
    </w:p>
    <w:p w:rsidR="00D5306E" w:rsidRDefault="006D76AB">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联系人：</w:t>
      </w:r>
      <w:r>
        <w:rPr>
          <w:rFonts w:ascii="Arial Unicode MS" w:hAnsi="Arial Unicode MS" w:cs="Arial" w:hint="eastAsia"/>
          <w:color w:val="000000"/>
          <w:kern w:val="0"/>
          <w:szCs w:val="21"/>
        </w:rPr>
        <w:t>许鹏</w:t>
      </w:r>
    </w:p>
    <w:p w:rsidR="00D5306E" w:rsidRDefault="006D76AB">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w:t>
      </w:r>
      <w:r>
        <w:rPr>
          <w:rFonts w:ascii="Arial Unicode MS" w:hAnsi="Arial Unicode MS" w:hint="eastAsia"/>
          <w:b/>
          <w:bCs/>
        </w:rPr>
        <w:t>出具法律意见书的律师事务所</w:t>
      </w:r>
    </w:p>
    <w:p w:rsidR="00D5306E" w:rsidRDefault="006D76AB">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名称：上海源泰律师事务所</w:t>
      </w:r>
      <w:r>
        <w:rPr>
          <w:rFonts w:ascii="Arial" w:hAnsi="Arial" w:cs="Arial" w:hint="eastAsia"/>
          <w:color w:val="000000"/>
          <w:kern w:val="0"/>
          <w:szCs w:val="21"/>
        </w:rPr>
        <w:t xml:space="preserve"> </w:t>
      </w:r>
    </w:p>
    <w:p w:rsidR="00D5306E" w:rsidRDefault="006D76AB">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注册地址：上海市浦东新区浦东南路</w:t>
      </w:r>
      <w:r>
        <w:rPr>
          <w:rFonts w:ascii="Arial" w:hAnsi="Arial" w:cs="Arial" w:hint="eastAsia"/>
          <w:color w:val="000000"/>
          <w:kern w:val="0"/>
          <w:szCs w:val="21"/>
        </w:rPr>
        <w:t>256</w:t>
      </w:r>
      <w:r>
        <w:rPr>
          <w:rFonts w:ascii="Arial" w:hAnsi="Arial" w:cs="Arial" w:hint="eastAsia"/>
          <w:color w:val="000000"/>
          <w:kern w:val="0"/>
          <w:szCs w:val="21"/>
        </w:rPr>
        <w:t>号华夏银行大厦</w:t>
      </w:r>
      <w:r>
        <w:rPr>
          <w:rFonts w:ascii="Arial" w:hAnsi="Arial" w:cs="Arial" w:hint="eastAsia"/>
          <w:color w:val="000000"/>
          <w:kern w:val="0"/>
          <w:szCs w:val="21"/>
        </w:rPr>
        <w:t>14</w:t>
      </w:r>
      <w:r>
        <w:rPr>
          <w:rFonts w:ascii="Arial" w:hAnsi="Arial" w:cs="Arial" w:hint="eastAsia"/>
          <w:color w:val="000000"/>
          <w:kern w:val="0"/>
          <w:szCs w:val="21"/>
        </w:rPr>
        <w:t>楼</w:t>
      </w:r>
      <w:r>
        <w:rPr>
          <w:rFonts w:ascii="Arial" w:hAnsi="Arial" w:cs="Arial" w:hint="eastAsia"/>
          <w:color w:val="000000"/>
          <w:kern w:val="0"/>
          <w:szCs w:val="21"/>
        </w:rPr>
        <w:t xml:space="preserve"> </w:t>
      </w:r>
    </w:p>
    <w:p w:rsidR="00D5306E" w:rsidRDefault="006D76AB">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办公地址：上海市浦东新区浦东南路</w:t>
      </w:r>
      <w:r>
        <w:rPr>
          <w:rFonts w:ascii="Arial" w:hAnsi="Arial" w:cs="Arial" w:hint="eastAsia"/>
          <w:color w:val="000000"/>
          <w:kern w:val="0"/>
          <w:szCs w:val="21"/>
        </w:rPr>
        <w:t>256</w:t>
      </w:r>
      <w:r>
        <w:rPr>
          <w:rFonts w:ascii="Arial" w:hAnsi="Arial" w:cs="Arial" w:hint="eastAsia"/>
          <w:color w:val="000000"/>
          <w:kern w:val="0"/>
          <w:szCs w:val="21"/>
        </w:rPr>
        <w:t>号华夏银行大厦</w:t>
      </w:r>
      <w:r>
        <w:rPr>
          <w:rFonts w:ascii="Arial" w:hAnsi="Arial" w:cs="Arial" w:hint="eastAsia"/>
          <w:color w:val="000000"/>
          <w:kern w:val="0"/>
          <w:szCs w:val="21"/>
        </w:rPr>
        <w:t>14</w:t>
      </w:r>
      <w:r>
        <w:rPr>
          <w:rFonts w:ascii="Arial" w:hAnsi="Arial" w:cs="Arial" w:hint="eastAsia"/>
          <w:color w:val="000000"/>
          <w:kern w:val="0"/>
          <w:szCs w:val="21"/>
        </w:rPr>
        <w:t>楼</w:t>
      </w:r>
      <w:r>
        <w:rPr>
          <w:rFonts w:ascii="Arial" w:hAnsi="Arial" w:cs="Arial" w:hint="eastAsia"/>
          <w:color w:val="000000"/>
          <w:kern w:val="0"/>
          <w:szCs w:val="21"/>
        </w:rPr>
        <w:t xml:space="preserve"> </w:t>
      </w:r>
    </w:p>
    <w:p w:rsidR="00D5306E" w:rsidRDefault="006D76AB">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负责人：廖海</w:t>
      </w:r>
      <w:r>
        <w:rPr>
          <w:rFonts w:ascii="Arial" w:hAnsi="Arial" w:cs="Arial" w:hint="eastAsia"/>
          <w:color w:val="000000"/>
          <w:kern w:val="0"/>
          <w:szCs w:val="21"/>
        </w:rPr>
        <w:t xml:space="preserve"> </w:t>
      </w:r>
    </w:p>
    <w:p w:rsidR="00D5306E" w:rsidRDefault="006D76AB">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电话：</w:t>
      </w:r>
      <w:r>
        <w:rPr>
          <w:rFonts w:ascii="Arial" w:hAnsi="Arial" w:cs="Arial" w:hint="eastAsia"/>
          <w:color w:val="000000"/>
          <w:kern w:val="0"/>
          <w:szCs w:val="21"/>
        </w:rPr>
        <w:t xml:space="preserve">021- 51150298 </w:t>
      </w:r>
    </w:p>
    <w:p w:rsidR="00D5306E" w:rsidRDefault="006D76AB">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传真：</w:t>
      </w:r>
      <w:r>
        <w:rPr>
          <w:rFonts w:ascii="Arial" w:hAnsi="Arial" w:cs="Arial" w:hint="eastAsia"/>
          <w:color w:val="000000"/>
          <w:kern w:val="0"/>
          <w:szCs w:val="21"/>
        </w:rPr>
        <w:t xml:space="preserve">021- 51150398 </w:t>
      </w:r>
    </w:p>
    <w:p w:rsidR="00D5306E" w:rsidRDefault="006D76AB">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联系人：刘佳</w:t>
      </w:r>
      <w:r>
        <w:rPr>
          <w:rFonts w:ascii="Arial" w:hAnsi="Arial" w:cs="Arial" w:hint="eastAsia"/>
          <w:color w:val="000000"/>
          <w:kern w:val="0"/>
          <w:szCs w:val="21"/>
        </w:rPr>
        <w:t xml:space="preserve"> </w:t>
      </w:r>
    </w:p>
    <w:p w:rsidR="00D5306E" w:rsidRDefault="006D76AB">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经办律师：廖海</w:t>
      </w:r>
      <w:r>
        <w:rPr>
          <w:rFonts w:ascii="Arial" w:hAnsi="Arial" w:cs="Arial"/>
          <w:color w:val="000000"/>
          <w:kern w:val="0"/>
          <w:szCs w:val="21"/>
        </w:rPr>
        <w:t>、</w:t>
      </w:r>
      <w:r>
        <w:rPr>
          <w:rFonts w:ascii="Arial" w:hAnsi="Arial" w:cs="Arial" w:hint="eastAsia"/>
          <w:color w:val="000000"/>
          <w:kern w:val="0"/>
          <w:szCs w:val="21"/>
        </w:rPr>
        <w:t>刘佳</w:t>
      </w:r>
    </w:p>
    <w:p w:rsidR="00D5306E" w:rsidRDefault="006D76AB">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四、</w:t>
      </w:r>
      <w:r>
        <w:rPr>
          <w:rFonts w:ascii="Arial Unicode MS" w:hAnsi="Arial Unicode MS" w:hint="eastAsia"/>
          <w:b/>
          <w:bCs/>
        </w:rPr>
        <w:t>审计基金财产的会计师事务所</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名称：安永华明会计师事务所（特殊普通合伙）</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住所：</w:t>
      </w:r>
      <w:r>
        <w:rPr>
          <w:rFonts w:ascii="Arial Unicode MS" w:hAnsi="Arial Unicode MS" w:cs="Arial" w:hint="eastAsia"/>
          <w:kern w:val="0"/>
          <w:szCs w:val="21"/>
        </w:rPr>
        <w:t xml:space="preserve"> </w:t>
      </w:r>
      <w:r>
        <w:rPr>
          <w:rFonts w:ascii="Arial Unicode MS" w:hAnsi="Arial Unicode MS" w:cs="Arial" w:hint="eastAsia"/>
          <w:kern w:val="0"/>
          <w:szCs w:val="21"/>
        </w:rPr>
        <w:t>北京市东城区东长安街</w:t>
      </w:r>
      <w:r>
        <w:rPr>
          <w:rFonts w:ascii="Arial Unicode MS" w:hAnsi="Arial Unicode MS" w:cs="Arial" w:hint="eastAsia"/>
          <w:kern w:val="0"/>
          <w:szCs w:val="21"/>
        </w:rPr>
        <w:t>1</w:t>
      </w:r>
      <w:r>
        <w:rPr>
          <w:rFonts w:ascii="Arial Unicode MS" w:hAnsi="Arial Unicode MS" w:cs="Arial" w:hint="eastAsia"/>
          <w:kern w:val="0"/>
          <w:szCs w:val="21"/>
        </w:rPr>
        <w:t>号东方广场安永大楼</w:t>
      </w:r>
      <w:r>
        <w:rPr>
          <w:rFonts w:ascii="Arial Unicode MS" w:hAnsi="Arial Unicode MS" w:cs="Arial" w:hint="eastAsia"/>
          <w:kern w:val="0"/>
          <w:szCs w:val="21"/>
        </w:rPr>
        <w:t>17</w:t>
      </w:r>
      <w:r>
        <w:rPr>
          <w:rFonts w:ascii="Arial Unicode MS" w:hAnsi="Arial Unicode MS" w:cs="Arial" w:hint="eastAsia"/>
          <w:kern w:val="0"/>
          <w:szCs w:val="21"/>
        </w:rPr>
        <w:t>层</w:t>
      </w:r>
      <w:r>
        <w:rPr>
          <w:rFonts w:ascii="Arial Unicode MS" w:hAnsi="Arial Unicode MS" w:cs="Arial" w:hint="eastAsia"/>
          <w:kern w:val="0"/>
          <w:szCs w:val="21"/>
        </w:rPr>
        <w:t>01-12</w:t>
      </w:r>
      <w:r>
        <w:rPr>
          <w:rFonts w:ascii="Arial Unicode MS" w:hAnsi="Arial Unicode MS" w:cs="Arial" w:hint="eastAsia"/>
          <w:kern w:val="0"/>
          <w:szCs w:val="21"/>
        </w:rPr>
        <w:t>室</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办公地址：北京市东城区东长安街</w:t>
      </w:r>
      <w:r>
        <w:rPr>
          <w:rFonts w:ascii="Arial Unicode MS" w:hAnsi="Arial Unicode MS" w:cs="Arial" w:hint="eastAsia"/>
          <w:kern w:val="0"/>
          <w:szCs w:val="21"/>
        </w:rPr>
        <w:t>1</w:t>
      </w:r>
      <w:r>
        <w:rPr>
          <w:rFonts w:ascii="Arial Unicode MS" w:hAnsi="Arial Unicode MS" w:cs="Arial" w:hint="eastAsia"/>
          <w:kern w:val="0"/>
          <w:szCs w:val="21"/>
        </w:rPr>
        <w:t>号东方广场安永大楼</w:t>
      </w:r>
      <w:r>
        <w:rPr>
          <w:rFonts w:ascii="Arial Unicode MS" w:hAnsi="Arial Unicode MS" w:cs="Arial" w:hint="eastAsia"/>
          <w:kern w:val="0"/>
          <w:szCs w:val="21"/>
        </w:rPr>
        <w:t>17</w:t>
      </w:r>
      <w:r>
        <w:rPr>
          <w:rFonts w:ascii="Arial Unicode MS" w:hAnsi="Arial Unicode MS" w:cs="Arial" w:hint="eastAsia"/>
          <w:kern w:val="0"/>
          <w:szCs w:val="21"/>
        </w:rPr>
        <w:t>层</w:t>
      </w:r>
      <w:r>
        <w:rPr>
          <w:rFonts w:ascii="Arial Unicode MS" w:hAnsi="Arial Unicode MS" w:cs="Arial" w:hint="eastAsia"/>
          <w:kern w:val="0"/>
          <w:szCs w:val="21"/>
        </w:rPr>
        <w:t>01-12</w:t>
      </w:r>
      <w:r>
        <w:rPr>
          <w:rFonts w:ascii="Arial Unicode MS" w:hAnsi="Arial Unicode MS" w:cs="Arial" w:hint="eastAsia"/>
          <w:kern w:val="0"/>
          <w:szCs w:val="21"/>
        </w:rPr>
        <w:t>室</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执行事务合伙人：毛鞍宁</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联系电话：（</w:t>
      </w:r>
      <w:r>
        <w:rPr>
          <w:rFonts w:ascii="Arial Unicode MS" w:hAnsi="Arial Unicode MS" w:cs="Arial" w:hint="eastAsia"/>
          <w:kern w:val="0"/>
          <w:szCs w:val="21"/>
        </w:rPr>
        <w:t>010</w:t>
      </w:r>
      <w:r>
        <w:rPr>
          <w:rFonts w:ascii="Arial Unicode MS" w:hAnsi="Arial Unicode MS" w:cs="Arial" w:hint="eastAsia"/>
          <w:kern w:val="0"/>
          <w:szCs w:val="21"/>
        </w:rPr>
        <w:t>）</w:t>
      </w:r>
      <w:r>
        <w:rPr>
          <w:rFonts w:ascii="Arial Unicode MS" w:hAnsi="Arial Unicode MS" w:cs="Arial" w:hint="eastAsia"/>
          <w:kern w:val="0"/>
          <w:szCs w:val="21"/>
        </w:rPr>
        <w:t>58153000</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传真电话：（</w:t>
      </w:r>
      <w:r>
        <w:rPr>
          <w:rFonts w:ascii="Arial Unicode MS" w:hAnsi="Arial Unicode MS" w:cs="Arial" w:hint="eastAsia"/>
          <w:kern w:val="0"/>
          <w:szCs w:val="21"/>
        </w:rPr>
        <w:t>010</w:t>
      </w:r>
      <w:r>
        <w:rPr>
          <w:rFonts w:ascii="Arial Unicode MS" w:hAnsi="Arial Unicode MS" w:cs="Arial" w:hint="eastAsia"/>
          <w:kern w:val="0"/>
          <w:szCs w:val="21"/>
        </w:rPr>
        <w:t>）</w:t>
      </w:r>
      <w:r>
        <w:rPr>
          <w:rFonts w:ascii="Arial Unicode MS" w:hAnsi="Arial Unicode MS" w:cs="Arial" w:hint="eastAsia"/>
          <w:kern w:val="0"/>
          <w:szCs w:val="21"/>
        </w:rPr>
        <w:t>85188298</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lastRenderedPageBreak/>
        <w:t>经办注册会计师：</w:t>
      </w:r>
      <w:r>
        <w:rPr>
          <w:rFonts w:ascii="Arial Unicode MS" w:hAnsi="Arial Unicode MS" w:cs="Arial" w:hint="eastAsia"/>
          <w:kern w:val="0"/>
          <w:szCs w:val="21"/>
        </w:rPr>
        <w:t xml:space="preserve"> </w:t>
      </w:r>
      <w:r>
        <w:rPr>
          <w:rFonts w:ascii="Arial Unicode MS" w:hAnsi="Arial Unicode MS" w:cs="Arial" w:hint="eastAsia"/>
          <w:kern w:val="0"/>
          <w:szCs w:val="21"/>
        </w:rPr>
        <w:t>王珊珊、贺耀</w:t>
      </w:r>
    </w:p>
    <w:p w:rsidR="00D5306E" w:rsidRDefault="006D76AB">
      <w:pPr>
        <w:adjustRightInd w:val="0"/>
        <w:snapToGrid w:val="0"/>
        <w:spacing w:line="360" w:lineRule="auto"/>
        <w:ind w:firstLineChars="200" w:firstLine="420"/>
        <w:rPr>
          <w:rFonts w:ascii="Arial Unicode MS" w:hAnsi="Arial Unicode MS" w:cs="Arial"/>
          <w:kern w:val="0"/>
          <w:szCs w:val="21"/>
        </w:rPr>
        <w:sectPr w:rsidR="00D5306E">
          <w:footerReference w:type="default" r:id="rId27"/>
          <w:pgSz w:w="11906" w:h="16838"/>
          <w:pgMar w:top="1440" w:right="1800" w:bottom="1440" w:left="1800" w:header="851" w:footer="992" w:gutter="0"/>
          <w:pgNumType w:start="1"/>
          <w:cols w:space="720"/>
          <w:titlePg/>
          <w:docGrid w:linePitch="312"/>
        </w:sectPr>
      </w:pPr>
      <w:r>
        <w:rPr>
          <w:rFonts w:ascii="Arial Unicode MS" w:hAnsi="Arial Unicode MS" w:cs="Arial" w:hint="eastAsia"/>
          <w:kern w:val="0"/>
          <w:szCs w:val="21"/>
        </w:rPr>
        <w:t>联系人：贺耀</w:t>
      </w:r>
    </w:p>
    <w:p w:rsidR="00D5306E" w:rsidRDefault="006D76AB">
      <w:pPr>
        <w:pStyle w:val="11"/>
        <w:snapToGrid w:val="0"/>
        <w:spacing w:before="0" w:after="0" w:line="360" w:lineRule="auto"/>
        <w:ind w:firstLineChars="150" w:firstLine="422"/>
        <w:rPr>
          <w:rFonts w:ascii="Arial Unicode MS" w:eastAsia="宋体" w:hAnsi="Arial Unicode MS" w:cs="Arial"/>
          <w:b/>
          <w:bCs/>
          <w:sz w:val="28"/>
          <w:szCs w:val="28"/>
        </w:rPr>
      </w:pPr>
      <w:bookmarkStart w:id="35" w:name="_Toc21073389"/>
      <w:bookmarkStart w:id="36" w:name="_Toc147463116"/>
      <w:bookmarkStart w:id="37" w:name="_Toc12357169"/>
      <w:bookmarkStart w:id="38" w:name="_Toc429490283"/>
      <w:bookmarkStart w:id="39" w:name="_Toc320887645"/>
      <w:bookmarkStart w:id="40" w:name="_Toc47604310"/>
      <w:bookmarkStart w:id="41" w:name="_Toc47622418"/>
      <w:bookmarkStart w:id="42" w:name="_Toc317088143"/>
      <w:bookmarkStart w:id="43" w:name="_Toc317088540"/>
      <w:bookmarkStart w:id="44" w:name="_Toc335232694"/>
      <w:bookmarkStart w:id="45" w:name="_Toc214873595"/>
      <w:r>
        <w:rPr>
          <w:rFonts w:ascii="Arial Unicode MS" w:eastAsia="宋体" w:hAnsi="Arial Unicode MS" w:cs="Arial"/>
          <w:b/>
          <w:bCs/>
          <w:sz w:val="28"/>
          <w:szCs w:val="28"/>
        </w:rPr>
        <w:lastRenderedPageBreak/>
        <w:t>第六部分</w:t>
      </w:r>
      <w:r>
        <w:rPr>
          <w:rFonts w:ascii="Arial Unicode MS" w:eastAsia="宋体" w:hAnsi="Arial Unicode MS" w:cs="Arial"/>
          <w:b/>
          <w:bCs/>
          <w:sz w:val="28"/>
          <w:szCs w:val="28"/>
        </w:rPr>
        <w:t xml:space="preserve">  </w:t>
      </w:r>
      <w:bookmarkEnd w:id="35"/>
      <w:bookmarkEnd w:id="36"/>
      <w:bookmarkEnd w:id="37"/>
      <w:r>
        <w:rPr>
          <w:rFonts w:ascii="Arial Unicode MS" w:eastAsia="宋体" w:hAnsi="Arial Unicode MS" w:cs="Arial"/>
          <w:b/>
          <w:bCs/>
          <w:sz w:val="28"/>
          <w:szCs w:val="28"/>
        </w:rPr>
        <w:t>基金份额的发售</w:t>
      </w:r>
      <w:bookmarkEnd w:id="38"/>
      <w:bookmarkEnd w:id="39"/>
      <w:bookmarkEnd w:id="40"/>
      <w:bookmarkEnd w:id="41"/>
      <w:bookmarkEnd w:id="42"/>
      <w:bookmarkEnd w:id="43"/>
      <w:bookmarkEnd w:id="44"/>
      <w:bookmarkEnd w:id="45"/>
    </w:p>
    <w:p w:rsidR="00D5306E" w:rsidRDefault="00D5306E">
      <w:pPr>
        <w:spacing w:line="360" w:lineRule="auto"/>
        <w:rPr>
          <w:rFonts w:ascii="Arial Unicode MS" w:hAnsi="Arial Unicode MS"/>
        </w:rPr>
      </w:pP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bookmarkStart w:id="46" w:name="_Toc147463117"/>
      <w:bookmarkStart w:id="47" w:name="_Toc12357170"/>
      <w:bookmarkStart w:id="48" w:name="_Toc21073390"/>
      <w:r>
        <w:rPr>
          <w:rFonts w:ascii="Arial Unicode MS" w:hAnsi="Arial Unicode MS" w:cs="Arial"/>
          <w:szCs w:val="21"/>
        </w:rPr>
        <w:t>基金管理人按照《基金法》、《运作办法》、《销售办法》、基金合同及其他有关规定募集本基金，并于</w:t>
      </w:r>
      <w:r>
        <w:rPr>
          <w:rFonts w:ascii="Arial Unicode MS" w:hAnsi="Arial Unicode MS" w:cs="Arial" w:hint="eastAsia"/>
          <w:szCs w:val="21"/>
        </w:rPr>
        <w:t>2020</w:t>
      </w:r>
      <w:r>
        <w:rPr>
          <w:rFonts w:ascii="Arial Unicode MS" w:hAnsi="Arial Unicode MS" w:cs="Arial" w:hint="eastAsia"/>
          <w:szCs w:val="21"/>
        </w:rPr>
        <w:t>年</w:t>
      </w:r>
      <w:r w:rsidR="004A3137">
        <w:rPr>
          <w:rFonts w:ascii="Arial Unicode MS" w:hAnsi="Arial Unicode MS" w:cs="Arial" w:hint="eastAsia"/>
          <w:szCs w:val="21"/>
        </w:rPr>
        <w:t>1</w:t>
      </w:r>
      <w:r w:rsidR="004A3137">
        <w:rPr>
          <w:rFonts w:ascii="Arial Unicode MS" w:hAnsi="Arial Unicode MS" w:cs="Arial"/>
          <w:szCs w:val="21"/>
        </w:rPr>
        <w:t>1</w:t>
      </w:r>
      <w:r>
        <w:rPr>
          <w:rFonts w:ascii="Arial Unicode MS" w:hAnsi="Arial Unicode MS" w:cs="Arial" w:hint="eastAsia"/>
          <w:szCs w:val="21"/>
        </w:rPr>
        <w:t>月</w:t>
      </w:r>
      <w:r w:rsidR="004A3137">
        <w:rPr>
          <w:rFonts w:ascii="Arial Unicode MS" w:hAnsi="Arial Unicode MS" w:cs="Arial" w:hint="eastAsia"/>
          <w:szCs w:val="21"/>
        </w:rPr>
        <w:t>7</w:t>
      </w:r>
      <w:r>
        <w:rPr>
          <w:rFonts w:ascii="Arial Unicode MS" w:hAnsi="Arial Unicode MS" w:cs="Arial" w:hint="eastAsia"/>
          <w:szCs w:val="21"/>
        </w:rPr>
        <w:t>日</w:t>
      </w:r>
      <w:r>
        <w:rPr>
          <w:rFonts w:ascii="Arial Unicode MS" w:hAnsi="Arial Unicode MS" w:cs="Arial"/>
          <w:szCs w:val="21"/>
        </w:rPr>
        <w:t>经</w:t>
      </w:r>
      <w:r>
        <w:rPr>
          <w:rFonts w:ascii="Arial Unicode MS" w:hAnsi="Arial Unicode MS" w:cs="Arial"/>
          <w:kern w:val="0"/>
          <w:szCs w:val="21"/>
        </w:rPr>
        <w:t>中国证监会证监许可</w:t>
      </w:r>
      <w:r>
        <w:rPr>
          <w:rFonts w:ascii="Arial Unicode MS" w:hAnsi="Arial Unicode MS" w:cs="Arial"/>
          <w:kern w:val="0"/>
          <w:szCs w:val="21"/>
        </w:rPr>
        <w:t>[20</w:t>
      </w:r>
      <w:r>
        <w:rPr>
          <w:rFonts w:ascii="Arial Unicode MS" w:hAnsi="Arial Unicode MS" w:cs="Arial" w:hint="eastAsia"/>
          <w:kern w:val="0"/>
          <w:szCs w:val="21"/>
        </w:rPr>
        <w:t>20</w:t>
      </w:r>
      <w:r>
        <w:rPr>
          <w:rFonts w:ascii="Arial Unicode MS" w:hAnsi="Arial Unicode MS" w:cs="Arial"/>
          <w:kern w:val="0"/>
          <w:szCs w:val="21"/>
        </w:rPr>
        <w:t>]</w:t>
      </w:r>
      <w:r w:rsidR="004A3137">
        <w:rPr>
          <w:rFonts w:ascii="Arial Unicode MS" w:hAnsi="Arial Unicode MS" w:cs="Arial"/>
          <w:kern w:val="0"/>
          <w:szCs w:val="21"/>
        </w:rPr>
        <w:t>3083</w:t>
      </w:r>
      <w:bookmarkStart w:id="49" w:name="_GoBack"/>
      <w:bookmarkEnd w:id="49"/>
      <w:r>
        <w:rPr>
          <w:rFonts w:ascii="Arial Unicode MS" w:hAnsi="Arial Unicode MS" w:cs="Arial"/>
          <w:kern w:val="0"/>
          <w:szCs w:val="21"/>
        </w:rPr>
        <w:t>号文</w:t>
      </w:r>
      <w:r>
        <w:rPr>
          <w:rFonts w:ascii="Arial Unicode MS" w:hAnsi="Arial Unicode MS" w:cs="Arial" w:hint="eastAsia"/>
          <w:kern w:val="0"/>
          <w:szCs w:val="21"/>
        </w:rPr>
        <w:t>予以</w:t>
      </w:r>
      <w:r>
        <w:rPr>
          <w:rFonts w:ascii="Arial Unicode MS" w:hAnsi="Arial Unicode MS" w:cs="Arial"/>
          <w:szCs w:val="21"/>
        </w:rPr>
        <w:t>募集</w:t>
      </w:r>
      <w:r>
        <w:rPr>
          <w:rFonts w:ascii="Arial Unicode MS" w:hAnsi="Arial Unicode MS" w:cs="Arial" w:hint="eastAsia"/>
          <w:szCs w:val="21"/>
        </w:rPr>
        <w:t>注册</w:t>
      </w:r>
      <w:r>
        <w:rPr>
          <w:rFonts w:ascii="Arial Unicode MS" w:hAnsi="Arial Unicode MS" w:cs="Arial"/>
          <w:szCs w:val="21"/>
        </w:rPr>
        <w:t>。</w:t>
      </w:r>
    </w:p>
    <w:p w:rsidR="00D5306E" w:rsidRDefault="006D76AB">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一、基金名称</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博时成长领航灵活配置混合型证券投资基金</w:t>
      </w:r>
    </w:p>
    <w:p w:rsidR="00D5306E" w:rsidRDefault="006D76AB">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二、基金类</w:t>
      </w:r>
      <w:r>
        <w:rPr>
          <w:rFonts w:ascii="Arial Unicode MS" w:hAnsi="Arial Unicode MS" w:cs="Arial" w:hint="eastAsia"/>
          <w:b/>
          <w:szCs w:val="21"/>
        </w:rPr>
        <w:t>别</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混合型证券投资基金</w:t>
      </w:r>
    </w:p>
    <w:p w:rsidR="00D5306E" w:rsidRDefault="006D76AB">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lang w:bidi="ar"/>
        </w:rPr>
        <w:t>三、基金的运作方式</w:t>
      </w:r>
      <w:r>
        <w:rPr>
          <w:rFonts w:ascii="Arial Unicode MS" w:hAnsi="Arial Unicode MS" w:cs="Arial" w:hint="eastAsia"/>
          <w:b/>
          <w:szCs w:val="21"/>
          <w:lang w:bidi="ar"/>
        </w:rPr>
        <w:t xml:space="preserve"> </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lang w:bidi="ar"/>
        </w:rPr>
        <w:t>契约型开放式</w:t>
      </w:r>
    </w:p>
    <w:p w:rsidR="00D5306E" w:rsidRDefault="006D76AB">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w:t>
      </w:r>
      <w:r>
        <w:rPr>
          <w:rFonts w:ascii="Arial Unicode MS" w:hAnsi="Arial Unicode MS" w:cs="Arial"/>
          <w:b/>
          <w:szCs w:val="21"/>
        </w:rPr>
        <w:t>、基金存续期限</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不定期</w:t>
      </w:r>
    </w:p>
    <w:p w:rsidR="00D5306E" w:rsidRDefault="006D76AB">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五</w:t>
      </w:r>
      <w:r>
        <w:rPr>
          <w:rFonts w:ascii="Arial Unicode MS" w:hAnsi="Arial Unicode MS" w:cs="Arial"/>
          <w:b/>
          <w:bCs/>
          <w:szCs w:val="21"/>
        </w:rPr>
        <w:t>、募集</w:t>
      </w:r>
      <w:r>
        <w:rPr>
          <w:rFonts w:ascii="Arial Unicode MS" w:hAnsi="Arial Unicode MS" w:cs="Arial" w:hint="eastAsia"/>
          <w:b/>
          <w:bCs/>
          <w:szCs w:val="21"/>
        </w:rPr>
        <w:t>对象</w:t>
      </w:r>
      <w:r>
        <w:rPr>
          <w:rFonts w:ascii="Arial Unicode MS" w:hAnsi="Arial Unicode MS" w:cs="Arial"/>
          <w:b/>
          <w:bCs/>
          <w:szCs w:val="21"/>
        </w:rPr>
        <w:t>与募集期</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本基金募集对象为</w:t>
      </w:r>
      <w:r>
        <w:rPr>
          <w:rFonts w:ascii="Arial Unicode MS" w:hAnsi="Arial Unicode MS" w:cs="Arial" w:hint="eastAsia"/>
          <w:szCs w:val="21"/>
        </w:rPr>
        <w:t>符合法律法规规定的可投资于证券投资基金的个人投资者、机构投资者、合格境外机构投资者和人民币合格境外机构投资者</w:t>
      </w:r>
      <w:r>
        <w:rPr>
          <w:rFonts w:ascii="Arial Unicode MS" w:hAnsi="Arial Unicode MS" w:cs="Arial"/>
          <w:szCs w:val="21"/>
        </w:rPr>
        <w:t>以及法律法规或中国证监会允许购买证券投资基金的其他投资者</w:t>
      </w:r>
      <w:r>
        <w:rPr>
          <w:rFonts w:ascii="Arial Unicode MS" w:hAnsi="Arial Unicode MS" w:cs="Arial" w:hint="eastAsia"/>
          <w:szCs w:val="21"/>
        </w:rPr>
        <w:t>。</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募集期自基金份额发售之日起不超过</w:t>
      </w:r>
      <w:r>
        <w:rPr>
          <w:rFonts w:ascii="Arial Unicode MS" w:hAnsi="Arial Unicode MS" w:cs="Arial"/>
          <w:szCs w:val="21"/>
        </w:rPr>
        <w:t>3</w:t>
      </w:r>
      <w:r>
        <w:rPr>
          <w:rFonts w:ascii="Arial Unicode MS" w:hAnsi="Arial Unicode MS" w:cs="Arial"/>
          <w:szCs w:val="21"/>
        </w:rPr>
        <w:t>个月，具体发售时间见基金份额发售公告。</w:t>
      </w:r>
    </w:p>
    <w:p w:rsidR="00D5306E" w:rsidRDefault="006D76AB">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w:t>
      </w:r>
      <w:r>
        <w:rPr>
          <w:rFonts w:ascii="Arial Unicode MS" w:hAnsi="Arial Unicode MS" w:cs="Arial" w:hint="eastAsia"/>
          <w:b/>
          <w:bCs/>
          <w:szCs w:val="21"/>
        </w:rPr>
        <w:t>基金份额类别设置</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本基金根据认购</w:t>
      </w:r>
      <w:r>
        <w:rPr>
          <w:rFonts w:ascii="Arial Unicode MS" w:hAnsi="Arial Unicode MS" w:cs="Arial" w:hint="eastAsia"/>
          <w:bCs/>
          <w:szCs w:val="21"/>
        </w:rPr>
        <w:t>/</w:t>
      </w:r>
      <w:r>
        <w:rPr>
          <w:rFonts w:ascii="Arial Unicode MS" w:hAnsi="Arial Unicode MS" w:cs="Arial" w:hint="eastAsia"/>
          <w:bCs/>
          <w:szCs w:val="21"/>
        </w:rPr>
        <w:t>申购费用、销售服务费收取方式的不同，将基金份额分为不同的类别。</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在投资者认购、申购时收取认购、申购费用，不从本类别基金资产中计提销售服务费的基金份额，称为</w:t>
      </w:r>
      <w:r>
        <w:rPr>
          <w:rFonts w:ascii="Arial Unicode MS" w:hAnsi="Arial Unicode MS" w:cs="Arial" w:hint="eastAsia"/>
          <w:bCs/>
          <w:szCs w:val="21"/>
        </w:rPr>
        <w:t>A</w:t>
      </w:r>
      <w:r>
        <w:rPr>
          <w:rFonts w:ascii="Arial Unicode MS" w:hAnsi="Arial Unicode MS" w:cs="Arial" w:hint="eastAsia"/>
          <w:bCs/>
          <w:szCs w:val="21"/>
        </w:rPr>
        <w:t>类基金份额；从本类别基金资产中计提销售服务费、不收取认购</w:t>
      </w:r>
      <w:r>
        <w:rPr>
          <w:rFonts w:ascii="Arial Unicode MS" w:hAnsi="Arial Unicode MS" w:cs="Arial" w:hint="eastAsia"/>
          <w:bCs/>
          <w:szCs w:val="21"/>
        </w:rPr>
        <w:t>/</w:t>
      </w:r>
      <w:r>
        <w:rPr>
          <w:rFonts w:ascii="Arial Unicode MS" w:hAnsi="Arial Unicode MS" w:cs="Arial" w:hint="eastAsia"/>
          <w:bCs/>
          <w:szCs w:val="21"/>
        </w:rPr>
        <w:t>申购费用的基金份额，称为</w:t>
      </w:r>
      <w:r>
        <w:rPr>
          <w:rFonts w:ascii="Arial Unicode MS" w:hAnsi="Arial Unicode MS" w:cs="Arial" w:hint="eastAsia"/>
          <w:bCs/>
          <w:szCs w:val="21"/>
        </w:rPr>
        <w:t>C</w:t>
      </w:r>
      <w:r>
        <w:rPr>
          <w:rFonts w:ascii="Arial Unicode MS" w:hAnsi="Arial Unicode MS" w:cs="Arial" w:hint="eastAsia"/>
          <w:bCs/>
          <w:szCs w:val="21"/>
        </w:rPr>
        <w:t>类基金份额。</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w:t>
      </w:r>
      <w:r>
        <w:rPr>
          <w:rFonts w:ascii="Arial Unicode MS" w:hAnsi="Arial Unicode MS" w:cs="Arial" w:hint="eastAsia"/>
          <w:bCs/>
          <w:szCs w:val="21"/>
        </w:rPr>
        <w:t>A</w:t>
      </w:r>
      <w:r>
        <w:rPr>
          <w:rFonts w:ascii="Arial Unicode MS" w:hAnsi="Arial Unicode MS" w:cs="Arial" w:hint="eastAsia"/>
          <w:bCs/>
          <w:szCs w:val="21"/>
        </w:rPr>
        <w:t>类和</w:t>
      </w:r>
      <w:r>
        <w:rPr>
          <w:rFonts w:ascii="Arial Unicode MS" w:hAnsi="Arial Unicode MS" w:cs="Arial" w:hint="eastAsia"/>
          <w:bCs/>
          <w:szCs w:val="21"/>
        </w:rPr>
        <w:t>C</w:t>
      </w:r>
      <w:r>
        <w:rPr>
          <w:rFonts w:ascii="Arial Unicode MS" w:hAnsi="Arial Unicode MS" w:cs="Arial" w:hint="eastAsia"/>
          <w:bCs/>
          <w:szCs w:val="21"/>
        </w:rPr>
        <w:t>类基金份额分别设置代码。由于基金费用的不同，本基金</w:t>
      </w:r>
      <w:r>
        <w:rPr>
          <w:rFonts w:ascii="Arial Unicode MS" w:hAnsi="Arial Unicode MS" w:cs="Arial" w:hint="eastAsia"/>
          <w:bCs/>
          <w:szCs w:val="21"/>
        </w:rPr>
        <w:t>A</w:t>
      </w:r>
      <w:r>
        <w:rPr>
          <w:rFonts w:ascii="Arial Unicode MS" w:hAnsi="Arial Unicode MS" w:cs="Arial" w:hint="eastAsia"/>
          <w:bCs/>
          <w:szCs w:val="21"/>
        </w:rPr>
        <w:t>类基金份额和</w:t>
      </w:r>
      <w:r>
        <w:rPr>
          <w:rFonts w:ascii="Arial Unicode MS" w:hAnsi="Arial Unicode MS" w:cs="Arial" w:hint="eastAsia"/>
          <w:bCs/>
          <w:szCs w:val="21"/>
        </w:rPr>
        <w:t>C</w:t>
      </w:r>
      <w:r>
        <w:rPr>
          <w:rFonts w:ascii="Arial Unicode MS" w:hAnsi="Arial Unicode MS" w:cs="Arial" w:hint="eastAsia"/>
          <w:bCs/>
          <w:szCs w:val="21"/>
        </w:rPr>
        <w:t>类基金份额将分别计算基金份额净值，计算公式为计算日各类别基金资产净值除以计算日发售在外的该类别基金份额总数。</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投资者可自行选择认购、申购的基金份额类别。本基金不同基金份额类别之间不得互相转换。</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不违反法律法规、基金合同以及不对基金份额持有人权益产生实质性不利影响的情况下，基金管理人可根据基金实际运作情况，在履行适当程序后，经与基金托管人协商一致，调整基金份额类别设置、对基金份额分类办法及规则进行调整、调整基金份额类别的费率结构、变更收费方式或者停止现有基金份额的销售等，此项调整无需召开基金份额持有人大会，</w:t>
      </w:r>
      <w:r>
        <w:rPr>
          <w:rFonts w:ascii="Arial Unicode MS" w:hAnsi="Arial Unicode MS" w:cs="Arial" w:hint="eastAsia"/>
          <w:bCs/>
          <w:szCs w:val="21"/>
        </w:rPr>
        <w:lastRenderedPageBreak/>
        <w:t>但须提前公告。</w:t>
      </w:r>
    </w:p>
    <w:p w:rsidR="00D5306E" w:rsidRDefault="006D76AB">
      <w:pPr>
        <w:adjustRightInd w:val="0"/>
        <w:snapToGrid w:val="0"/>
        <w:spacing w:line="360" w:lineRule="auto"/>
        <w:ind w:firstLineChars="200" w:firstLine="422"/>
        <w:rPr>
          <w:rFonts w:ascii="宋体" w:hAnsi="宋体" w:cs="Arial"/>
          <w:b/>
          <w:color w:val="000000"/>
          <w:kern w:val="0"/>
          <w:szCs w:val="21"/>
        </w:rPr>
      </w:pPr>
      <w:r>
        <w:rPr>
          <w:rFonts w:ascii="宋体" w:hAnsi="宋体" w:cs="Arial" w:hint="eastAsia"/>
          <w:b/>
          <w:color w:val="000000"/>
          <w:kern w:val="0"/>
          <w:szCs w:val="21"/>
        </w:rPr>
        <w:t>七、募集规模上限</w:t>
      </w:r>
    </w:p>
    <w:p w:rsidR="00D5306E" w:rsidRDefault="006D76AB">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本基金可设置首次募集规模上限，具体募集上限及规模控制的方案详见基金份额发售公告或其他公告。若本基金设置首次募集规模上限，基金合同生效后不受此募集规模的限制。</w:t>
      </w:r>
    </w:p>
    <w:p w:rsidR="00D5306E" w:rsidRDefault="006D76AB">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八、</w:t>
      </w:r>
      <w:r>
        <w:rPr>
          <w:rFonts w:ascii="Arial Unicode MS" w:hAnsi="Arial Unicode MS" w:cs="Arial"/>
          <w:b/>
          <w:bCs/>
          <w:szCs w:val="21"/>
        </w:rPr>
        <w:t>募集场所</w:t>
      </w:r>
    </w:p>
    <w:p w:rsidR="00D5306E" w:rsidRDefault="006D76AB">
      <w:pPr>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投资人应当在基金管理人</w:t>
      </w:r>
      <w:r>
        <w:rPr>
          <w:rFonts w:ascii="Arial Unicode MS" w:hAnsi="Arial Unicode MS" w:cs="Arial" w:hint="eastAsia"/>
          <w:kern w:val="0"/>
          <w:szCs w:val="21"/>
        </w:rPr>
        <w:t>及其</w:t>
      </w:r>
      <w:r>
        <w:rPr>
          <w:rFonts w:ascii="Arial Unicode MS" w:hAnsi="Arial Unicode MS" w:cs="Arial"/>
          <w:kern w:val="0"/>
          <w:szCs w:val="21"/>
        </w:rPr>
        <w:t>指定的</w:t>
      </w:r>
      <w:r>
        <w:rPr>
          <w:rFonts w:ascii="Arial Unicode MS" w:hAnsi="Arial Unicode MS" w:cs="Arial" w:hint="eastAsia"/>
          <w:kern w:val="0"/>
          <w:szCs w:val="21"/>
        </w:rPr>
        <w:t>基金销售机构</w:t>
      </w:r>
      <w:r>
        <w:rPr>
          <w:rFonts w:ascii="Arial Unicode MS" w:hAnsi="Arial Unicode MS" w:cs="Arial"/>
          <w:kern w:val="0"/>
          <w:szCs w:val="21"/>
        </w:rPr>
        <w:t>办理基金发售业务的营业场所或按</w:t>
      </w:r>
      <w:r>
        <w:rPr>
          <w:rFonts w:ascii="Arial Unicode MS" w:hAnsi="Arial Unicode MS" w:cs="Arial" w:hint="eastAsia"/>
          <w:kern w:val="0"/>
          <w:szCs w:val="21"/>
        </w:rPr>
        <w:t>基金销售</w:t>
      </w:r>
      <w:r>
        <w:rPr>
          <w:rFonts w:ascii="Arial Unicode MS" w:hAnsi="Arial Unicode MS" w:cs="Arial"/>
          <w:kern w:val="0"/>
          <w:szCs w:val="21"/>
        </w:rPr>
        <w:t>机构提供的其他方式办理基金的认购。</w:t>
      </w:r>
      <w:r>
        <w:rPr>
          <w:rFonts w:ascii="Arial Unicode MS" w:hAnsi="Arial Unicode MS" w:cs="Arial" w:hint="eastAsia"/>
          <w:kern w:val="0"/>
          <w:szCs w:val="21"/>
        </w:rPr>
        <w:t>基金销售</w:t>
      </w:r>
      <w:r>
        <w:rPr>
          <w:rFonts w:ascii="Arial Unicode MS" w:hAnsi="Arial Unicode MS" w:cs="Arial"/>
          <w:kern w:val="0"/>
          <w:szCs w:val="21"/>
        </w:rPr>
        <w:t>机构办理基金发售业务的地区、网点的具体情况和联系方法，请参见</w:t>
      </w:r>
      <w:r>
        <w:rPr>
          <w:rFonts w:ascii="Arial Unicode MS" w:hAnsi="Arial Unicode MS" w:cs="Arial" w:hint="eastAsia"/>
          <w:kern w:val="0"/>
          <w:szCs w:val="21"/>
        </w:rPr>
        <w:t>基金份额</w:t>
      </w:r>
      <w:r>
        <w:rPr>
          <w:rFonts w:ascii="Arial Unicode MS" w:hAnsi="Arial Unicode MS" w:cs="Arial"/>
          <w:kern w:val="0"/>
          <w:szCs w:val="21"/>
        </w:rPr>
        <w:t>发售公告以及当地</w:t>
      </w:r>
      <w:r>
        <w:rPr>
          <w:rFonts w:ascii="Arial Unicode MS" w:hAnsi="Arial Unicode MS" w:cs="Arial" w:hint="eastAsia"/>
          <w:kern w:val="0"/>
          <w:szCs w:val="21"/>
        </w:rPr>
        <w:t>基金销售</w:t>
      </w:r>
      <w:r>
        <w:rPr>
          <w:rFonts w:ascii="Arial Unicode MS" w:hAnsi="Arial Unicode MS" w:cs="Arial"/>
          <w:kern w:val="0"/>
          <w:szCs w:val="21"/>
        </w:rPr>
        <w:t>机构的公告。</w:t>
      </w:r>
    </w:p>
    <w:p w:rsidR="00D5306E" w:rsidRDefault="006D76AB">
      <w:pPr>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基金管理人可以根据情况增减或变更</w:t>
      </w:r>
      <w:r>
        <w:rPr>
          <w:rFonts w:ascii="Arial Unicode MS" w:hAnsi="Arial Unicode MS" w:cs="Arial" w:hint="eastAsia"/>
          <w:kern w:val="0"/>
          <w:szCs w:val="21"/>
        </w:rPr>
        <w:t>基金销售</w:t>
      </w:r>
      <w:r>
        <w:rPr>
          <w:rFonts w:ascii="Arial Unicode MS" w:hAnsi="Arial Unicode MS" w:cs="Arial"/>
          <w:kern w:val="0"/>
          <w:szCs w:val="21"/>
        </w:rPr>
        <w:t>机构</w:t>
      </w:r>
      <w:r>
        <w:rPr>
          <w:rFonts w:ascii="Arial Unicode MS" w:hAnsi="Arial Unicode MS" w:cs="Arial" w:hint="eastAsia"/>
          <w:kern w:val="0"/>
          <w:szCs w:val="21"/>
        </w:rPr>
        <w:t>，并在基金管理人网站公示</w:t>
      </w:r>
      <w:r>
        <w:rPr>
          <w:rFonts w:ascii="Arial Unicode MS" w:hAnsi="Arial Unicode MS" w:cs="Arial"/>
          <w:kern w:val="0"/>
          <w:szCs w:val="21"/>
        </w:rPr>
        <w:t>。</w:t>
      </w:r>
    </w:p>
    <w:p w:rsidR="00D5306E" w:rsidRDefault="006D76AB">
      <w:pPr>
        <w:adjustRightInd w:val="0"/>
        <w:snapToGrid w:val="0"/>
        <w:spacing w:line="360" w:lineRule="auto"/>
        <w:ind w:firstLineChars="200" w:firstLine="422"/>
        <w:rPr>
          <w:rFonts w:ascii="Arial Unicode MS" w:hAnsi="Arial Unicode MS" w:cs="Arial"/>
          <w:b/>
        </w:rPr>
      </w:pPr>
      <w:r>
        <w:rPr>
          <w:rFonts w:ascii="Arial Unicode MS" w:hAnsi="Arial Unicode MS" w:cs="Arial" w:hint="eastAsia"/>
          <w:b/>
        </w:rPr>
        <w:t>九、基金的</w:t>
      </w:r>
      <w:r>
        <w:rPr>
          <w:rFonts w:ascii="Arial Unicode MS" w:hAnsi="Arial Unicode MS" w:cs="Arial"/>
          <w:b/>
        </w:rPr>
        <w:t>发售</w:t>
      </w:r>
      <w:r>
        <w:rPr>
          <w:rFonts w:ascii="Arial Unicode MS" w:hAnsi="Arial Unicode MS" w:cs="Arial" w:hint="eastAsia"/>
          <w:b/>
        </w:rPr>
        <w:t>面值、认购价格和认购费用</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、发售面值：人民币</w:t>
      </w:r>
      <w:r>
        <w:rPr>
          <w:rFonts w:ascii="Arial Unicode MS" w:hAnsi="Arial Unicode MS" w:cs="Arial"/>
          <w:szCs w:val="21"/>
        </w:rPr>
        <w:t>1.00</w:t>
      </w:r>
      <w:r>
        <w:rPr>
          <w:rFonts w:ascii="Arial Unicode MS" w:hAnsi="Arial Unicode MS" w:cs="Arial"/>
          <w:szCs w:val="21"/>
        </w:rPr>
        <w:t>元</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、认购费用：</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类基金份额收取认购费用，</w:t>
      </w:r>
      <w:r>
        <w:rPr>
          <w:rFonts w:ascii="Arial Unicode MS" w:hAnsi="Arial Unicode MS" w:cs="Arial" w:hint="eastAsia"/>
          <w:szCs w:val="21"/>
        </w:rPr>
        <w:t>C</w:t>
      </w:r>
      <w:r>
        <w:rPr>
          <w:rFonts w:ascii="Arial Unicode MS" w:hAnsi="Arial Unicode MS" w:cs="Arial" w:hint="eastAsia"/>
          <w:szCs w:val="21"/>
        </w:rPr>
        <w:t>类基金份额不收取认购费用。投资人认购</w:t>
      </w:r>
      <w:r>
        <w:rPr>
          <w:rFonts w:ascii="Arial Unicode MS" w:hAnsi="Arial Unicode MS" w:cs="Arial" w:hint="eastAsia"/>
          <w:bCs/>
          <w:szCs w:val="21"/>
        </w:rPr>
        <w:t>A</w:t>
      </w:r>
      <w:r>
        <w:rPr>
          <w:rFonts w:ascii="Arial Unicode MS" w:hAnsi="Arial Unicode MS" w:cs="Arial" w:hint="eastAsia"/>
          <w:bCs/>
          <w:szCs w:val="21"/>
        </w:rPr>
        <w:t>类基金份额的，</w:t>
      </w:r>
      <w:r>
        <w:rPr>
          <w:rFonts w:ascii="Arial Unicode MS" w:hAnsi="Arial Unicode MS" w:cs="Arial" w:hint="eastAsia"/>
          <w:szCs w:val="21"/>
        </w:rPr>
        <w:t>在一天之内如果有多笔认购，适用费率按单笔分别计算。</w:t>
      </w:r>
    </w:p>
    <w:p w:rsidR="00D5306E" w:rsidRDefault="006D76AB">
      <w:pPr>
        <w:adjustRightInd w:val="0"/>
        <w:snapToGrid w:val="0"/>
        <w:spacing w:line="360" w:lineRule="auto"/>
        <w:ind w:firstLineChars="200" w:firstLine="420"/>
        <w:jc w:val="center"/>
        <w:rPr>
          <w:rFonts w:ascii="Arial Unicode MS" w:hAnsi="Arial Unicode MS" w:cs="Arial"/>
          <w:szCs w:val="21"/>
        </w:rPr>
      </w:pPr>
      <w:r>
        <w:rPr>
          <w:rFonts w:ascii="Arial Unicode MS" w:hAnsi="Arial Unicode MS" w:cs="Arial"/>
          <w:szCs w:val="21"/>
        </w:rPr>
        <w:t>表</w:t>
      </w:r>
      <w:r>
        <w:rPr>
          <w:rFonts w:ascii="Arial Unicode MS" w:hAnsi="Arial Unicode MS" w:cs="Arial" w:hint="eastAsia"/>
          <w:szCs w:val="21"/>
        </w:rPr>
        <w:t>1</w:t>
      </w:r>
      <w:r>
        <w:rPr>
          <w:rFonts w:ascii="Arial Unicode MS" w:hAnsi="Arial Unicode MS" w:cs="Arial"/>
          <w:szCs w:val="21"/>
        </w:rPr>
        <w:t>：</w:t>
      </w:r>
      <w:r>
        <w:rPr>
          <w:rFonts w:ascii="Arial Unicode MS" w:hAnsi="Arial Unicode MS" w:cs="Arial" w:hint="eastAsia"/>
          <w:szCs w:val="21"/>
        </w:rPr>
        <w:t>本基金的</w:t>
      </w:r>
      <w:r>
        <w:rPr>
          <w:rFonts w:ascii="Arial Unicode MS" w:hAnsi="Arial Unicode MS" w:cs="Arial"/>
          <w:szCs w:val="21"/>
        </w:rPr>
        <w:t>认购费率</w:t>
      </w:r>
    </w:p>
    <w:tbl>
      <w:tblPr>
        <w:tblW w:w="6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980"/>
        <w:gridCol w:w="1656"/>
      </w:tblGrid>
      <w:tr w:rsidR="00D5306E">
        <w:trPr>
          <w:jc w:val="center"/>
        </w:trPr>
        <w:tc>
          <w:tcPr>
            <w:tcW w:w="3194" w:type="dxa"/>
            <w:shd w:val="clear" w:color="auto" w:fill="auto"/>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金额（</w:t>
            </w:r>
            <w:r>
              <w:rPr>
                <w:rFonts w:ascii="Arial Unicode MS" w:hAnsi="Arial Unicode MS" w:cs="Arial" w:hint="eastAsia"/>
                <w:szCs w:val="21"/>
              </w:rPr>
              <w:t>M</w:t>
            </w:r>
            <w:r>
              <w:rPr>
                <w:rFonts w:ascii="Arial Unicode MS" w:hAnsi="Arial Unicode MS" w:cs="Arial" w:hint="eastAsia"/>
                <w:szCs w:val="21"/>
              </w:rPr>
              <w:t>）</w:t>
            </w:r>
          </w:p>
        </w:tc>
        <w:tc>
          <w:tcPr>
            <w:tcW w:w="1980" w:type="dxa"/>
            <w:shd w:val="clear" w:color="auto" w:fill="auto"/>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A</w:t>
            </w:r>
            <w:r>
              <w:rPr>
                <w:rFonts w:ascii="Arial Unicode MS" w:hAnsi="Arial Unicode MS" w:cs="Arial" w:hint="eastAsia"/>
                <w:szCs w:val="21"/>
              </w:rPr>
              <w:t>类基金份额认购费率</w:t>
            </w:r>
          </w:p>
        </w:tc>
        <w:tc>
          <w:tcPr>
            <w:tcW w:w="1656" w:type="dxa"/>
            <w:shd w:val="clear" w:color="auto" w:fill="auto"/>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C</w:t>
            </w:r>
            <w:r>
              <w:rPr>
                <w:rFonts w:ascii="Arial Unicode MS" w:hAnsi="Arial Unicode MS" w:cs="Arial" w:hint="eastAsia"/>
                <w:szCs w:val="21"/>
              </w:rPr>
              <w:t>类基金份额的认购费率</w:t>
            </w:r>
          </w:p>
        </w:tc>
      </w:tr>
      <w:tr w:rsidR="00D5306E">
        <w:trPr>
          <w:jc w:val="center"/>
        </w:trPr>
        <w:tc>
          <w:tcPr>
            <w:tcW w:w="3194" w:type="dxa"/>
            <w:shd w:val="clear" w:color="auto" w:fill="auto"/>
            <w:vAlign w:val="center"/>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M</w:t>
            </w:r>
            <w:r>
              <w:rPr>
                <w:rFonts w:ascii="Arial Unicode MS" w:hAnsi="Arial Unicode MS" w:cs="Arial" w:hint="eastAsia"/>
                <w:szCs w:val="21"/>
              </w:rPr>
              <w:t>＜</w:t>
            </w:r>
            <w:r>
              <w:rPr>
                <w:rFonts w:ascii="Arial Unicode MS" w:hAnsi="Arial Unicode MS" w:cs="Arial" w:hint="eastAsia"/>
                <w:szCs w:val="21"/>
              </w:rPr>
              <w:t>100</w:t>
            </w:r>
            <w:r>
              <w:rPr>
                <w:rFonts w:ascii="Arial Unicode MS" w:hAnsi="Arial Unicode MS" w:cs="Arial" w:hint="eastAsia"/>
                <w:szCs w:val="21"/>
              </w:rPr>
              <w:t>万元</w:t>
            </w:r>
          </w:p>
        </w:tc>
        <w:tc>
          <w:tcPr>
            <w:tcW w:w="1980" w:type="dxa"/>
            <w:shd w:val="clear" w:color="auto" w:fill="auto"/>
            <w:vAlign w:val="center"/>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1.20%</w:t>
            </w:r>
          </w:p>
        </w:tc>
        <w:tc>
          <w:tcPr>
            <w:tcW w:w="1656" w:type="dxa"/>
            <w:vMerge w:val="restart"/>
            <w:shd w:val="clear" w:color="auto" w:fill="auto"/>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0%</w:t>
            </w:r>
          </w:p>
        </w:tc>
      </w:tr>
      <w:tr w:rsidR="00D5306E">
        <w:trPr>
          <w:jc w:val="center"/>
        </w:trPr>
        <w:tc>
          <w:tcPr>
            <w:tcW w:w="3194" w:type="dxa"/>
            <w:shd w:val="clear" w:color="auto" w:fill="auto"/>
            <w:vAlign w:val="center"/>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100</w:t>
            </w:r>
            <w:r>
              <w:rPr>
                <w:rFonts w:ascii="Arial Unicode MS" w:hAnsi="Arial Unicode MS" w:cs="Arial" w:hint="eastAsia"/>
                <w:szCs w:val="21"/>
              </w:rPr>
              <w:t>万元≤</w:t>
            </w:r>
            <w:r>
              <w:rPr>
                <w:rFonts w:ascii="Arial Unicode MS" w:hAnsi="Arial Unicode MS" w:cs="Arial" w:hint="eastAsia"/>
                <w:szCs w:val="21"/>
              </w:rPr>
              <w:t>M</w:t>
            </w:r>
            <w:r>
              <w:rPr>
                <w:rFonts w:ascii="Arial Unicode MS" w:hAnsi="Arial Unicode MS" w:cs="Arial" w:hint="eastAsia"/>
                <w:szCs w:val="21"/>
              </w:rPr>
              <w:t>＜</w:t>
            </w:r>
            <w:r>
              <w:rPr>
                <w:rFonts w:ascii="Arial Unicode MS" w:hAnsi="Arial Unicode MS" w:cs="Arial" w:hint="eastAsia"/>
                <w:szCs w:val="21"/>
              </w:rPr>
              <w:t>300</w:t>
            </w:r>
            <w:r>
              <w:rPr>
                <w:rFonts w:ascii="Arial Unicode MS" w:hAnsi="Arial Unicode MS" w:cs="Arial" w:hint="eastAsia"/>
                <w:szCs w:val="21"/>
              </w:rPr>
              <w:t>万元</w:t>
            </w:r>
          </w:p>
        </w:tc>
        <w:tc>
          <w:tcPr>
            <w:tcW w:w="1980" w:type="dxa"/>
            <w:shd w:val="clear" w:color="auto" w:fill="auto"/>
            <w:vAlign w:val="center"/>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0.80%</w:t>
            </w:r>
          </w:p>
        </w:tc>
        <w:tc>
          <w:tcPr>
            <w:tcW w:w="1656" w:type="dxa"/>
            <w:vMerge/>
            <w:shd w:val="clear" w:color="auto" w:fill="auto"/>
          </w:tcPr>
          <w:p w:rsidR="00D5306E" w:rsidRDefault="00D5306E">
            <w:pPr>
              <w:snapToGrid w:val="0"/>
              <w:ind w:firstLineChars="200" w:firstLine="420"/>
              <w:rPr>
                <w:rFonts w:ascii="Arial Unicode MS" w:hAnsi="Arial Unicode MS" w:cs="Arial"/>
                <w:szCs w:val="21"/>
              </w:rPr>
            </w:pPr>
          </w:p>
        </w:tc>
      </w:tr>
      <w:tr w:rsidR="00D5306E">
        <w:trPr>
          <w:jc w:val="center"/>
        </w:trPr>
        <w:tc>
          <w:tcPr>
            <w:tcW w:w="3194" w:type="dxa"/>
            <w:shd w:val="clear" w:color="auto" w:fill="auto"/>
            <w:vAlign w:val="center"/>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300</w:t>
            </w:r>
            <w:r>
              <w:rPr>
                <w:rFonts w:ascii="Arial Unicode MS" w:hAnsi="Arial Unicode MS" w:cs="Arial" w:hint="eastAsia"/>
                <w:szCs w:val="21"/>
              </w:rPr>
              <w:t>万元≤</w:t>
            </w:r>
            <w:r>
              <w:rPr>
                <w:rFonts w:ascii="Arial Unicode MS" w:hAnsi="Arial Unicode MS" w:cs="Arial" w:hint="eastAsia"/>
                <w:szCs w:val="21"/>
              </w:rPr>
              <w:t>M</w:t>
            </w:r>
            <w:r>
              <w:rPr>
                <w:rFonts w:ascii="Arial Unicode MS" w:hAnsi="Arial Unicode MS" w:cs="Arial" w:hint="eastAsia"/>
                <w:szCs w:val="21"/>
              </w:rPr>
              <w:t>＜</w:t>
            </w:r>
            <w:r>
              <w:rPr>
                <w:rFonts w:ascii="Arial Unicode MS" w:hAnsi="Arial Unicode MS" w:cs="Arial" w:hint="eastAsia"/>
                <w:szCs w:val="21"/>
              </w:rPr>
              <w:t>500</w:t>
            </w:r>
            <w:r>
              <w:rPr>
                <w:rFonts w:ascii="Arial Unicode MS" w:hAnsi="Arial Unicode MS" w:cs="Arial" w:hint="eastAsia"/>
                <w:szCs w:val="21"/>
              </w:rPr>
              <w:t>万元</w:t>
            </w:r>
          </w:p>
        </w:tc>
        <w:tc>
          <w:tcPr>
            <w:tcW w:w="1980" w:type="dxa"/>
            <w:shd w:val="clear" w:color="auto" w:fill="auto"/>
            <w:vAlign w:val="center"/>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0.50%</w:t>
            </w:r>
          </w:p>
        </w:tc>
        <w:tc>
          <w:tcPr>
            <w:tcW w:w="1656" w:type="dxa"/>
            <w:vMerge/>
            <w:shd w:val="clear" w:color="auto" w:fill="auto"/>
          </w:tcPr>
          <w:p w:rsidR="00D5306E" w:rsidRDefault="00D5306E">
            <w:pPr>
              <w:snapToGrid w:val="0"/>
              <w:ind w:firstLineChars="200" w:firstLine="420"/>
              <w:rPr>
                <w:rFonts w:ascii="Arial Unicode MS" w:hAnsi="Arial Unicode MS" w:cs="Arial"/>
                <w:szCs w:val="21"/>
              </w:rPr>
            </w:pPr>
          </w:p>
        </w:tc>
      </w:tr>
      <w:tr w:rsidR="00D5306E">
        <w:trPr>
          <w:jc w:val="center"/>
        </w:trPr>
        <w:tc>
          <w:tcPr>
            <w:tcW w:w="3194" w:type="dxa"/>
            <w:shd w:val="clear" w:color="auto" w:fill="auto"/>
            <w:vAlign w:val="center"/>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M</w:t>
            </w:r>
            <w:r>
              <w:rPr>
                <w:rFonts w:ascii="Arial Unicode MS" w:hAnsi="Arial Unicode MS" w:cs="Arial" w:hint="eastAsia"/>
                <w:szCs w:val="21"/>
              </w:rPr>
              <w:t>≥</w:t>
            </w:r>
            <w:r>
              <w:rPr>
                <w:rFonts w:ascii="Arial Unicode MS" w:hAnsi="Arial Unicode MS" w:cs="Arial" w:hint="eastAsia"/>
                <w:szCs w:val="21"/>
              </w:rPr>
              <w:t>500</w:t>
            </w:r>
            <w:r>
              <w:rPr>
                <w:rFonts w:ascii="Arial Unicode MS" w:hAnsi="Arial Unicode MS" w:cs="Arial" w:hint="eastAsia"/>
                <w:szCs w:val="21"/>
              </w:rPr>
              <w:t>万元</w:t>
            </w:r>
          </w:p>
        </w:tc>
        <w:tc>
          <w:tcPr>
            <w:tcW w:w="1980" w:type="dxa"/>
            <w:shd w:val="clear" w:color="auto" w:fill="auto"/>
            <w:vAlign w:val="center"/>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1000</w:t>
            </w:r>
            <w:r>
              <w:rPr>
                <w:rFonts w:ascii="Arial Unicode MS" w:hAnsi="Arial Unicode MS" w:cs="Arial" w:hint="eastAsia"/>
                <w:szCs w:val="21"/>
              </w:rPr>
              <w:t>元</w:t>
            </w:r>
            <w:r>
              <w:rPr>
                <w:rFonts w:ascii="Arial Unicode MS" w:hAnsi="Arial Unicode MS" w:cs="Arial" w:hint="eastAsia"/>
                <w:szCs w:val="21"/>
              </w:rPr>
              <w:t>/</w:t>
            </w:r>
            <w:r>
              <w:rPr>
                <w:rFonts w:ascii="Arial Unicode MS" w:hAnsi="Arial Unicode MS" w:cs="Arial" w:hint="eastAsia"/>
                <w:szCs w:val="21"/>
              </w:rPr>
              <w:t>笔</w:t>
            </w:r>
          </w:p>
        </w:tc>
        <w:tc>
          <w:tcPr>
            <w:tcW w:w="1656" w:type="dxa"/>
            <w:vMerge/>
            <w:shd w:val="clear" w:color="auto" w:fill="auto"/>
          </w:tcPr>
          <w:p w:rsidR="00D5306E" w:rsidRDefault="00D5306E">
            <w:pPr>
              <w:snapToGrid w:val="0"/>
              <w:ind w:firstLineChars="200" w:firstLine="420"/>
              <w:rPr>
                <w:rFonts w:ascii="Arial Unicode MS" w:hAnsi="Arial Unicode MS" w:cs="Arial"/>
                <w:szCs w:val="21"/>
              </w:rPr>
            </w:pPr>
          </w:p>
        </w:tc>
      </w:tr>
    </w:tbl>
    <w:p w:rsidR="00D5306E" w:rsidRDefault="006D76AB">
      <w:pPr>
        <w:adjustRightInd w:val="0"/>
        <w:snapToGrid w:val="0"/>
        <w:spacing w:line="360" w:lineRule="auto"/>
        <w:ind w:firstLineChars="200" w:firstLine="420"/>
        <w:rPr>
          <w:rFonts w:ascii="Arial Unicode MS" w:hAnsi="Arial Unicode MS" w:cs="Arial"/>
          <w:szCs w:val="21"/>
        </w:rPr>
      </w:pPr>
      <w:r w:rsidRPr="00001619">
        <w:rPr>
          <w:rFonts w:ascii="Arial Unicode MS" w:hAnsi="Arial Unicode MS" w:cs="Arial" w:hint="eastAsia"/>
          <w:szCs w:val="21"/>
        </w:rPr>
        <w:t>基金管理人可以针对特定投资人（如养老金客户等）开展费率优惠活动，具体见基金管理人相关公告。</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3</w:t>
      </w:r>
      <w:r>
        <w:rPr>
          <w:rFonts w:ascii="Arial Unicode MS" w:hAnsi="Arial Unicode MS" w:cs="Arial" w:hint="eastAsia"/>
          <w:szCs w:val="21"/>
        </w:rPr>
        <w:t>、</w:t>
      </w:r>
      <w:r>
        <w:rPr>
          <w:rFonts w:ascii="Arial Unicode MS" w:hAnsi="Arial Unicode MS" w:cs="Arial"/>
          <w:szCs w:val="21"/>
        </w:rPr>
        <w:t>认购份额的计算</w:t>
      </w:r>
    </w:p>
    <w:p w:rsidR="00D5306E" w:rsidRDefault="006D76AB">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w:t>
      </w:r>
      <w:r>
        <w:rPr>
          <w:rFonts w:ascii="Arial Unicode MS" w:hAnsi="Arial Unicode MS" w:hint="eastAsia"/>
          <w:spacing w:val="8"/>
          <w:szCs w:val="21"/>
        </w:rPr>
        <w:t>1</w:t>
      </w:r>
      <w:r>
        <w:rPr>
          <w:rFonts w:ascii="Arial Unicode MS" w:hAnsi="Arial Unicode MS" w:hint="eastAsia"/>
          <w:spacing w:val="8"/>
          <w:szCs w:val="21"/>
        </w:rPr>
        <w:t>）本</w:t>
      </w:r>
      <w:r>
        <w:rPr>
          <w:rFonts w:ascii="Arial Unicode MS" w:hAnsi="Arial Unicode MS"/>
          <w:spacing w:val="8"/>
          <w:szCs w:val="21"/>
        </w:rPr>
        <w:t>基金</w:t>
      </w:r>
      <w:r>
        <w:rPr>
          <w:rFonts w:ascii="Arial Unicode MS" w:hAnsi="Arial Unicode MS" w:hint="eastAsia"/>
          <w:spacing w:val="8"/>
          <w:szCs w:val="21"/>
        </w:rPr>
        <w:t>A</w:t>
      </w:r>
      <w:r>
        <w:rPr>
          <w:rFonts w:ascii="Arial Unicode MS" w:hAnsi="Arial Unicode MS" w:hint="eastAsia"/>
          <w:spacing w:val="8"/>
          <w:szCs w:val="21"/>
        </w:rPr>
        <w:t>类基金</w:t>
      </w:r>
      <w:r>
        <w:rPr>
          <w:rFonts w:ascii="Arial Unicode MS" w:hAnsi="Arial Unicode MS"/>
          <w:spacing w:val="8"/>
          <w:szCs w:val="21"/>
        </w:rPr>
        <w:t>份额的认购份额的计算公式为：</w:t>
      </w:r>
    </w:p>
    <w:p w:rsidR="00D5306E" w:rsidRDefault="006D76AB">
      <w:pPr>
        <w:pStyle w:val="ab"/>
        <w:autoSpaceDE w:val="0"/>
        <w:autoSpaceDN w:val="0"/>
        <w:adjustRightInd w:val="0"/>
        <w:snapToGrid w:val="0"/>
        <w:spacing w:line="360" w:lineRule="auto"/>
        <w:ind w:firstLineChars="250" w:firstLine="565"/>
        <w:rPr>
          <w:rFonts w:ascii="Arial Unicode MS" w:hAnsi="Arial Unicode MS"/>
          <w:spacing w:val="8"/>
          <w:szCs w:val="21"/>
        </w:rPr>
      </w:pPr>
      <w:r>
        <w:rPr>
          <w:rFonts w:ascii="Arial Unicode MS" w:hAnsi="Arial Unicode MS" w:hint="eastAsia"/>
          <w:spacing w:val="8"/>
          <w:szCs w:val="21"/>
        </w:rPr>
        <w:t>1</w:t>
      </w:r>
      <w:r>
        <w:rPr>
          <w:rFonts w:ascii="Arial Unicode MS" w:hAnsi="Arial Unicode MS" w:hint="eastAsia"/>
          <w:spacing w:val="8"/>
          <w:szCs w:val="21"/>
        </w:rPr>
        <w:t>）认购费用适用比例费率的情形下：</w:t>
      </w:r>
    </w:p>
    <w:p w:rsidR="00D5306E" w:rsidRDefault="006D76AB">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净认购金额＝认购金额</w:t>
      </w:r>
      <w:r>
        <w:rPr>
          <w:rFonts w:ascii="Arial Unicode MS" w:hAnsi="Arial Unicode MS"/>
          <w:spacing w:val="8"/>
          <w:szCs w:val="21"/>
        </w:rPr>
        <w:t>/</w:t>
      </w:r>
      <w:r>
        <w:rPr>
          <w:rFonts w:ascii="Arial Unicode MS" w:hAnsi="Arial Unicode MS"/>
          <w:spacing w:val="8"/>
          <w:szCs w:val="21"/>
        </w:rPr>
        <w:t>（</w:t>
      </w:r>
      <w:r>
        <w:rPr>
          <w:rFonts w:ascii="Arial Unicode MS" w:hAnsi="Arial Unicode MS"/>
          <w:spacing w:val="8"/>
          <w:szCs w:val="21"/>
        </w:rPr>
        <w:t>1</w:t>
      </w:r>
      <w:r>
        <w:rPr>
          <w:rFonts w:ascii="Arial Unicode MS" w:hAnsi="Arial Unicode MS"/>
          <w:spacing w:val="8"/>
          <w:szCs w:val="21"/>
        </w:rPr>
        <w:t>＋认购费率）</w:t>
      </w:r>
    </w:p>
    <w:p w:rsidR="00D5306E" w:rsidRDefault="006D76AB">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认购费用＝认购金额－净认购金额</w:t>
      </w:r>
    </w:p>
    <w:p w:rsidR="00D5306E" w:rsidRDefault="006D76AB">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认购份额＝（净认购金额</w:t>
      </w:r>
      <w:r>
        <w:rPr>
          <w:rFonts w:ascii="Arial Unicode MS" w:hAnsi="Arial Unicode MS"/>
          <w:spacing w:val="8"/>
          <w:szCs w:val="21"/>
        </w:rPr>
        <w:t>＋</w:t>
      </w:r>
      <w:r>
        <w:rPr>
          <w:rFonts w:ascii="Arial Unicode MS" w:hAnsi="Arial Unicode MS" w:hint="eastAsia"/>
          <w:spacing w:val="8"/>
          <w:szCs w:val="21"/>
        </w:rPr>
        <w:t>认购期间利息）</w:t>
      </w:r>
      <w:r>
        <w:rPr>
          <w:rFonts w:ascii="Arial Unicode MS" w:hAnsi="Arial Unicode MS"/>
          <w:spacing w:val="8"/>
          <w:szCs w:val="21"/>
        </w:rPr>
        <w:t>/</w:t>
      </w:r>
      <w:r>
        <w:rPr>
          <w:rFonts w:ascii="Arial Unicode MS" w:hAnsi="Arial Unicode MS" w:hint="eastAsia"/>
          <w:spacing w:val="8"/>
          <w:szCs w:val="21"/>
        </w:rPr>
        <w:t>A</w:t>
      </w:r>
      <w:r>
        <w:rPr>
          <w:rFonts w:ascii="Arial Unicode MS" w:hAnsi="Arial Unicode MS" w:hint="eastAsia"/>
          <w:spacing w:val="8"/>
          <w:szCs w:val="21"/>
        </w:rPr>
        <w:t>类基金份额发售面值</w:t>
      </w:r>
    </w:p>
    <w:p w:rsidR="00D5306E" w:rsidRDefault="006D76AB">
      <w:pPr>
        <w:pStyle w:val="ab"/>
        <w:autoSpaceDE w:val="0"/>
        <w:autoSpaceDN w:val="0"/>
        <w:adjustRightInd w:val="0"/>
        <w:snapToGrid w:val="0"/>
        <w:spacing w:line="360" w:lineRule="auto"/>
        <w:ind w:firstLineChars="250" w:firstLine="565"/>
        <w:rPr>
          <w:rFonts w:ascii="Arial Unicode MS" w:hAnsi="Arial Unicode MS"/>
          <w:spacing w:val="8"/>
          <w:szCs w:val="21"/>
        </w:rPr>
      </w:pPr>
      <w:r>
        <w:rPr>
          <w:rFonts w:ascii="Arial Unicode MS" w:hAnsi="Arial Unicode MS" w:hint="eastAsia"/>
          <w:spacing w:val="8"/>
          <w:szCs w:val="21"/>
        </w:rPr>
        <w:t>2</w:t>
      </w:r>
      <w:r>
        <w:rPr>
          <w:rFonts w:ascii="Arial Unicode MS" w:hAnsi="Arial Unicode MS" w:hint="eastAsia"/>
          <w:spacing w:val="8"/>
          <w:szCs w:val="21"/>
        </w:rPr>
        <w:t>）认购费用适用固定金额的情形下：</w:t>
      </w:r>
    </w:p>
    <w:p w:rsidR="00D5306E" w:rsidRDefault="006D76AB">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认购费用＝固定金额</w:t>
      </w:r>
    </w:p>
    <w:p w:rsidR="00D5306E" w:rsidRDefault="006D76AB">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lastRenderedPageBreak/>
        <w:t>净认购金额＝认购金额</w:t>
      </w:r>
      <w:r>
        <w:rPr>
          <w:rFonts w:ascii="Arial Unicode MS" w:hAnsi="Arial Unicode MS" w:hint="eastAsia"/>
          <w:spacing w:val="8"/>
          <w:szCs w:val="21"/>
        </w:rPr>
        <w:t>-</w:t>
      </w:r>
      <w:r>
        <w:rPr>
          <w:rFonts w:ascii="Arial Unicode MS" w:hAnsi="Arial Unicode MS" w:hint="eastAsia"/>
          <w:spacing w:val="8"/>
          <w:szCs w:val="21"/>
        </w:rPr>
        <w:t>认购费用</w:t>
      </w:r>
    </w:p>
    <w:p w:rsidR="00D5306E" w:rsidRDefault="006D76AB">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认购份额＝（净认购金额</w:t>
      </w:r>
      <w:r>
        <w:rPr>
          <w:rFonts w:ascii="Arial Unicode MS" w:hAnsi="Arial Unicode MS"/>
          <w:spacing w:val="8"/>
          <w:szCs w:val="21"/>
        </w:rPr>
        <w:t>＋</w:t>
      </w:r>
      <w:r>
        <w:rPr>
          <w:rFonts w:ascii="Arial Unicode MS" w:hAnsi="Arial Unicode MS" w:hint="eastAsia"/>
          <w:spacing w:val="8"/>
          <w:szCs w:val="21"/>
        </w:rPr>
        <w:t>认购期间利息）</w:t>
      </w:r>
      <w:r>
        <w:rPr>
          <w:rFonts w:ascii="Arial Unicode MS" w:hAnsi="Arial Unicode MS"/>
          <w:spacing w:val="8"/>
          <w:szCs w:val="21"/>
        </w:rPr>
        <w:t>/</w:t>
      </w:r>
      <w:r>
        <w:rPr>
          <w:rFonts w:ascii="Arial Unicode MS" w:hAnsi="Arial Unicode MS" w:hint="eastAsia"/>
          <w:spacing w:val="8"/>
          <w:szCs w:val="21"/>
        </w:rPr>
        <w:t>A</w:t>
      </w:r>
      <w:r>
        <w:rPr>
          <w:rFonts w:ascii="Arial Unicode MS" w:hAnsi="Arial Unicode MS" w:hint="eastAsia"/>
          <w:spacing w:val="8"/>
          <w:szCs w:val="21"/>
        </w:rPr>
        <w:t>类基金份额发售面值</w:t>
      </w:r>
    </w:p>
    <w:p w:rsidR="00D5306E" w:rsidRDefault="006D76AB">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w:t>
      </w:r>
      <w:r>
        <w:rPr>
          <w:rFonts w:ascii="Arial Unicode MS" w:hAnsi="Arial Unicode MS" w:hint="eastAsia"/>
          <w:spacing w:val="8"/>
          <w:szCs w:val="21"/>
        </w:rPr>
        <w:t>2</w:t>
      </w:r>
      <w:r>
        <w:rPr>
          <w:rFonts w:ascii="Arial Unicode MS" w:hAnsi="Arial Unicode MS" w:hint="eastAsia"/>
          <w:spacing w:val="8"/>
          <w:szCs w:val="21"/>
        </w:rPr>
        <w:t>）本基金</w:t>
      </w:r>
      <w:r>
        <w:rPr>
          <w:rFonts w:ascii="Arial Unicode MS" w:hAnsi="Arial Unicode MS" w:hint="eastAsia"/>
          <w:spacing w:val="8"/>
          <w:szCs w:val="21"/>
        </w:rPr>
        <w:t>C</w:t>
      </w:r>
      <w:r>
        <w:rPr>
          <w:rFonts w:ascii="Arial Unicode MS" w:hAnsi="Arial Unicode MS" w:hint="eastAsia"/>
          <w:spacing w:val="8"/>
          <w:szCs w:val="21"/>
        </w:rPr>
        <w:t>类基金份额的认购份额的计算公式为：</w:t>
      </w:r>
    </w:p>
    <w:p w:rsidR="00D5306E" w:rsidRDefault="006D76AB">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w:t>
      </w:r>
      <w:r>
        <w:rPr>
          <w:rFonts w:ascii="Arial Unicode MS" w:hAnsi="Arial Unicode MS" w:hint="eastAsia"/>
          <w:spacing w:val="8"/>
          <w:szCs w:val="21"/>
        </w:rPr>
        <w:t>=</w:t>
      </w:r>
      <w:r>
        <w:rPr>
          <w:rFonts w:ascii="Arial Unicode MS" w:hAnsi="Arial Unicode MS" w:hint="eastAsia"/>
          <w:spacing w:val="8"/>
          <w:szCs w:val="21"/>
        </w:rPr>
        <w:t>（认购金额＋认购期间利息）</w:t>
      </w:r>
      <w:r>
        <w:rPr>
          <w:rFonts w:ascii="Arial Unicode MS" w:hAnsi="Arial Unicode MS" w:hint="eastAsia"/>
          <w:spacing w:val="8"/>
          <w:szCs w:val="21"/>
        </w:rPr>
        <w:t>/ C</w:t>
      </w:r>
      <w:r>
        <w:rPr>
          <w:rFonts w:ascii="Arial Unicode MS" w:hAnsi="Arial Unicode MS" w:hint="eastAsia"/>
          <w:spacing w:val="8"/>
          <w:szCs w:val="21"/>
        </w:rPr>
        <w:t>类基金份额发售面值</w:t>
      </w:r>
    </w:p>
    <w:p w:rsidR="00D5306E" w:rsidRDefault="006D76AB">
      <w:pPr>
        <w:pStyle w:val="a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spacing w:val="8"/>
          <w:szCs w:val="21"/>
        </w:rPr>
        <w:t>4</w:t>
      </w:r>
      <w:r>
        <w:rPr>
          <w:rFonts w:ascii="Arial Unicode MS" w:hAnsi="Arial Unicode MS"/>
          <w:spacing w:val="8"/>
          <w:szCs w:val="21"/>
        </w:rPr>
        <w:t>、计算举例</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rPr>
        <w:t>例</w:t>
      </w:r>
      <w:r>
        <w:rPr>
          <w:rFonts w:ascii="Arial Unicode MS" w:hAnsi="Arial Unicode MS" w:cs="Arial" w:hint="eastAsia"/>
        </w:rPr>
        <w:t>1</w:t>
      </w:r>
      <w:r>
        <w:rPr>
          <w:rFonts w:ascii="Arial Unicode MS" w:hAnsi="Arial Unicode MS" w:cs="Arial"/>
        </w:rPr>
        <w:t>：</w:t>
      </w:r>
      <w:r>
        <w:rPr>
          <w:rFonts w:ascii="Arial Unicode MS" w:hAnsi="Arial Unicode MS" w:cs="Arial" w:hint="eastAsia"/>
        </w:rPr>
        <w:t>某客户投资</w:t>
      </w:r>
      <w:r>
        <w:rPr>
          <w:rFonts w:ascii="Arial Unicode MS" w:hAnsi="Arial Unicode MS" w:cs="Arial" w:hint="eastAsia"/>
        </w:rPr>
        <w:t>1</w:t>
      </w:r>
      <w:r>
        <w:rPr>
          <w:rFonts w:ascii="Arial Unicode MS" w:hAnsi="Arial Unicode MS" w:cs="Arial" w:hint="eastAsia"/>
        </w:rPr>
        <w:t>万元认购本基金</w:t>
      </w:r>
      <w:r>
        <w:rPr>
          <w:rFonts w:ascii="Arial Unicode MS" w:hAnsi="Arial Unicode MS" w:cs="Arial" w:hint="eastAsia"/>
        </w:rPr>
        <w:t>A</w:t>
      </w:r>
      <w:r>
        <w:rPr>
          <w:rFonts w:ascii="Arial Unicode MS" w:hAnsi="Arial Unicode MS" w:cs="Arial" w:hint="eastAsia"/>
        </w:rPr>
        <w:t>类基金份额，该笔认购产生利息</w:t>
      </w:r>
      <w:r>
        <w:rPr>
          <w:rFonts w:ascii="Arial Unicode MS" w:hAnsi="Arial Unicode MS" w:cs="Arial" w:hint="eastAsia"/>
        </w:rPr>
        <w:t>2</w:t>
      </w:r>
      <w:r>
        <w:rPr>
          <w:rFonts w:ascii="Arial Unicode MS" w:hAnsi="Arial Unicode MS" w:cs="Arial" w:hint="eastAsia"/>
        </w:rPr>
        <w:t>元，对应认购费率为</w:t>
      </w:r>
      <w:r>
        <w:rPr>
          <w:rFonts w:ascii="Arial Unicode MS" w:hAnsi="Arial Unicode MS" w:cs="Arial" w:hint="eastAsia"/>
        </w:rPr>
        <w:t>1.20%</w:t>
      </w:r>
      <w:r>
        <w:rPr>
          <w:rFonts w:ascii="Arial Unicode MS" w:hAnsi="Arial Unicode MS" w:cs="Arial" w:hint="eastAsia"/>
        </w:rPr>
        <w:t>，则其可得到的认购份额为：</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净认购金额</w:t>
      </w:r>
      <w:r>
        <w:rPr>
          <w:rFonts w:ascii="Arial Unicode MS" w:hAnsi="Arial Unicode MS" w:cs="Arial" w:hint="eastAsia"/>
        </w:rPr>
        <w:t xml:space="preserve"> </w:t>
      </w:r>
      <w:r>
        <w:rPr>
          <w:rFonts w:ascii="Arial Unicode MS" w:hAnsi="Arial Unicode MS" w:cs="Arial" w:hint="eastAsia"/>
        </w:rPr>
        <w:t>＝</w:t>
      </w:r>
      <w:r>
        <w:rPr>
          <w:rFonts w:ascii="Arial Unicode MS" w:hAnsi="Arial Unicode MS" w:cs="Arial" w:hint="eastAsia"/>
        </w:rPr>
        <w:t xml:space="preserve"> 10,000/</w:t>
      </w:r>
      <w:r>
        <w:rPr>
          <w:rFonts w:ascii="Arial Unicode MS" w:hAnsi="Arial Unicode MS" w:cs="Arial" w:hint="eastAsia"/>
        </w:rPr>
        <w:t>（</w:t>
      </w:r>
      <w:r>
        <w:rPr>
          <w:rFonts w:ascii="Arial Unicode MS" w:hAnsi="Arial Unicode MS" w:cs="Arial" w:hint="eastAsia"/>
        </w:rPr>
        <w:t>1</w:t>
      </w:r>
      <w:r>
        <w:rPr>
          <w:rFonts w:ascii="Arial Unicode MS" w:hAnsi="Arial Unicode MS" w:cs="Arial" w:hint="eastAsia"/>
        </w:rPr>
        <w:t>＋</w:t>
      </w:r>
      <w:r>
        <w:rPr>
          <w:rFonts w:ascii="Arial Unicode MS" w:hAnsi="Arial Unicode MS" w:cs="Arial" w:hint="eastAsia"/>
        </w:rPr>
        <w:t>1.2%</w:t>
      </w:r>
      <w:r>
        <w:rPr>
          <w:rFonts w:ascii="Arial Unicode MS" w:hAnsi="Arial Unicode MS" w:cs="Arial" w:hint="eastAsia"/>
        </w:rPr>
        <w:t>）＝</w:t>
      </w:r>
      <w:r>
        <w:rPr>
          <w:rFonts w:ascii="Arial Unicode MS" w:hAnsi="Arial Unicode MS" w:cs="Arial" w:hint="eastAsia"/>
        </w:rPr>
        <w:t xml:space="preserve">9,881.42 </w:t>
      </w:r>
      <w:r>
        <w:rPr>
          <w:rFonts w:ascii="Arial Unicode MS" w:hAnsi="Arial Unicode MS" w:cs="Arial" w:hint="eastAsia"/>
        </w:rPr>
        <w:t>元</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认购费用</w:t>
      </w:r>
      <w:r>
        <w:rPr>
          <w:rFonts w:ascii="Arial Unicode MS" w:hAnsi="Arial Unicode MS" w:cs="Arial" w:hint="eastAsia"/>
        </w:rPr>
        <w:t xml:space="preserve"> </w:t>
      </w:r>
      <w:r>
        <w:rPr>
          <w:rFonts w:ascii="Arial Unicode MS" w:hAnsi="Arial Unicode MS" w:cs="Arial" w:hint="eastAsia"/>
        </w:rPr>
        <w:t>＝</w:t>
      </w:r>
      <w:r>
        <w:rPr>
          <w:rFonts w:ascii="Arial Unicode MS" w:hAnsi="Arial Unicode MS" w:cs="Arial" w:hint="eastAsia"/>
        </w:rPr>
        <w:t>10,000</w:t>
      </w:r>
      <w:r>
        <w:rPr>
          <w:rFonts w:ascii="Arial Unicode MS" w:hAnsi="Arial Unicode MS" w:cs="Arial" w:hint="eastAsia"/>
        </w:rPr>
        <w:t>－</w:t>
      </w:r>
      <w:r>
        <w:rPr>
          <w:rFonts w:ascii="Arial Unicode MS" w:hAnsi="Arial Unicode MS" w:cs="Arial" w:hint="eastAsia"/>
        </w:rPr>
        <w:t>9,881.42</w:t>
      </w:r>
      <w:r>
        <w:rPr>
          <w:rFonts w:ascii="Arial Unicode MS" w:hAnsi="Arial Unicode MS" w:cs="Arial" w:hint="eastAsia"/>
        </w:rPr>
        <w:t>＝</w:t>
      </w:r>
      <w:r>
        <w:rPr>
          <w:rFonts w:ascii="Arial Unicode MS" w:hAnsi="Arial Unicode MS" w:cs="Arial" w:hint="eastAsia"/>
        </w:rPr>
        <w:t xml:space="preserve">118.58 </w:t>
      </w:r>
      <w:r>
        <w:rPr>
          <w:rFonts w:ascii="Arial Unicode MS" w:hAnsi="Arial Unicode MS" w:cs="Arial" w:hint="eastAsia"/>
        </w:rPr>
        <w:t>元</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认购份额</w:t>
      </w:r>
      <w:r>
        <w:rPr>
          <w:rFonts w:ascii="Arial Unicode MS" w:hAnsi="Arial Unicode MS" w:cs="Arial" w:hint="eastAsia"/>
        </w:rPr>
        <w:t xml:space="preserve"> </w:t>
      </w:r>
      <w:r>
        <w:rPr>
          <w:rFonts w:ascii="Arial Unicode MS" w:hAnsi="Arial Unicode MS" w:cs="Arial" w:hint="eastAsia"/>
        </w:rPr>
        <w:t>＝</w:t>
      </w:r>
      <w:r>
        <w:rPr>
          <w:rFonts w:ascii="Arial Unicode MS" w:hAnsi="Arial Unicode MS" w:cs="Arial" w:hint="eastAsia"/>
        </w:rPr>
        <w:t>(9,881.42</w:t>
      </w:r>
      <w:r>
        <w:rPr>
          <w:rFonts w:ascii="Arial Unicode MS" w:hAnsi="Arial Unicode MS" w:cs="Arial" w:hint="eastAsia"/>
        </w:rPr>
        <w:t>＋</w:t>
      </w:r>
      <w:r>
        <w:rPr>
          <w:rFonts w:ascii="Arial Unicode MS" w:hAnsi="Arial Unicode MS" w:cs="Arial" w:hint="eastAsia"/>
        </w:rPr>
        <w:t>2.00)/1.00=9,883.42</w:t>
      </w:r>
      <w:r>
        <w:rPr>
          <w:rFonts w:ascii="Arial Unicode MS" w:hAnsi="Arial Unicode MS" w:cs="Arial" w:hint="eastAsia"/>
        </w:rPr>
        <w:t>份</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即：该客户投资</w:t>
      </w:r>
      <w:r>
        <w:rPr>
          <w:rFonts w:ascii="Arial Unicode MS" w:hAnsi="Arial Unicode MS" w:cs="Arial" w:hint="eastAsia"/>
        </w:rPr>
        <w:t>1</w:t>
      </w:r>
      <w:r>
        <w:rPr>
          <w:rFonts w:ascii="Arial Unicode MS" w:hAnsi="Arial Unicode MS" w:cs="Arial" w:hint="eastAsia"/>
        </w:rPr>
        <w:t>万元认购本基金</w:t>
      </w:r>
      <w:r>
        <w:rPr>
          <w:rFonts w:ascii="Arial Unicode MS" w:hAnsi="Arial Unicode MS" w:cs="Arial" w:hint="eastAsia"/>
        </w:rPr>
        <w:t>A</w:t>
      </w:r>
      <w:r>
        <w:rPr>
          <w:rFonts w:ascii="Arial Unicode MS" w:hAnsi="Arial Unicode MS" w:cs="Arial" w:hint="eastAsia"/>
        </w:rPr>
        <w:t>类基金份额，该笔认购产生利息</w:t>
      </w:r>
      <w:r>
        <w:rPr>
          <w:rFonts w:ascii="Arial Unicode MS" w:hAnsi="Arial Unicode MS" w:cs="Arial" w:hint="eastAsia"/>
        </w:rPr>
        <w:t>2</w:t>
      </w:r>
      <w:r>
        <w:rPr>
          <w:rFonts w:ascii="Arial Unicode MS" w:hAnsi="Arial Unicode MS" w:cs="Arial" w:hint="eastAsia"/>
        </w:rPr>
        <w:t>元，则其可获得</w:t>
      </w:r>
      <w:r>
        <w:rPr>
          <w:rFonts w:ascii="Arial Unicode MS" w:hAnsi="Arial Unicode MS" w:cs="Arial" w:hint="eastAsia"/>
        </w:rPr>
        <w:t>9,883.42</w:t>
      </w:r>
      <w:r>
        <w:rPr>
          <w:rFonts w:ascii="Arial Unicode MS" w:hAnsi="Arial Unicode MS" w:cs="Arial" w:hint="eastAsia"/>
        </w:rPr>
        <w:t>份</w:t>
      </w:r>
      <w:r>
        <w:rPr>
          <w:rFonts w:ascii="Arial Unicode MS" w:hAnsi="Arial Unicode MS" w:cs="Arial" w:hint="eastAsia"/>
        </w:rPr>
        <w:t>A</w:t>
      </w:r>
      <w:r>
        <w:rPr>
          <w:rFonts w:ascii="Arial Unicode MS" w:hAnsi="Arial Unicode MS" w:cs="Arial" w:hint="eastAsia"/>
        </w:rPr>
        <w:t>类基金份额。</w:t>
      </w:r>
    </w:p>
    <w:p w:rsidR="00D5306E" w:rsidRDefault="006D76AB">
      <w:pPr>
        <w:adjustRightInd w:val="0"/>
        <w:snapToGrid w:val="0"/>
        <w:spacing w:line="360" w:lineRule="auto"/>
        <w:ind w:firstLineChars="200" w:firstLine="420"/>
        <w:rPr>
          <w:rFonts w:ascii="Arial Unicode MS" w:hAnsi="Arial Unicode MS"/>
        </w:rPr>
      </w:pPr>
      <w:r>
        <w:rPr>
          <w:rFonts w:ascii="Arial Unicode MS" w:hAnsi="Arial Unicode MS" w:hint="eastAsia"/>
        </w:rPr>
        <w:t>例</w:t>
      </w:r>
      <w:r>
        <w:rPr>
          <w:rFonts w:ascii="Arial Unicode MS" w:hAnsi="Arial Unicode MS" w:hint="eastAsia"/>
        </w:rPr>
        <w:t>2</w:t>
      </w:r>
      <w:r>
        <w:rPr>
          <w:rFonts w:ascii="Arial Unicode MS" w:hAnsi="Arial Unicode MS" w:hint="eastAsia"/>
        </w:rPr>
        <w:t>：某投资人投资</w:t>
      </w:r>
      <w:r>
        <w:rPr>
          <w:rFonts w:ascii="Arial Unicode MS" w:hAnsi="Arial Unicode MS" w:hint="eastAsia"/>
        </w:rPr>
        <w:t>550</w:t>
      </w:r>
      <w:r>
        <w:rPr>
          <w:rFonts w:ascii="Arial Unicode MS" w:hAnsi="Arial Unicode MS" w:hint="eastAsia"/>
        </w:rPr>
        <w:t>万元认购本基金</w:t>
      </w:r>
      <w:r>
        <w:rPr>
          <w:rFonts w:ascii="Arial Unicode MS" w:hAnsi="Arial Unicode MS"/>
        </w:rPr>
        <w:t>C</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元，其对应的认购费用为</w:t>
      </w:r>
      <w:r>
        <w:rPr>
          <w:rFonts w:ascii="Arial Unicode MS" w:hAnsi="Arial Unicode MS"/>
        </w:rPr>
        <w:t>0</w:t>
      </w:r>
      <w:r>
        <w:rPr>
          <w:rFonts w:ascii="Arial Unicode MS" w:hAnsi="Arial Unicode MS" w:hint="eastAsia"/>
        </w:rPr>
        <w:t>元，则其可得到的认购份额为：</w:t>
      </w:r>
    </w:p>
    <w:p w:rsidR="00D5306E" w:rsidRDefault="006D76AB">
      <w:pPr>
        <w:adjustRightInd w:val="0"/>
        <w:snapToGrid w:val="0"/>
        <w:spacing w:line="360" w:lineRule="auto"/>
        <w:ind w:firstLineChars="200" w:firstLine="420"/>
        <w:rPr>
          <w:rFonts w:ascii="Arial Unicode MS" w:hAnsi="Arial Unicode MS"/>
        </w:rPr>
      </w:pPr>
      <w:r>
        <w:rPr>
          <w:rFonts w:ascii="Arial Unicode MS" w:hAnsi="Arial Unicode MS" w:hint="eastAsia"/>
        </w:rPr>
        <w:t>认购份额＝（</w:t>
      </w:r>
      <w:r>
        <w:rPr>
          <w:rFonts w:ascii="Arial Unicode MS" w:hAnsi="Arial Unicode MS"/>
        </w:rPr>
        <w:t>5,500,000</w:t>
      </w:r>
      <w:r>
        <w:rPr>
          <w:rFonts w:ascii="Arial Unicode MS" w:hAnsi="Arial Unicode MS" w:hint="eastAsia"/>
        </w:rPr>
        <w:t>+550</w:t>
      </w:r>
      <w:r>
        <w:rPr>
          <w:rFonts w:ascii="Arial Unicode MS" w:hAnsi="Arial Unicode MS" w:hint="eastAsia"/>
        </w:rPr>
        <w:t>）</w:t>
      </w:r>
      <w:r>
        <w:rPr>
          <w:rFonts w:ascii="Arial Unicode MS" w:hAnsi="Arial Unicode MS" w:hint="eastAsia"/>
        </w:rPr>
        <w:t>/1.00</w:t>
      </w:r>
      <w:r>
        <w:rPr>
          <w:rFonts w:ascii="Arial Unicode MS" w:hAnsi="Arial Unicode MS" w:hint="eastAsia"/>
        </w:rPr>
        <w:t>＝</w:t>
      </w:r>
      <w:r>
        <w:rPr>
          <w:rFonts w:ascii="Arial Unicode MS" w:hAnsi="Arial Unicode MS"/>
        </w:rPr>
        <w:t>5,500,550</w:t>
      </w:r>
      <w:r>
        <w:rPr>
          <w:rFonts w:ascii="Arial Unicode MS" w:hAnsi="Arial Unicode MS" w:hint="eastAsia"/>
        </w:rPr>
        <w:t>.00</w:t>
      </w:r>
      <w:r>
        <w:rPr>
          <w:rFonts w:ascii="Arial Unicode MS" w:hAnsi="Arial Unicode MS" w:hint="eastAsia"/>
        </w:rPr>
        <w:t>份</w:t>
      </w:r>
    </w:p>
    <w:p w:rsidR="00D5306E" w:rsidRDefault="006D76AB">
      <w:pPr>
        <w:adjustRightInd w:val="0"/>
        <w:snapToGrid w:val="0"/>
        <w:spacing w:line="360" w:lineRule="auto"/>
        <w:ind w:firstLineChars="200" w:firstLine="420"/>
        <w:rPr>
          <w:rFonts w:ascii="Arial Unicode MS" w:hAnsi="Arial Unicode MS"/>
        </w:rPr>
      </w:pPr>
      <w:r>
        <w:rPr>
          <w:rFonts w:ascii="Arial Unicode MS" w:hAnsi="Arial Unicode MS" w:hint="eastAsia"/>
        </w:rPr>
        <w:t>即：该投资人投资</w:t>
      </w:r>
      <w:r>
        <w:rPr>
          <w:rFonts w:ascii="Arial Unicode MS" w:hAnsi="Arial Unicode MS" w:hint="eastAsia"/>
        </w:rPr>
        <w:t>550</w:t>
      </w:r>
      <w:r>
        <w:rPr>
          <w:rFonts w:ascii="Arial Unicode MS" w:hAnsi="Arial Unicode MS" w:hint="eastAsia"/>
        </w:rPr>
        <w:t>万元认购本基金</w:t>
      </w:r>
      <w:r>
        <w:rPr>
          <w:rFonts w:ascii="Arial Unicode MS" w:hAnsi="Arial Unicode MS"/>
        </w:rPr>
        <w:t>C</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元，则其可得到</w:t>
      </w:r>
      <w:r>
        <w:rPr>
          <w:rFonts w:ascii="Arial Unicode MS" w:hAnsi="Arial Unicode MS"/>
        </w:rPr>
        <w:t>5,500,550.00</w:t>
      </w:r>
      <w:r>
        <w:rPr>
          <w:rFonts w:ascii="Arial Unicode MS" w:hAnsi="Arial Unicode MS" w:hint="eastAsia"/>
        </w:rPr>
        <w:t>份</w:t>
      </w:r>
      <w:r>
        <w:rPr>
          <w:rFonts w:ascii="Arial Unicode MS" w:hAnsi="Arial Unicode MS" w:hint="eastAsia"/>
        </w:rPr>
        <w:t>C</w:t>
      </w:r>
      <w:r>
        <w:rPr>
          <w:rFonts w:ascii="Arial Unicode MS" w:hAnsi="Arial Unicode MS" w:hint="eastAsia"/>
        </w:rPr>
        <w:t>类基金份额。</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5</w:t>
      </w:r>
      <w:r>
        <w:rPr>
          <w:rFonts w:ascii="Arial Unicode MS" w:hAnsi="Arial Unicode MS" w:cs="Arial" w:hint="eastAsia"/>
          <w:szCs w:val="21"/>
        </w:rPr>
        <w:t>、</w:t>
      </w:r>
      <w:r>
        <w:rPr>
          <w:rFonts w:ascii="Arial Unicode MS" w:hAnsi="Arial Unicode MS" w:cs="Arial"/>
          <w:szCs w:val="21"/>
        </w:rPr>
        <w:t>募集期利息的处理方式</w:t>
      </w:r>
    </w:p>
    <w:p w:rsidR="00D5306E" w:rsidRDefault="006D76AB">
      <w:pPr>
        <w:pStyle w:val="afff0"/>
        <w:adjustRightInd w:val="0"/>
        <w:snapToGrid w:val="0"/>
        <w:spacing w:after="0"/>
        <w:rPr>
          <w:rFonts w:ascii="Arial Unicode MS" w:hAnsi="Arial Unicode MS"/>
          <w:bCs w:val="0"/>
          <w:color w:val="auto"/>
        </w:rPr>
      </w:pPr>
      <w:r>
        <w:rPr>
          <w:rFonts w:ascii="Arial Unicode MS" w:hAnsi="Arial Unicode MS" w:hint="eastAsia"/>
          <w:bCs w:val="0"/>
          <w:color w:val="auto"/>
        </w:rPr>
        <w:t>有效认购款项在募集期间产生的利息将折算为基金份额归基金份额持有人所有，其中利息转份额的具体数额以登记机构的记录为准。</w:t>
      </w:r>
    </w:p>
    <w:p w:rsidR="00D5306E" w:rsidRDefault="006D76AB">
      <w:pPr>
        <w:pStyle w:val="afff0"/>
        <w:adjustRightInd w:val="0"/>
        <w:snapToGrid w:val="0"/>
        <w:spacing w:after="0"/>
        <w:rPr>
          <w:rFonts w:ascii="Arial Unicode MS" w:hAnsi="Arial Unicode MS"/>
          <w:color w:val="auto"/>
        </w:rPr>
      </w:pPr>
      <w:r>
        <w:rPr>
          <w:rFonts w:ascii="Arial Unicode MS" w:hAnsi="Arial Unicode MS"/>
          <w:color w:val="auto"/>
        </w:rPr>
        <w:t>6</w:t>
      </w:r>
      <w:r>
        <w:rPr>
          <w:rFonts w:ascii="Arial Unicode MS" w:hAnsi="Arial Unicode MS"/>
          <w:color w:val="auto"/>
        </w:rPr>
        <w:t>、认购份额余额的处理方式</w:t>
      </w:r>
    </w:p>
    <w:p w:rsidR="00D5306E" w:rsidRDefault="006D76AB">
      <w:pPr>
        <w:pStyle w:val="afff0"/>
        <w:adjustRightInd w:val="0"/>
        <w:snapToGrid w:val="0"/>
        <w:spacing w:after="0"/>
        <w:rPr>
          <w:rFonts w:ascii="Arial Unicode MS" w:hAnsi="Arial Unicode MS"/>
          <w:color w:val="auto"/>
        </w:rPr>
      </w:pPr>
      <w:r>
        <w:rPr>
          <w:rFonts w:ascii="Arial Unicode MS" w:hAnsi="Arial Unicode MS"/>
          <w:bCs w:val="0"/>
          <w:color w:val="auto"/>
        </w:rPr>
        <w:t>认购份额的计算保留到小数点后</w:t>
      </w:r>
      <w:r>
        <w:rPr>
          <w:rFonts w:ascii="Arial Unicode MS" w:hAnsi="Arial Unicode MS" w:hint="eastAsia"/>
          <w:bCs w:val="0"/>
          <w:color w:val="auto"/>
        </w:rPr>
        <w:t>两</w:t>
      </w:r>
      <w:r>
        <w:rPr>
          <w:rFonts w:ascii="Arial Unicode MS" w:hAnsi="Arial Unicode MS"/>
          <w:bCs w:val="0"/>
          <w:color w:val="auto"/>
        </w:rPr>
        <w:t>位，小数点</w:t>
      </w:r>
      <w:r>
        <w:rPr>
          <w:rFonts w:ascii="Arial Unicode MS" w:hAnsi="Arial Unicode MS" w:hint="eastAsia"/>
          <w:bCs w:val="0"/>
          <w:color w:val="auto"/>
        </w:rPr>
        <w:t>两</w:t>
      </w:r>
      <w:r>
        <w:rPr>
          <w:rFonts w:ascii="Arial Unicode MS" w:hAnsi="Arial Unicode MS"/>
          <w:bCs w:val="0"/>
          <w:color w:val="auto"/>
        </w:rPr>
        <w:t>位以后的部分四舍五入，由此误差产生的收益或损失由基金财产承担。</w:t>
      </w:r>
    </w:p>
    <w:p w:rsidR="00D5306E" w:rsidRDefault="006D76AB">
      <w:pPr>
        <w:adjustRightInd w:val="0"/>
        <w:snapToGrid w:val="0"/>
        <w:spacing w:line="360" w:lineRule="auto"/>
        <w:ind w:firstLineChars="200" w:firstLine="422"/>
        <w:rPr>
          <w:rFonts w:ascii="Arial Unicode MS" w:hAnsi="Arial Unicode MS" w:cs="Arial"/>
          <w:szCs w:val="21"/>
        </w:rPr>
      </w:pPr>
      <w:r>
        <w:rPr>
          <w:rFonts w:ascii="Arial Unicode MS" w:hAnsi="Arial Unicode MS" w:cs="Arial" w:hint="eastAsia"/>
          <w:b/>
          <w:bCs/>
          <w:szCs w:val="21"/>
        </w:rPr>
        <w:t>十</w:t>
      </w:r>
      <w:r>
        <w:rPr>
          <w:rFonts w:ascii="Arial Unicode MS" w:hAnsi="Arial Unicode MS" w:cs="Arial"/>
          <w:b/>
          <w:bCs/>
          <w:szCs w:val="21"/>
        </w:rPr>
        <w:t>、投资者对基金份额的认购</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、本基金的认购时间安排、</w:t>
      </w:r>
      <w:r>
        <w:rPr>
          <w:rFonts w:ascii="Arial Unicode MS" w:hAnsi="Arial Unicode MS" w:cs="Arial" w:hint="eastAsia"/>
          <w:szCs w:val="21"/>
        </w:rPr>
        <w:t>投资者</w:t>
      </w:r>
      <w:r>
        <w:rPr>
          <w:rFonts w:ascii="Arial Unicode MS" w:hAnsi="Arial Unicode MS" w:cs="Arial"/>
          <w:szCs w:val="21"/>
        </w:rPr>
        <w:t>认购应提交的文件和办理的手续</w:t>
      </w:r>
      <w:r>
        <w:rPr>
          <w:rFonts w:ascii="Arial Unicode MS" w:hAnsi="Arial Unicode MS" w:cs="Arial" w:hint="eastAsia"/>
          <w:szCs w:val="21"/>
        </w:rPr>
        <w:t>届时将依据有关规定进行公告。</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、认购方式</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lastRenderedPageBreak/>
        <w:t>本基金认购采取金额认购的方式。</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1</w:t>
      </w:r>
      <w:r>
        <w:rPr>
          <w:rFonts w:ascii="Arial Unicode MS" w:hAnsi="Arial Unicode MS" w:cs="Arial" w:hint="eastAsia"/>
        </w:rPr>
        <w:t>）</w:t>
      </w:r>
      <w:r>
        <w:rPr>
          <w:rFonts w:ascii="Arial Unicode MS" w:hAnsi="Arial Unicode MS" w:cs="Arial"/>
        </w:rPr>
        <w:t>投资者认购</w:t>
      </w:r>
      <w:r>
        <w:rPr>
          <w:rFonts w:ascii="Arial Unicode MS" w:hAnsi="Arial Unicode MS" w:cs="Arial" w:hint="eastAsia"/>
        </w:rPr>
        <w:t>时</w:t>
      </w:r>
      <w:r>
        <w:rPr>
          <w:rFonts w:ascii="Arial Unicode MS" w:hAnsi="Arial Unicode MS" w:cs="Arial"/>
        </w:rPr>
        <w:t>，需按销售机构规定的方式</w:t>
      </w:r>
      <w:r>
        <w:rPr>
          <w:rFonts w:ascii="Arial Unicode MS" w:hAnsi="Arial Unicode MS" w:cs="Arial" w:hint="eastAsia"/>
        </w:rPr>
        <w:t>全额缴款</w:t>
      </w:r>
      <w:r>
        <w:rPr>
          <w:rFonts w:ascii="Arial Unicode MS" w:hAnsi="Arial Unicode MS" w:cs="Arial"/>
        </w:rPr>
        <w:t>。</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2</w:t>
      </w:r>
      <w:r>
        <w:rPr>
          <w:rFonts w:ascii="Arial Unicode MS" w:hAnsi="Arial Unicode MS" w:cs="Arial" w:hint="eastAsia"/>
        </w:rPr>
        <w:t>）</w:t>
      </w:r>
      <w:r>
        <w:rPr>
          <w:rFonts w:ascii="Arial Unicode MS" w:hAnsi="Arial Unicode MS" w:cs="Arial"/>
        </w:rPr>
        <w:t>募集期内，投资者可多次认购基金份额</w:t>
      </w:r>
      <w:r>
        <w:rPr>
          <w:rFonts w:ascii="Arial Unicode MS" w:hAnsi="Arial Unicode MS" w:cs="Arial" w:hint="eastAsia"/>
        </w:rPr>
        <w:t>，</w:t>
      </w:r>
      <w:r>
        <w:rPr>
          <w:rFonts w:ascii="Arial Unicode MS" w:hAnsi="Arial Unicode MS" w:cs="Arial" w:hint="eastAsia"/>
        </w:rPr>
        <w:t>A</w:t>
      </w:r>
      <w:r>
        <w:rPr>
          <w:rFonts w:ascii="Arial Unicode MS" w:hAnsi="Arial Unicode MS" w:cs="Arial" w:hint="eastAsia"/>
        </w:rPr>
        <w:t>类基金份额的认购费按每笔该类基金份额认购申请单独计算，已受理的认购申请不得撤销</w:t>
      </w:r>
      <w:r>
        <w:rPr>
          <w:rFonts w:ascii="Arial Unicode MS" w:hAnsi="Arial Unicode MS" w:cs="Arial"/>
        </w:rPr>
        <w:t>。</w:t>
      </w:r>
    </w:p>
    <w:p w:rsidR="00D5306E" w:rsidRDefault="006D76AB">
      <w:pPr>
        <w:adjustRightInd w:val="0"/>
        <w:snapToGrid w:val="0"/>
        <w:spacing w:line="360" w:lineRule="auto"/>
        <w:ind w:firstLineChars="200" w:firstLine="420"/>
        <w:rPr>
          <w:rFonts w:ascii="Arial Unicode MS" w:hAnsi="Arial Unicode MS"/>
        </w:rPr>
      </w:pPr>
      <w:r>
        <w:rPr>
          <w:rFonts w:ascii="Arial Unicode MS" w:hAnsi="Arial Unicode MS" w:cs="Arial"/>
        </w:rPr>
        <w:t>3</w:t>
      </w:r>
      <w:r>
        <w:rPr>
          <w:rFonts w:ascii="Arial Unicode MS" w:hAnsi="Arial Unicode MS" w:cs="Arial"/>
        </w:rPr>
        <w:t>、认购确认</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基金销售机构对认购申请的受理并不代表该申请一定</w:t>
      </w:r>
      <w:r>
        <w:rPr>
          <w:rFonts w:ascii="Arial Unicode MS" w:hAnsi="Arial Unicode MS" w:cs="Arial"/>
        </w:rPr>
        <w:t>成功</w:t>
      </w:r>
      <w:r>
        <w:rPr>
          <w:rFonts w:ascii="Arial Unicode MS" w:hAnsi="Arial Unicode MS" w:cs="Arial" w:hint="eastAsia"/>
        </w:rPr>
        <w:t>，而仅代表销售机构确实接收到认购申请。认购申请的确认以登记机构的确认结果为准。对于认购申请及认购份额的确认情况，投资人应及时查询并妥善行使合法权利，否则，由此产生的任何损失由投资者自行承担。</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4</w:t>
      </w:r>
      <w:r>
        <w:rPr>
          <w:rFonts w:ascii="Arial Unicode MS" w:hAnsi="Arial Unicode MS" w:cs="Arial" w:hint="eastAsia"/>
          <w:szCs w:val="21"/>
        </w:rPr>
        <w:t>、</w:t>
      </w:r>
      <w:r>
        <w:rPr>
          <w:rFonts w:ascii="Arial Unicode MS" w:hAnsi="Arial Unicode MS" w:cs="Arial"/>
          <w:szCs w:val="21"/>
        </w:rPr>
        <w:t>认购限制</w:t>
      </w:r>
    </w:p>
    <w:p w:rsidR="00D5306E" w:rsidRDefault="006D76AB">
      <w:pPr>
        <w:tabs>
          <w:tab w:val="left" w:pos="1134"/>
        </w:tabs>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首次单笔最低认购金额不低于</w:t>
      </w:r>
      <w:r>
        <w:rPr>
          <w:rFonts w:ascii="Arial Unicode MS" w:hAnsi="Arial Unicode MS" w:cs="Arial" w:hint="eastAsia"/>
          <w:szCs w:val="21"/>
        </w:rPr>
        <w:t>10</w:t>
      </w:r>
      <w:r>
        <w:rPr>
          <w:rFonts w:ascii="Arial Unicode MS" w:hAnsi="Arial Unicode MS" w:cs="Arial"/>
          <w:szCs w:val="21"/>
        </w:rPr>
        <w:t>元</w:t>
      </w:r>
      <w:r>
        <w:rPr>
          <w:rFonts w:ascii="Arial Unicode MS" w:hAnsi="Arial Unicode MS" w:cs="Arial" w:hint="eastAsia"/>
          <w:szCs w:val="21"/>
        </w:rPr>
        <w:t>（含认购费）</w:t>
      </w:r>
      <w:r>
        <w:rPr>
          <w:rFonts w:ascii="Arial Unicode MS" w:hAnsi="Arial Unicode MS" w:cs="Arial"/>
          <w:szCs w:val="21"/>
        </w:rPr>
        <w:t>，追加</w:t>
      </w:r>
      <w:r>
        <w:rPr>
          <w:rFonts w:ascii="Arial Unicode MS" w:hAnsi="Arial Unicode MS" w:cs="Arial" w:hint="eastAsia"/>
          <w:szCs w:val="21"/>
        </w:rPr>
        <w:t>认购</w:t>
      </w:r>
      <w:r>
        <w:rPr>
          <w:rFonts w:ascii="Arial Unicode MS" w:hAnsi="Arial Unicode MS" w:cs="Arial"/>
          <w:szCs w:val="21"/>
        </w:rPr>
        <w:t>最低金额为</w:t>
      </w:r>
      <w:r>
        <w:rPr>
          <w:rFonts w:ascii="Arial Unicode MS" w:hAnsi="Arial Unicode MS" w:cs="Arial"/>
          <w:szCs w:val="21"/>
        </w:rPr>
        <w:t>10</w:t>
      </w:r>
      <w:r>
        <w:rPr>
          <w:rFonts w:ascii="Arial Unicode MS" w:hAnsi="Arial Unicode MS" w:cs="Arial"/>
          <w:szCs w:val="21"/>
        </w:rPr>
        <w:t>元</w:t>
      </w:r>
      <w:r>
        <w:rPr>
          <w:rFonts w:ascii="Arial Unicode MS" w:hAnsi="Arial Unicode MS" w:cs="Arial" w:hint="eastAsia"/>
          <w:szCs w:val="21"/>
        </w:rPr>
        <w:t>（含认购费）</w:t>
      </w:r>
      <w:r>
        <w:rPr>
          <w:rFonts w:ascii="Arial Unicode MS" w:hAnsi="Arial Unicode MS" w:cs="Arial"/>
          <w:szCs w:val="21"/>
        </w:rPr>
        <w:t>，详情请见当地销售机构公告。</w:t>
      </w:r>
    </w:p>
    <w:p w:rsidR="00D5306E" w:rsidRDefault="006D76AB">
      <w:pPr>
        <w:tabs>
          <w:tab w:val="left" w:pos="1134"/>
        </w:tabs>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基金管理人可以对募集期间的单个投资人的累计认购金额进行限制，</w:t>
      </w:r>
      <w:r>
        <w:rPr>
          <w:rFonts w:ascii="Arial Unicode MS" w:hAnsi="Arial Unicode MS" w:cs="Arial" w:hint="eastAsia"/>
          <w:bCs/>
          <w:szCs w:val="21"/>
        </w:rPr>
        <w:t>并依照《信息披露办法》的有关规定在规定媒介上公告</w:t>
      </w:r>
      <w:r>
        <w:rPr>
          <w:rFonts w:ascii="Arial Unicode MS" w:hAnsi="Arial Unicode MS" w:cs="Arial"/>
          <w:bCs/>
          <w:szCs w:val="21"/>
        </w:rPr>
        <w:t>。但</w:t>
      </w:r>
      <w:r>
        <w:rPr>
          <w:rFonts w:ascii="Arial Unicode MS" w:hAnsi="Arial Unicode MS" w:cs="Arial" w:hint="eastAsia"/>
          <w:bCs/>
          <w:szCs w:val="21"/>
        </w:rPr>
        <w:t>单一投资者持有本基金份额集中度不得达到或者超过</w:t>
      </w:r>
      <w:r>
        <w:rPr>
          <w:rFonts w:ascii="Arial Unicode MS" w:hAnsi="Arial Unicode MS" w:cs="Arial" w:hint="eastAsia"/>
          <w:bCs/>
          <w:szCs w:val="21"/>
        </w:rPr>
        <w:t>50%</w:t>
      </w:r>
      <w:r>
        <w:rPr>
          <w:rFonts w:ascii="Arial Unicode MS" w:hAnsi="Arial Unicode MS" w:cs="Arial" w:hint="eastAsia"/>
          <w:bCs/>
          <w:szCs w:val="21"/>
        </w:rPr>
        <w:t>，对于可能导致单一投资者持有基金份额的比例达到或者超过</w:t>
      </w:r>
      <w:r>
        <w:rPr>
          <w:rFonts w:ascii="Arial Unicode MS" w:hAnsi="Arial Unicode MS" w:cs="Arial" w:hint="eastAsia"/>
          <w:bCs/>
          <w:szCs w:val="21"/>
        </w:rPr>
        <w:t>50%</w:t>
      </w:r>
      <w:r>
        <w:rPr>
          <w:rFonts w:ascii="Arial Unicode MS" w:hAnsi="Arial Unicode MS" w:cs="Arial" w:hint="eastAsia"/>
          <w:bCs/>
          <w:szCs w:val="21"/>
        </w:rPr>
        <w:t>，或者变相规避</w:t>
      </w:r>
      <w:r>
        <w:rPr>
          <w:rFonts w:ascii="Arial Unicode MS" w:hAnsi="Arial Unicode MS" w:cs="Arial" w:hint="eastAsia"/>
          <w:bCs/>
          <w:szCs w:val="21"/>
        </w:rPr>
        <w:t>50%</w:t>
      </w:r>
      <w:r>
        <w:rPr>
          <w:rFonts w:ascii="Arial Unicode MS" w:hAnsi="Arial Unicode MS" w:cs="Arial" w:hint="eastAsia"/>
          <w:bCs/>
          <w:szCs w:val="21"/>
        </w:rPr>
        <w:t>集中度的情形，基金管理人有权拒绝该等全部或者部分认购申请。法律法规、监管机构另有规定或基金合同另有约定的除外。</w:t>
      </w:r>
    </w:p>
    <w:p w:rsidR="00D5306E" w:rsidRDefault="006D76AB">
      <w:pPr>
        <w:snapToGrid w:val="0"/>
        <w:spacing w:line="360" w:lineRule="auto"/>
        <w:ind w:firstLineChars="200" w:firstLine="422"/>
        <w:rPr>
          <w:rFonts w:ascii="Arial Unicode MS" w:hAnsi="Arial Unicode MS" w:cs="Arial"/>
          <w:b/>
          <w:bCs/>
          <w:kern w:val="0"/>
          <w:szCs w:val="21"/>
        </w:rPr>
        <w:sectPr w:rsidR="00D5306E">
          <w:footerReference w:type="default" r:id="rId28"/>
          <w:headerReference w:type="first" r:id="rId29"/>
          <w:footerReference w:type="first" r:id="rId30"/>
          <w:pgSz w:w="11906" w:h="16838"/>
          <w:pgMar w:top="1440" w:right="1800" w:bottom="1440" w:left="1800" w:header="851" w:footer="992" w:gutter="0"/>
          <w:pgNumType w:start="1"/>
          <w:cols w:space="720"/>
          <w:docGrid w:linePitch="312"/>
        </w:sectPr>
      </w:pPr>
      <w:r>
        <w:rPr>
          <w:rFonts w:ascii="Arial Unicode MS" w:hAnsi="Arial Unicode MS" w:cs="Arial" w:hint="eastAsia"/>
          <w:b/>
          <w:bCs/>
          <w:kern w:val="0"/>
          <w:szCs w:val="21"/>
        </w:rPr>
        <w:t>十一</w:t>
      </w:r>
      <w:r>
        <w:rPr>
          <w:rFonts w:ascii="Arial Unicode MS" w:hAnsi="Arial Unicode MS" w:cs="Arial"/>
          <w:b/>
          <w:bCs/>
          <w:kern w:val="0"/>
          <w:szCs w:val="21"/>
        </w:rPr>
        <w:t>、基金募集期间募集的资金存入</w:t>
      </w:r>
      <w:r>
        <w:rPr>
          <w:rFonts w:ascii="Arial Unicode MS" w:hAnsi="Arial Unicode MS" w:cs="Arial" w:hint="eastAsia"/>
          <w:b/>
          <w:bCs/>
          <w:kern w:val="0"/>
          <w:szCs w:val="21"/>
        </w:rPr>
        <w:t>专门</w:t>
      </w:r>
      <w:r>
        <w:rPr>
          <w:rFonts w:ascii="Arial Unicode MS" w:hAnsi="Arial Unicode MS" w:cs="Arial"/>
          <w:b/>
          <w:bCs/>
          <w:kern w:val="0"/>
          <w:szCs w:val="21"/>
        </w:rPr>
        <w:t>账户，在基金募集行为结束前，任何人不得动用。</w:t>
      </w:r>
    </w:p>
    <w:p w:rsidR="00D5306E" w:rsidRDefault="006D76AB">
      <w:pPr>
        <w:pStyle w:val="11"/>
        <w:snapToGrid w:val="0"/>
        <w:spacing w:before="0" w:after="0" w:line="360" w:lineRule="auto"/>
        <w:ind w:firstLineChars="150" w:firstLine="422"/>
        <w:rPr>
          <w:rFonts w:ascii="Arial Unicode MS" w:eastAsia="宋体" w:hAnsi="Arial Unicode MS" w:cs="Arial"/>
          <w:b/>
          <w:bCs/>
          <w:sz w:val="28"/>
          <w:szCs w:val="28"/>
        </w:rPr>
      </w:pPr>
      <w:bookmarkStart w:id="50" w:name="_Toc214873596"/>
      <w:bookmarkStart w:id="51" w:name="_Toc317088541"/>
      <w:bookmarkStart w:id="52" w:name="_Toc317088144"/>
      <w:bookmarkStart w:id="53" w:name="_Toc335232695"/>
      <w:bookmarkStart w:id="54" w:name="_Toc47622419"/>
      <w:bookmarkStart w:id="55" w:name="_Toc429490284"/>
      <w:bookmarkStart w:id="56" w:name="_Toc47604311"/>
      <w:bookmarkStart w:id="57" w:name="_Toc320887646"/>
      <w:r>
        <w:rPr>
          <w:rFonts w:ascii="Arial Unicode MS" w:eastAsia="宋体" w:hAnsi="Arial Unicode MS" w:cs="Arial"/>
          <w:b/>
          <w:bCs/>
          <w:sz w:val="28"/>
          <w:szCs w:val="28"/>
        </w:rPr>
        <w:lastRenderedPageBreak/>
        <w:t>第七部分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w:t>
      </w:r>
      <w:bookmarkEnd w:id="46"/>
      <w:bookmarkEnd w:id="47"/>
      <w:bookmarkEnd w:id="48"/>
      <w:bookmarkEnd w:id="50"/>
      <w:bookmarkEnd w:id="51"/>
      <w:bookmarkEnd w:id="52"/>
      <w:r>
        <w:rPr>
          <w:rFonts w:ascii="Arial Unicode MS" w:eastAsia="宋体" w:hAnsi="Arial Unicode MS" w:cs="Arial" w:hint="eastAsia"/>
          <w:b/>
          <w:bCs/>
          <w:sz w:val="28"/>
          <w:szCs w:val="28"/>
        </w:rPr>
        <w:t>合同的生效</w:t>
      </w:r>
      <w:bookmarkEnd w:id="53"/>
      <w:bookmarkEnd w:id="54"/>
      <w:bookmarkEnd w:id="55"/>
      <w:bookmarkEnd w:id="56"/>
      <w:bookmarkEnd w:id="57"/>
    </w:p>
    <w:p w:rsidR="00D5306E" w:rsidRDefault="00D5306E">
      <w:pPr>
        <w:spacing w:line="360" w:lineRule="auto"/>
        <w:rPr>
          <w:rFonts w:ascii="Arial Unicode MS" w:hAnsi="Arial Unicode MS"/>
        </w:rPr>
      </w:pPr>
    </w:p>
    <w:p w:rsidR="00D5306E" w:rsidRDefault="006D76AB">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一、基金备案的条件</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本基金自基金份额发售之日起</w:t>
      </w:r>
      <w:r>
        <w:rPr>
          <w:rFonts w:ascii="Arial Unicode MS" w:hAnsi="Arial Unicode MS" w:cs="Arial" w:hint="eastAsia"/>
          <w:szCs w:val="21"/>
        </w:rPr>
        <w:t>3</w:t>
      </w:r>
      <w:r>
        <w:rPr>
          <w:rFonts w:ascii="Arial Unicode MS" w:hAnsi="Arial Unicode MS" w:cs="Arial" w:hint="eastAsia"/>
          <w:szCs w:val="21"/>
        </w:rPr>
        <w:t>个月内，在基金募集份额总额不少于</w:t>
      </w:r>
      <w:r>
        <w:rPr>
          <w:rFonts w:ascii="Arial Unicode MS" w:hAnsi="Arial Unicode MS" w:cs="Arial" w:hint="eastAsia"/>
          <w:szCs w:val="21"/>
        </w:rPr>
        <w:t>2</w:t>
      </w:r>
      <w:r>
        <w:rPr>
          <w:rFonts w:ascii="Arial Unicode MS" w:hAnsi="Arial Unicode MS" w:cs="Arial" w:hint="eastAsia"/>
          <w:szCs w:val="21"/>
        </w:rPr>
        <w:t>亿份，基金募集金额不少于</w:t>
      </w:r>
      <w:r>
        <w:rPr>
          <w:rFonts w:ascii="Arial Unicode MS" w:hAnsi="Arial Unicode MS" w:cs="Arial" w:hint="eastAsia"/>
          <w:szCs w:val="21"/>
        </w:rPr>
        <w:t>2</w:t>
      </w:r>
      <w:r>
        <w:rPr>
          <w:rFonts w:ascii="Arial Unicode MS" w:hAnsi="Arial Unicode MS" w:cs="Arial" w:hint="eastAsia"/>
          <w:szCs w:val="21"/>
        </w:rPr>
        <w:t>亿元人民币且基金认购人数不少于</w:t>
      </w:r>
      <w:r>
        <w:rPr>
          <w:rFonts w:ascii="Arial Unicode MS" w:hAnsi="Arial Unicode MS" w:cs="Arial" w:hint="eastAsia"/>
          <w:szCs w:val="21"/>
        </w:rPr>
        <w:t>200</w:t>
      </w:r>
      <w:r>
        <w:rPr>
          <w:rFonts w:ascii="Arial Unicode MS" w:hAnsi="Arial Unicode MS" w:cs="Arial" w:hint="eastAsia"/>
          <w:szCs w:val="21"/>
        </w:rPr>
        <w:t>人的条件下，基金募集期届满或基金管理人依据法律法规及招募说明书可以决定停止基金发售，并在</w:t>
      </w:r>
      <w:r>
        <w:rPr>
          <w:rFonts w:ascii="Arial Unicode MS" w:hAnsi="Arial Unicode MS" w:cs="Arial" w:hint="eastAsia"/>
          <w:szCs w:val="21"/>
        </w:rPr>
        <w:t>10</w:t>
      </w:r>
      <w:r>
        <w:rPr>
          <w:rFonts w:ascii="Arial Unicode MS" w:hAnsi="Arial Unicode MS" w:cs="Arial" w:hint="eastAsia"/>
          <w:szCs w:val="21"/>
        </w:rPr>
        <w:t>日内聘请法定验资机构验资，自收到验资报告之日起</w:t>
      </w:r>
      <w:r>
        <w:rPr>
          <w:rFonts w:ascii="Arial Unicode MS" w:hAnsi="Arial Unicode MS" w:cs="Arial" w:hint="eastAsia"/>
          <w:szCs w:val="21"/>
        </w:rPr>
        <w:t>10</w:t>
      </w:r>
      <w:r>
        <w:rPr>
          <w:rFonts w:ascii="Arial Unicode MS" w:hAnsi="Arial Unicode MS" w:cs="Arial" w:hint="eastAsia"/>
          <w:szCs w:val="21"/>
        </w:rPr>
        <w:t>日内，向中国证监会办理基金备案手续。</w:t>
      </w:r>
    </w:p>
    <w:p w:rsidR="00D5306E" w:rsidRDefault="006D76AB">
      <w:pPr>
        <w:autoSpaceDE w:val="0"/>
        <w:autoSpaceDN w:val="0"/>
        <w:adjustRightInd w:val="0"/>
        <w:snapToGrid w:val="0"/>
        <w:spacing w:line="360" w:lineRule="auto"/>
        <w:ind w:firstLineChars="200" w:firstLine="420"/>
        <w:rPr>
          <w:rFonts w:ascii="Arial Unicode MS" w:hAnsi="Arial Unicode MS" w:cs="Arial"/>
          <w:color w:val="FF0000"/>
          <w:szCs w:val="21"/>
        </w:rPr>
      </w:pPr>
      <w:r>
        <w:rPr>
          <w:rFonts w:ascii="Arial Unicode MS" w:hAnsi="Arial Unicode MS" w:cs="Arial"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5306E" w:rsidRDefault="006D76AB">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二、基金合同不能生效时募集资金的处理方式</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如果募集期限届满，未满足基金备案条件，基金管理人应当承担下列责任：</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、以其固有财产承担因募集行为而产生的债务和费用；</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、在基金募集期限届满后</w:t>
      </w:r>
      <w:r>
        <w:rPr>
          <w:rFonts w:ascii="Arial Unicode MS" w:hAnsi="Arial Unicode MS" w:cs="Arial" w:hint="eastAsia"/>
          <w:szCs w:val="21"/>
        </w:rPr>
        <w:t>30</w:t>
      </w:r>
      <w:r>
        <w:rPr>
          <w:rFonts w:ascii="Arial Unicode MS" w:hAnsi="Arial Unicode MS" w:cs="Arial" w:hint="eastAsia"/>
          <w:szCs w:val="21"/>
        </w:rPr>
        <w:t>日内返还投资者已缴纳的款项，并加计银行同期活期存款利息；</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、如基金募集失败，基金管理人、基金托管人及销售机构不得请求报酬。基金管理人、基金托管人和销售机构为基金募集支付之一切费用应由各方各自承担。</w:t>
      </w:r>
    </w:p>
    <w:p w:rsidR="00D5306E" w:rsidRDefault="006D76AB">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三、基金存续期内的基金份额持有人数量和资产规模</w:t>
      </w:r>
    </w:p>
    <w:p w:rsidR="00D5306E" w:rsidRDefault="006D76AB">
      <w:pPr>
        <w:autoSpaceDE w:val="0"/>
        <w:autoSpaceDN w:val="0"/>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《基金合同》生效后，连续</w:t>
      </w:r>
      <w:r>
        <w:rPr>
          <w:rFonts w:ascii="Arial Unicode MS" w:hAnsi="Arial Unicode MS" w:hint="eastAsia"/>
          <w:bCs/>
          <w:szCs w:val="21"/>
        </w:rPr>
        <w:t>20</w:t>
      </w:r>
      <w:r>
        <w:rPr>
          <w:rFonts w:ascii="Arial Unicode MS" w:hAnsi="Arial Unicode MS" w:hint="eastAsia"/>
          <w:bCs/>
          <w:szCs w:val="21"/>
        </w:rPr>
        <w:t>个工作日出现基金份额持有人数量不满</w:t>
      </w:r>
      <w:r>
        <w:rPr>
          <w:rFonts w:ascii="Arial Unicode MS" w:hAnsi="Arial Unicode MS" w:hint="eastAsia"/>
          <w:bCs/>
          <w:szCs w:val="21"/>
        </w:rPr>
        <w:t>200</w:t>
      </w:r>
      <w:r>
        <w:rPr>
          <w:rFonts w:ascii="Arial Unicode MS" w:hAnsi="Arial Unicode MS" w:hint="eastAsia"/>
          <w:bCs/>
          <w:szCs w:val="21"/>
        </w:rPr>
        <w:t>人或者基金资产净值低于</w:t>
      </w:r>
      <w:r>
        <w:rPr>
          <w:rFonts w:ascii="Arial Unicode MS" w:hAnsi="Arial Unicode MS" w:hint="eastAsia"/>
          <w:bCs/>
          <w:szCs w:val="21"/>
        </w:rPr>
        <w:t>5000</w:t>
      </w:r>
      <w:r>
        <w:rPr>
          <w:rFonts w:ascii="Arial Unicode MS" w:hAnsi="Arial Unicode MS" w:hint="eastAsia"/>
          <w:bCs/>
          <w:szCs w:val="21"/>
        </w:rPr>
        <w:t>万元情形的，基金管理人应当在定期报告中予以披露；连续</w:t>
      </w:r>
      <w:r>
        <w:rPr>
          <w:rFonts w:ascii="Arial Unicode MS" w:hAnsi="Arial Unicode MS" w:hint="eastAsia"/>
          <w:bCs/>
          <w:szCs w:val="21"/>
        </w:rPr>
        <w:t>50</w:t>
      </w:r>
      <w:r>
        <w:rPr>
          <w:rFonts w:ascii="Arial Unicode MS" w:hAnsi="Arial Unicode MS" w:hint="eastAsia"/>
          <w:bCs/>
          <w:szCs w:val="21"/>
        </w:rPr>
        <w:t>个工作日出现前述情形的，本基金将根据基金合同的约定进行基金财产清算并终止，且无需召开基金份额持有人大会。</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hint="eastAsia"/>
          <w:bCs/>
          <w:szCs w:val="21"/>
        </w:rPr>
        <w:t>法律法规或中国证监会另有规定时，从其规定。</w:t>
      </w:r>
    </w:p>
    <w:p w:rsidR="00D5306E" w:rsidRDefault="00D5306E">
      <w:pPr>
        <w:spacing w:line="360" w:lineRule="auto"/>
        <w:rPr>
          <w:rFonts w:ascii="Arial Unicode MS" w:hAnsi="Arial Unicode MS" w:cs="Arial"/>
          <w:szCs w:val="21"/>
        </w:rPr>
        <w:sectPr w:rsidR="00D5306E">
          <w:footerReference w:type="first" r:id="rId31"/>
          <w:pgSz w:w="11906" w:h="16838"/>
          <w:pgMar w:top="1440" w:right="1800" w:bottom="1440" w:left="1800" w:header="851" w:footer="992" w:gutter="0"/>
          <w:pgNumType w:start="1"/>
          <w:cols w:space="720"/>
          <w:titlePg/>
          <w:docGrid w:linePitch="312"/>
        </w:sectPr>
      </w:pPr>
      <w:bookmarkStart w:id="58" w:name="_Toc147463118"/>
      <w:bookmarkStart w:id="59" w:name="_Toc214873597"/>
      <w:bookmarkStart w:id="60" w:name="_Toc12357171"/>
      <w:bookmarkStart w:id="61" w:name="_Toc21073391"/>
    </w:p>
    <w:p w:rsidR="00D5306E" w:rsidRDefault="006D76AB">
      <w:pPr>
        <w:pStyle w:val="11"/>
        <w:snapToGrid w:val="0"/>
        <w:spacing w:before="0" w:after="0" w:line="360" w:lineRule="auto"/>
        <w:ind w:firstLineChars="150" w:firstLine="422"/>
        <w:rPr>
          <w:rFonts w:ascii="Arial Unicode MS" w:eastAsia="宋体" w:hAnsi="Arial Unicode MS" w:cs="Arial"/>
          <w:b/>
          <w:bCs/>
          <w:sz w:val="28"/>
          <w:szCs w:val="28"/>
        </w:rPr>
      </w:pPr>
      <w:bookmarkStart w:id="62" w:name="_Toc47622420"/>
      <w:bookmarkStart w:id="63" w:name="_Toc429490285"/>
      <w:bookmarkStart w:id="64" w:name="_Toc335232696"/>
      <w:bookmarkStart w:id="65" w:name="_Toc47604312"/>
      <w:bookmarkStart w:id="66" w:name="_Toc317088145"/>
      <w:bookmarkStart w:id="67" w:name="_Toc320887647"/>
      <w:bookmarkStart w:id="68" w:name="_Toc317088542"/>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基金份额的申购</w:t>
      </w:r>
      <w:r>
        <w:rPr>
          <w:rFonts w:ascii="Arial Unicode MS" w:eastAsia="宋体" w:hAnsi="Arial Unicode MS" w:cs="Arial" w:hint="eastAsia"/>
          <w:b/>
          <w:bCs/>
          <w:sz w:val="28"/>
          <w:szCs w:val="28"/>
        </w:rPr>
        <w:t>与</w:t>
      </w:r>
      <w:r>
        <w:rPr>
          <w:rFonts w:ascii="Arial Unicode MS" w:eastAsia="宋体" w:hAnsi="Arial Unicode MS" w:cs="Arial"/>
          <w:b/>
          <w:bCs/>
          <w:sz w:val="28"/>
          <w:szCs w:val="28"/>
        </w:rPr>
        <w:t>赎回</w:t>
      </w:r>
      <w:bookmarkEnd w:id="58"/>
      <w:bookmarkEnd w:id="59"/>
      <w:bookmarkEnd w:id="60"/>
      <w:bookmarkEnd w:id="61"/>
      <w:bookmarkEnd w:id="62"/>
      <w:bookmarkEnd w:id="63"/>
      <w:bookmarkEnd w:id="64"/>
      <w:bookmarkEnd w:id="65"/>
      <w:bookmarkEnd w:id="66"/>
      <w:bookmarkEnd w:id="67"/>
      <w:bookmarkEnd w:id="68"/>
    </w:p>
    <w:p w:rsidR="00D5306E" w:rsidRDefault="006D76AB">
      <w:pPr>
        <w:adjustRightInd w:val="0"/>
        <w:snapToGrid w:val="0"/>
        <w:spacing w:line="360" w:lineRule="auto"/>
        <w:ind w:firstLineChars="200" w:firstLine="422"/>
        <w:rPr>
          <w:rFonts w:ascii="Arial Unicode MS" w:hAnsi="Arial Unicode MS" w:cs="Arial"/>
          <w:b/>
          <w:bCs/>
          <w:kern w:val="0"/>
          <w:szCs w:val="21"/>
        </w:rPr>
      </w:pPr>
      <w:r>
        <w:rPr>
          <w:rFonts w:ascii="Arial Unicode MS" w:hAnsi="Arial Unicode MS" w:cs="Arial" w:hint="eastAsia"/>
          <w:b/>
          <w:bCs/>
          <w:kern w:val="0"/>
          <w:szCs w:val="21"/>
        </w:rPr>
        <w:t>一、</w:t>
      </w:r>
      <w:r>
        <w:rPr>
          <w:rFonts w:ascii="Arial Unicode MS" w:hAnsi="Arial Unicode MS" w:cs="Arial"/>
          <w:b/>
          <w:bCs/>
          <w:kern w:val="0"/>
          <w:szCs w:val="21"/>
        </w:rPr>
        <w:t>申购与赎回的场所</w:t>
      </w:r>
    </w:p>
    <w:p w:rsidR="00D5306E" w:rsidRDefault="006D76AB">
      <w:pPr>
        <w:spacing w:line="360" w:lineRule="auto"/>
        <w:ind w:firstLineChars="200" w:firstLine="420"/>
        <w:rPr>
          <w:rFonts w:ascii="Arial Unicode MS" w:hAnsi="Arial Unicode MS"/>
          <w:bCs/>
          <w:szCs w:val="21"/>
        </w:rPr>
      </w:pPr>
      <w:r>
        <w:rPr>
          <w:rFonts w:ascii="Arial Unicode MS" w:hAnsi="Arial Unicode MS" w:hint="eastAsia"/>
          <w:bCs/>
          <w:szCs w:val="21"/>
        </w:rPr>
        <w:t>本基金的申购与赎回将通过销售机构进行。具体的销售机构将由基金管理人在招募说明书或基金管理人网站列明。基金管理人可根据情况变更或增减销售机构。基金投资者应当在销售机构办理基金销售业务的营业场所或按销售机构提供的其他方式办理基金份额的申购与赎回。</w:t>
      </w:r>
    </w:p>
    <w:p w:rsidR="00D5306E" w:rsidRDefault="006D76AB">
      <w:pPr>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w:t>
      </w:r>
      <w:r>
        <w:rPr>
          <w:rFonts w:ascii="Arial Unicode MS" w:hAnsi="Arial Unicode MS" w:cs="Arial"/>
          <w:b/>
          <w:bCs/>
          <w:szCs w:val="21"/>
        </w:rPr>
        <w:t>、</w:t>
      </w:r>
      <w:r>
        <w:rPr>
          <w:rFonts w:ascii="Arial Unicode MS" w:hAnsi="Arial Unicode MS" w:cs="Arial"/>
          <w:b/>
          <w:kern w:val="0"/>
          <w:szCs w:val="21"/>
        </w:rPr>
        <w:t>申购与赎回办理的开放日及时间</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bookmarkStart w:id="69" w:name="_Toc510842719"/>
      <w:r>
        <w:rPr>
          <w:rFonts w:ascii="Arial Unicode MS" w:hAnsi="Arial Unicode MS" w:cs="Arial" w:hint="eastAsia"/>
          <w:szCs w:val="21"/>
        </w:rPr>
        <w:t>1</w:t>
      </w:r>
      <w:r>
        <w:rPr>
          <w:rFonts w:ascii="Arial Unicode MS" w:hAnsi="Arial Unicode MS" w:cs="Arial" w:hint="eastAsia"/>
          <w:szCs w:val="21"/>
        </w:rPr>
        <w:t>、开放日及开放时间</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基金管理人在开放日办理基金份额的申购和</w:t>
      </w:r>
      <w:r>
        <w:rPr>
          <w:rFonts w:ascii="Arial Unicode MS" w:hAnsi="Arial Unicode MS" w:cs="Arial" w:hint="eastAsia"/>
          <w:szCs w:val="21"/>
        </w:rPr>
        <w:t>/</w:t>
      </w:r>
      <w:r>
        <w:rPr>
          <w:rFonts w:ascii="Arial Unicode MS" w:hAnsi="Arial Unicode MS" w:cs="Arial" w:hint="eastAsia"/>
          <w:szCs w:val="21"/>
        </w:rPr>
        <w:t>或赎回。投资人在开放日办理申购和</w:t>
      </w:r>
      <w:r>
        <w:rPr>
          <w:rFonts w:ascii="Arial Unicode MS" w:hAnsi="Arial Unicode MS" w:cs="Arial" w:hint="eastAsia"/>
          <w:szCs w:val="21"/>
        </w:rPr>
        <w:t>/</w:t>
      </w:r>
      <w:r>
        <w:rPr>
          <w:rFonts w:ascii="Arial Unicode MS" w:hAnsi="Arial Unicode MS" w:cs="Arial" w:hint="eastAsia"/>
          <w:szCs w:val="21"/>
        </w:rPr>
        <w:t>或赎回的具体办理时间为上海证券交易所、深圳证券交易所及相关期货交易所的正常交易日的交易时间（若本基金参与港股通交易且该工作日为非港股通交易日时，则基金管理人可根据实际情况决定本基金是否开放申购、赎回及转换业务，具体以届时提前发布的公告为准），但基金管理人根据法律法规、中国证监会的要求或基金合同的规定公告暂停申购、赎回时除外。</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、申购、赎回开始日及业务办理时间</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基金管理人可根据实际情况依法决定本基金开始办理申购的具体日期，具体业务办理时间在申购开始公告中规定。</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基金管理人自基金合同生效之日起不超过</w:t>
      </w:r>
      <w:r>
        <w:rPr>
          <w:rFonts w:ascii="Arial Unicode MS" w:hAnsi="Arial Unicode MS" w:cs="Arial" w:hint="eastAsia"/>
          <w:szCs w:val="21"/>
        </w:rPr>
        <w:t>3</w:t>
      </w:r>
      <w:r>
        <w:rPr>
          <w:rFonts w:ascii="Arial Unicode MS" w:hAnsi="Arial Unicode MS" w:cs="Arial" w:hint="eastAsia"/>
          <w:szCs w:val="21"/>
        </w:rPr>
        <w:t>个月开始办理赎回，具体业务办理时间在赎回开始公告中规定。</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在确定申购开始与赎回开始时间后，基金管理人应在申购、赎回开放日前依照《信息披露办法》的有关规定在规定媒介上公告申购与赎回的开始时间。</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基金份额申购、赎回的价格。</w:t>
      </w:r>
    </w:p>
    <w:bookmarkEnd w:id="69"/>
    <w:p w:rsidR="00D5306E" w:rsidRDefault="006D76AB">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、申购与赎回的原则</w:t>
      </w:r>
    </w:p>
    <w:p w:rsidR="00D5306E" w:rsidRDefault="006D76AB">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、“未知价”原则，即申购、赎回价格以申请当日收市后计算的各类基金份额净值为基准进行计算；</w:t>
      </w:r>
    </w:p>
    <w:p w:rsidR="00D5306E" w:rsidRDefault="006D76AB">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、“金额申购、份额赎回”原则，即申购以金额申请，赎回以份额申请；</w:t>
      </w:r>
    </w:p>
    <w:p w:rsidR="00D5306E" w:rsidRDefault="006D76AB">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、当日的申购与赎回申请可以在基金管理人规定的时间以内撤销；</w:t>
      </w:r>
    </w:p>
    <w:p w:rsidR="00D5306E" w:rsidRDefault="006D76AB">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4</w:t>
      </w:r>
      <w:r>
        <w:rPr>
          <w:rFonts w:ascii="Arial Unicode MS" w:hAnsi="Arial Unicode MS" w:cs="Arial" w:hint="eastAsia"/>
          <w:bCs/>
          <w:szCs w:val="21"/>
        </w:rPr>
        <w:t>、赎回遵循“先进先出”原则，即按照投资人认购、申购的先后次序进行顺序赎回；</w:t>
      </w:r>
    </w:p>
    <w:p w:rsidR="00D5306E" w:rsidRDefault="006D76AB">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、办理申购、赎回业务时，应当遵循基金份额持有人利益优先原则，确保投资者的合法权益不受损害并得到公平对待。</w:t>
      </w:r>
      <w:r>
        <w:rPr>
          <w:rFonts w:ascii="Arial Unicode MS" w:hAnsi="Arial Unicode MS" w:cs="Arial" w:hint="eastAsia"/>
          <w:bCs/>
          <w:szCs w:val="21"/>
        </w:rPr>
        <w:t xml:space="preserve"> </w:t>
      </w:r>
    </w:p>
    <w:p w:rsidR="00D5306E" w:rsidRDefault="006D76AB">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基金管理人可在法律法规允许的情况下，对上述原则进行调整。基金管理人必须在新规则开始实施前依照《信息披露办法》的有关规定在规定媒介上公告。</w:t>
      </w:r>
    </w:p>
    <w:p w:rsidR="00D5306E" w:rsidRDefault="006D76AB">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四、申购与赎回的数额限制</w:t>
      </w:r>
    </w:p>
    <w:p w:rsidR="00D5306E" w:rsidRDefault="006D76AB">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、首次申购基金份额的单笔最低金额为</w:t>
      </w:r>
      <w:r>
        <w:rPr>
          <w:rFonts w:ascii="Arial Unicode MS" w:hAnsi="Arial Unicode MS" w:cs="Arial" w:hint="eastAsia"/>
          <w:bCs/>
          <w:szCs w:val="21"/>
        </w:rPr>
        <w:t>10</w:t>
      </w:r>
      <w:r>
        <w:rPr>
          <w:rFonts w:ascii="Arial Unicode MS" w:hAnsi="Arial Unicode MS" w:cs="Arial" w:hint="eastAsia"/>
          <w:bCs/>
          <w:szCs w:val="21"/>
        </w:rPr>
        <w:t>元（含申购费），追加申购的单笔最低金额为</w:t>
      </w:r>
      <w:r>
        <w:rPr>
          <w:rFonts w:ascii="Arial Unicode MS" w:hAnsi="Arial Unicode MS" w:cs="Arial" w:hint="eastAsia"/>
          <w:bCs/>
          <w:szCs w:val="21"/>
        </w:rPr>
        <w:t>10</w:t>
      </w:r>
      <w:r>
        <w:rPr>
          <w:rFonts w:ascii="Arial Unicode MS" w:hAnsi="Arial Unicode MS" w:cs="Arial" w:hint="eastAsia"/>
          <w:bCs/>
          <w:szCs w:val="21"/>
        </w:rPr>
        <w:t>元（含申购费）；</w:t>
      </w:r>
      <w:r>
        <w:rPr>
          <w:rFonts w:ascii="Arial Unicode MS" w:hAnsi="Arial Unicode MS" w:cs="Arial"/>
          <w:bCs/>
          <w:szCs w:val="21"/>
        </w:rPr>
        <w:t>详情请见当地销售机构公告</w:t>
      </w:r>
      <w:r>
        <w:rPr>
          <w:rFonts w:ascii="Arial Unicode MS" w:hAnsi="Arial Unicode MS" w:cs="Arial" w:hint="eastAsia"/>
          <w:bCs/>
          <w:szCs w:val="21"/>
        </w:rPr>
        <w:t>；</w:t>
      </w:r>
    </w:p>
    <w:p w:rsidR="00D5306E" w:rsidRDefault="006D76AB">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、每个交易账户最低持有基金份额余额为</w:t>
      </w:r>
      <w:r>
        <w:rPr>
          <w:rFonts w:ascii="Arial Unicode MS" w:hAnsi="Arial Unicode MS" w:cs="Arial" w:hint="eastAsia"/>
          <w:bCs/>
          <w:szCs w:val="21"/>
        </w:rPr>
        <w:t>10</w:t>
      </w:r>
      <w:r>
        <w:rPr>
          <w:rFonts w:ascii="Arial Unicode MS" w:hAnsi="Arial Unicode MS" w:cs="Arial" w:hint="eastAsia"/>
          <w:bCs/>
          <w:szCs w:val="21"/>
        </w:rPr>
        <w:t>份，若某笔赎回导致单个交易账户的基金份额余额少于</w:t>
      </w:r>
      <w:r>
        <w:rPr>
          <w:rFonts w:ascii="Arial Unicode MS" w:hAnsi="Arial Unicode MS" w:cs="Arial" w:hint="eastAsia"/>
          <w:bCs/>
          <w:szCs w:val="21"/>
        </w:rPr>
        <w:t>10</w:t>
      </w:r>
      <w:r>
        <w:rPr>
          <w:rFonts w:ascii="Arial Unicode MS" w:hAnsi="Arial Unicode MS" w:cs="Arial" w:hint="eastAsia"/>
          <w:bCs/>
          <w:szCs w:val="21"/>
        </w:rPr>
        <w:t>份时，余额部分基金份额必须一同赎回；</w:t>
      </w:r>
      <w:r>
        <w:rPr>
          <w:rFonts w:ascii="Arial Unicode MS" w:hAnsi="Arial Unicode MS" w:cs="Arial" w:hint="eastAsia"/>
          <w:bCs/>
          <w:szCs w:val="21"/>
        </w:rPr>
        <w:t xml:space="preserve"> </w:t>
      </w:r>
    </w:p>
    <w:p w:rsidR="00D5306E" w:rsidRDefault="006D76AB">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、投资人通过销售机构赎回基金份额时，本基金单笔某一类基金份额赎回申请不得低于</w:t>
      </w:r>
      <w:r>
        <w:rPr>
          <w:rFonts w:ascii="Arial Unicode MS" w:hAnsi="Arial Unicode MS" w:cs="Arial" w:hint="eastAsia"/>
          <w:bCs/>
          <w:szCs w:val="21"/>
        </w:rPr>
        <w:t>10</w:t>
      </w:r>
      <w:r>
        <w:rPr>
          <w:rFonts w:ascii="Arial Unicode MS" w:hAnsi="Arial Unicode MS" w:cs="Arial" w:hint="eastAsia"/>
          <w:bCs/>
          <w:szCs w:val="21"/>
        </w:rPr>
        <w:t>份，若投资者单个交易账户持有的某类基金份额余额不足</w:t>
      </w:r>
      <w:r>
        <w:rPr>
          <w:rFonts w:ascii="Arial Unicode MS" w:hAnsi="Arial Unicode MS" w:cs="Arial" w:hint="eastAsia"/>
          <w:bCs/>
          <w:szCs w:val="21"/>
        </w:rPr>
        <w:t>10</w:t>
      </w:r>
      <w:r>
        <w:rPr>
          <w:rFonts w:ascii="Arial Unicode MS" w:hAnsi="Arial Unicode MS" w:cs="Arial" w:hint="eastAsia"/>
          <w:bCs/>
          <w:szCs w:val="21"/>
        </w:rPr>
        <w:t>份，将不受此限制，但投资者在提交赎回申请时须将该类基金份额全部赎回。各销售机构在符合上述规定的前提下，可根据自己的情况调整单笔赎回申请限制，具体以销售机构公布的为准，投资人需遵循销售机构的相关规定；</w:t>
      </w:r>
    </w:p>
    <w:p w:rsidR="00D5306E" w:rsidRDefault="006D76AB">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、本基金目前对单个投资人累计持有份额不设上限限制，但法律法规或</w:t>
      </w:r>
      <w:r>
        <w:rPr>
          <w:rFonts w:ascii="Arial Unicode MS" w:hAnsi="Arial Unicode MS" w:cs="Arial"/>
          <w:bCs/>
          <w:szCs w:val="21"/>
        </w:rPr>
        <w:t>监管机构</w:t>
      </w:r>
      <w:r>
        <w:rPr>
          <w:rFonts w:ascii="Arial Unicode MS" w:hAnsi="Arial Unicode MS" w:cs="Arial" w:hint="eastAsia"/>
          <w:bCs/>
          <w:szCs w:val="21"/>
        </w:rPr>
        <w:t>另有规定或</w:t>
      </w:r>
      <w:r>
        <w:rPr>
          <w:rFonts w:ascii="Arial Unicode MS" w:hAnsi="Arial Unicode MS" w:cs="Arial"/>
          <w:bCs/>
          <w:szCs w:val="21"/>
        </w:rPr>
        <w:t>基</w:t>
      </w:r>
      <w:r>
        <w:rPr>
          <w:rFonts w:ascii="Arial Unicode MS" w:hAnsi="Arial Unicode MS" w:cs="Arial" w:hint="eastAsia"/>
          <w:bCs/>
          <w:szCs w:val="21"/>
        </w:rPr>
        <w:t>金</w:t>
      </w:r>
      <w:r>
        <w:rPr>
          <w:rFonts w:ascii="Arial Unicode MS" w:hAnsi="Arial Unicode MS" w:cs="Arial"/>
          <w:bCs/>
          <w:szCs w:val="21"/>
        </w:rPr>
        <w:t>合同另有约定</w:t>
      </w:r>
      <w:r>
        <w:rPr>
          <w:rFonts w:ascii="Arial Unicode MS" w:hAnsi="Arial Unicode MS" w:cs="Arial" w:hint="eastAsia"/>
          <w:bCs/>
          <w:szCs w:val="21"/>
        </w:rPr>
        <w:t>的除外。将来，基金管理人可以规定单个投资者累计持有的基金份额数量限制，具体规定见更新的招募说明书或相关公告；</w:t>
      </w:r>
    </w:p>
    <w:p w:rsidR="00D5306E" w:rsidRDefault="006D76AB">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D5306E" w:rsidRDefault="006D76AB">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、基金管理人可在法律法规允许的情况下，调整上述规定申购金额和赎回份额</w:t>
      </w:r>
      <w:r>
        <w:rPr>
          <w:rFonts w:ascii="Arial Unicode MS" w:hAnsi="Arial Unicode MS" w:cs="Arial"/>
          <w:bCs/>
          <w:szCs w:val="21"/>
        </w:rPr>
        <w:t>的</w:t>
      </w:r>
      <w:r>
        <w:rPr>
          <w:rFonts w:ascii="Arial Unicode MS" w:hAnsi="Arial Unicode MS" w:cs="Arial" w:hint="eastAsia"/>
          <w:bCs/>
          <w:szCs w:val="21"/>
        </w:rPr>
        <w:t>数量限制。基金管理人必须在调整实施前依照《信息披露办法》的有关规定</w:t>
      </w:r>
      <w:r>
        <w:rPr>
          <w:rFonts w:ascii="Arial Unicode MS" w:hAnsi="Arial Unicode MS" w:cs="Arial"/>
          <w:bCs/>
          <w:szCs w:val="21"/>
        </w:rPr>
        <w:t>在规定媒介上</w:t>
      </w:r>
      <w:r>
        <w:rPr>
          <w:rFonts w:ascii="Arial Unicode MS" w:hAnsi="Arial Unicode MS" w:cs="Arial" w:hint="eastAsia"/>
          <w:bCs/>
          <w:szCs w:val="21"/>
        </w:rPr>
        <w:t>公告。</w:t>
      </w:r>
    </w:p>
    <w:p w:rsidR="00D5306E" w:rsidRDefault="006D76AB">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、申购与赎回的程序</w:t>
      </w:r>
    </w:p>
    <w:p w:rsidR="00D5306E" w:rsidRDefault="006D76AB">
      <w:pPr>
        <w:spacing w:line="360" w:lineRule="auto"/>
        <w:ind w:firstLineChars="200" w:firstLine="420"/>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、申购和赎回的申请方式</w:t>
      </w:r>
    </w:p>
    <w:p w:rsidR="00D5306E" w:rsidRDefault="006D76AB">
      <w:pPr>
        <w:spacing w:line="360" w:lineRule="auto"/>
        <w:ind w:firstLineChars="200" w:firstLine="420"/>
        <w:rPr>
          <w:rFonts w:ascii="Arial Unicode MS" w:hAnsi="Arial Unicode MS"/>
          <w:bCs/>
          <w:szCs w:val="21"/>
        </w:rPr>
      </w:pPr>
      <w:r>
        <w:rPr>
          <w:rFonts w:ascii="Arial Unicode MS" w:hAnsi="Arial Unicode MS" w:hint="eastAsia"/>
          <w:bCs/>
          <w:szCs w:val="21"/>
        </w:rPr>
        <w:t>投资人必须根据销售机构规定的程序，在开放日的具体业务办理时间内提出申购或赎回的申请。</w:t>
      </w:r>
    </w:p>
    <w:p w:rsidR="00D5306E" w:rsidRDefault="006D76AB">
      <w:pPr>
        <w:spacing w:line="360" w:lineRule="auto"/>
        <w:ind w:firstLineChars="200" w:firstLine="420"/>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、申购和赎回的款项支付</w:t>
      </w:r>
    </w:p>
    <w:p w:rsidR="00D5306E" w:rsidRDefault="006D76AB">
      <w:pPr>
        <w:spacing w:line="360" w:lineRule="auto"/>
        <w:ind w:firstLineChars="200" w:firstLine="420"/>
        <w:rPr>
          <w:rFonts w:ascii="Arial Unicode MS" w:hAnsi="Arial Unicode MS"/>
          <w:bCs/>
          <w:szCs w:val="21"/>
        </w:rPr>
      </w:pPr>
      <w:r>
        <w:rPr>
          <w:rFonts w:ascii="Arial Unicode MS" w:hAnsi="Arial Unicode MS" w:hint="eastAsia"/>
          <w:bCs/>
          <w:szCs w:val="21"/>
        </w:rPr>
        <w:t>投资人申购基金份额时，必须全额交付申购款项，投资人全额交付申购款项，申购成立；</w:t>
      </w:r>
      <w:r>
        <w:rPr>
          <w:rFonts w:ascii="Arial Unicode MS" w:hAnsi="Arial Unicode MS" w:hint="eastAsia"/>
          <w:bCs/>
          <w:szCs w:val="21"/>
        </w:rPr>
        <w:lastRenderedPageBreak/>
        <w:t>基金份额登记机构确认基金份额时，申购生效。</w:t>
      </w:r>
    </w:p>
    <w:p w:rsidR="00D5306E" w:rsidRDefault="006D76AB">
      <w:pPr>
        <w:spacing w:line="360" w:lineRule="auto"/>
        <w:ind w:firstLineChars="200" w:firstLine="420"/>
        <w:rPr>
          <w:rFonts w:ascii="Arial Unicode MS" w:hAnsi="Arial Unicode MS"/>
          <w:bCs/>
          <w:szCs w:val="21"/>
        </w:rPr>
      </w:pPr>
      <w:r>
        <w:rPr>
          <w:rFonts w:ascii="Arial Unicode MS" w:hAnsi="Arial Unicode MS" w:hint="eastAsia"/>
          <w:bCs/>
          <w:szCs w:val="21"/>
        </w:rPr>
        <w:t>基金份额持有人递交赎回申请，赎回成立；基金份额登记机构确认赎回时，赎回生效。投资者赎回申请生效后，基金管理人将在</w:t>
      </w:r>
      <w:r>
        <w:rPr>
          <w:rFonts w:ascii="Arial Unicode MS" w:hAnsi="Arial Unicode MS" w:hint="eastAsia"/>
          <w:bCs/>
          <w:szCs w:val="21"/>
        </w:rPr>
        <w:t>T</w:t>
      </w: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日</w:t>
      </w:r>
      <w:r>
        <w:rPr>
          <w:rFonts w:ascii="Arial Unicode MS" w:hAnsi="Arial Unicode MS" w:hint="eastAsia"/>
          <w:bCs/>
          <w:szCs w:val="21"/>
        </w:rPr>
        <w:t>(</w:t>
      </w:r>
      <w:r>
        <w:rPr>
          <w:rFonts w:ascii="Arial Unicode MS" w:hAnsi="Arial Unicode MS" w:hint="eastAsia"/>
          <w:bCs/>
          <w:szCs w:val="21"/>
        </w:rPr>
        <w:t>包括该日</w:t>
      </w:r>
      <w:r>
        <w:rPr>
          <w:rFonts w:ascii="Arial Unicode MS" w:hAnsi="Arial Unicode MS" w:hint="eastAsia"/>
          <w:bCs/>
          <w:szCs w:val="21"/>
        </w:rPr>
        <w:t>)</w:t>
      </w:r>
      <w:r>
        <w:rPr>
          <w:rFonts w:ascii="Arial Unicode MS" w:hAnsi="Arial Unicode MS" w:hint="eastAsia"/>
          <w:bCs/>
          <w:szCs w:val="21"/>
        </w:rPr>
        <w:t>内支付赎回款项。在发生巨额赎回或基金合同约定的其他暂停赎回或延缓支付赎回款项的情形时，款项的支付办法参照基金合同有关条款处理。</w:t>
      </w:r>
    </w:p>
    <w:p w:rsidR="00D5306E" w:rsidRDefault="006D76AB">
      <w:pPr>
        <w:spacing w:line="360" w:lineRule="auto"/>
        <w:ind w:firstLineChars="200" w:firstLine="420"/>
        <w:rPr>
          <w:rFonts w:ascii="Arial Unicode MS" w:hAnsi="Arial Unicode MS"/>
          <w:bCs/>
          <w:szCs w:val="21"/>
        </w:rPr>
      </w:pPr>
      <w:r>
        <w:rPr>
          <w:rFonts w:ascii="Arial Unicode MS" w:hAnsi="Arial Unicode MS" w:hint="eastAsia"/>
          <w:bCs/>
          <w:szCs w:val="21"/>
        </w:rPr>
        <w:t>如遇交易所或交易市场数据传输延迟、通讯系统故障、银行数据交换系统故障、港股通交易系统或港股通资金交收规则限制或其他非基金管理人及基金托管人所能控制的因素影响处理业务流程，则赎回款项划付时间相应顺延至该因素消除的最近一个工作日。</w:t>
      </w:r>
    </w:p>
    <w:p w:rsidR="00D5306E" w:rsidRDefault="006D76AB">
      <w:pPr>
        <w:spacing w:line="360" w:lineRule="auto"/>
        <w:ind w:firstLineChars="200" w:firstLine="420"/>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、申购和赎回申请的确认</w:t>
      </w:r>
    </w:p>
    <w:p w:rsidR="00D5306E" w:rsidRDefault="006D76AB">
      <w:pPr>
        <w:spacing w:line="360" w:lineRule="auto"/>
        <w:ind w:firstLineChars="200" w:firstLine="420"/>
        <w:rPr>
          <w:rFonts w:ascii="Arial Unicode MS" w:hAnsi="Arial Unicode MS"/>
          <w:bCs/>
          <w:szCs w:val="21"/>
        </w:rPr>
      </w:pPr>
      <w:r>
        <w:rPr>
          <w:rFonts w:ascii="Arial Unicode MS" w:hAnsi="Arial Unicode MS" w:hint="eastAsia"/>
          <w:bCs/>
          <w:szCs w:val="21"/>
        </w:rPr>
        <w:t>基金管理人应以交易时间结束前受理有效申购和赎回申请的当天作为申购或赎回申请日</w:t>
      </w:r>
      <w:r>
        <w:rPr>
          <w:rFonts w:ascii="Arial Unicode MS" w:hAnsi="Arial Unicode MS" w:hint="eastAsia"/>
          <w:bCs/>
          <w:szCs w:val="21"/>
        </w:rPr>
        <w:t>(T</w:t>
      </w:r>
      <w:r>
        <w:rPr>
          <w:rFonts w:ascii="Arial Unicode MS" w:hAnsi="Arial Unicode MS" w:hint="eastAsia"/>
          <w:bCs/>
          <w:szCs w:val="21"/>
        </w:rPr>
        <w:t>日</w:t>
      </w:r>
      <w:r>
        <w:rPr>
          <w:rFonts w:ascii="Arial Unicode MS" w:hAnsi="Arial Unicode MS" w:hint="eastAsia"/>
          <w:bCs/>
          <w:szCs w:val="21"/>
        </w:rPr>
        <w:t>)</w:t>
      </w:r>
      <w:r>
        <w:rPr>
          <w:rFonts w:ascii="Arial Unicode MS" w:hAnsi="Arial Unicode MS" w:hint="eastAsia"/>
          <w:bCs/>
          <w:szCs w:val="21"/>
        </w:rPr>
        <w:t>，在正常情况下，本基金登记机构在</w:t>
      </w:r>
      <w:r>
        <w:rPr>
          <w:rFonts w:ascii="Arial Unicode MS" w:hAnsi="Arial Unicode MS" w:hint="eastAsia"/>
          <w:bCs/>
          <w:szCs w:val="21"/>
        </w:rPr>
        <w:t>T+1</w:t>
      </w:r>
      <w:r>
        <w:rPr>
          <w:rFonts w:ascii="Arial Unicode MS" w:hAnsi="Arial Unicode MS" w:hint="eastAsia"/>
          <w:bCs/>
          <w:szCs w:val="21"/>
        </w:rPr>
        <w:t>日内对该交易的有效性进行确认。</w:t>
      </w:r>
      <w:r>
        <w:rPr>
          <w:rFonts w:ascii="Arial Unicode MS" w:hAnsi="Arial Unicode MS" w:hint="eastAsia"/>
          <w:bCs/>
          <w:szCs w:val="21"/>
        </w:rPr>
        <w:t>T</w:t>
      </w:r>
      <w:r>
        <w:rPr>
          <w:rFonts w:ascii="Arial Unicode MS" w:hAnsi="Arial Unicode MS" w:hint="eastAsia"/>
          <w:bCs/>
          <w:szCs w:val="21"/>
        </w:rPr>
        <w:t>日提交的有效申请，投资人应在</w:t>
      </w:r>
      <w:r>
        <w:rPr>
          <w:rFonts w:ascii="Arial Unicode MS" w:hAnsi="Arial Unicode MS" w:hint="eastAsia"/>
          <w:bCs/>
          <w:szCs w:val="21"/>
        </w:rPr>
        <w:t>T+2</w:t>
      </w:r>
      <w:r>
        <w:rPr>
          <w:rFonts w:ascii="Arial Unicode MS" w:hAnsi="Arial Unicode MS" w:hint="eastAsia"/>
          <w:bCs/>
          <w:szCs w:val="21"/>
        </w:rPr>
        <w:t>日后</w:t>
      </w:r>
      <w:r>
        <w:rPr>
          <w:rFonts w:ascii="Arial Unicode MS" w:hAnsi="Arial Unicode MS" w:hint="eastAsia"/>
          <w:bCs/>
          <w:szCs w:val="21"/>
        </w:rPr>
        <w:t>(</w:t>
      </w:r>
      <w:r>
        <w:rPr>
          <w:rFonts w:ascii="Arial Unicode MS" w:hAnsi="Arial Unicode MS" w:hint="eastAsia"/>
          <w:bCs/>
          <w:szCs w:val="21"/>
        </w:rPr>
        <w:t>包括该日</w:t>
      </w:r>
      <w:r>
        <w:rPr>
          <w:rFonts w:ascii="Arial Unicode MS" w:hAnsi="Arial Unicode MS" w:hint="eastAsia"/>
          <w:bCs/>
          <w:szCs w:val="21"/>
        </w:rPr>
        <w:t>)</w:t>
      </w:r>
      <w:r>
        <w:rPr>
          <w:rFonts w:ascii="Arial Unicode MS" w:hAnsi="Arial Unicode MS" w:hint="eastAsia"/>
          <w:bCs/>
          <w:szCs w:val="21"/>
        </w:rPr>
        <w:t>及时到销售网点柜台或以销售机构规定的其他方式查询申请的确认情况。若申购不成立或无效，则申购款项本金退还给投资人。</w:t>
      </w:r>
    </w:p>
    <w:p w:rsidR="00D5306E" w:rsidRDefault="006D76AB">
      <w:pPr>
        <w:spacing w:line="360" w:lineRule="auto"/>
        <w:ind w:firstLineChars="200" w:firstLine="420"/>
        <w:rPr>
          <w:rFonts w:ascii="Arial Unicode MS" w:hAnsi="Arial Unicode MS"/>
          <w:bCs/>
          <w:szCs w:val="21"/>
        </w:rPr>
      </w:pPr>
      <w:r>
        <w:rPr>
          <w:rFonts w:ascii="Arial Unicode MS" w:hAnsi="Arial Unicode MS" w:hint="eastAsia"/>
          <w:bCs/>
          <w:szCs w:val="21"/>
        </w:rPr>
        <w:t>基金销售机构对申购、赎回申请的受理并不代表申请一定成功，而仅代表销售机构确实接收到申请。申购、赎回申请的确认以登记机构的确认结果为准。对于申请的确认情况，投资者应及时查询。</w:t>
      </w:r>
    </w:p>
    <w:p w:rsidR="00D5306E" w:rsidRDefault="006D76AB">
      <w:pPr>
        <w:spacing w:line="360" w:lineRule="auto"/>
        <w:ind w:firstLineChars="200" w:firstLine="420"/>
        <w:rPr>
          <w:rFonts w:ascii="Arial Unicode MS" w:hAnsi="Arial Unicode MS"/>
          <w:bCs/>
          <w:szCs w:val="21"/>
        </w:rPr>
      </w:pPr>
      <w:r>
        <w:rPr>
          <w:rFonts w:ascii="Arial Unicode MS" w:hAnsi="Arial Unicode MS" w:hint="eastAsia"/>
          <w:bCs/>
          <w:szCs w:val="21"/>
        </w:rPr>
        <w:t>基金管理人可以在法律法规和基金合同允许的范围内，对上述业务办理时间进行调整，并在调整实施前依照《信息披露办法》的有关规定在规定媒介上公告。</w:t>
      </w:r>
    </w:p>
    <w:p w:rsidR="00D5306E" w:rsidRDefault="006D76AB">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kern w:val="0"/>
          <w:szCs w:val="21"/>
        </w:rPr>
        <w:t>六</w:t>
      </w:r>
      <w:r>
        <w:rPr>
          <w:rFonts w:ascii="Arial Unicode MS" w:hAnsi="Arial Unicode MS" w:cs="Arial"/>
          <w:b/>
          <w:bCs/>
          <w:szCs w:val="21"/>
        </w:rPr>
        <w:t>、申购费率、赎回费率</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szCs w:val="21"/>
        </w:rPr>
        <w:t>1</w:t>
      </w:r>
      <w:r>
        <w:rPr>
          <w:rFonts w:ascii="Arial Unicode MS" w:hAnsi="Arial Unicode MS" w:cs="Arial"/>
          <w:szCs w:val="21"/>
        </w:rPr>
        <w:t>、投资</w:t>
      </w:r>
      <w:r>
        <w:rPr>
          <w:rFonts w:ascii="Arial Unicode MS" w:hAnsi="Arial Unicode MS" w:cs="Arial" w:hint="eastAsia"/>
          <w:szCs w:val="21"/>
        </w:rPr>
        <w:t>者</w:t>
      </w:r>
      <w:r>
        <w:rPr>
          <w:rFonts w:ascii="Arial Unicode MS" w:hAnsi="Arial Unicode MS" w:cs="Arial"/>
          <w:szCs w:val="21"/>
        </w:rPr>
        <w:t>可以多次申购本基金，申购费率按每笔申购申请单独计算。</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类基金份额收取申购费用，</w:t>
      </w:r>
      <w:r>
        <w:rPr>
          <w:rFonts w:ascii="Arial Unicode MS" w:hAnsi="Arial Unicode MS" w:cs="Arial" w:hint="eastAsia"/>
          <w:szCs w:val="21"/>
        </w:rPr>
        <w:t>C</w:t>
      </w:r>
      <w:r>
        <w:rPr>
          <w:rFonts w:ascii="Arial Unicode MS" w:hAnsi="Arial Unicode MS" w:cs="Arial" w:hint="eastAsia"/>
          <w:szCs w:val="21"/>
        </w:rPr>
        <w:t>类基金份额不收取申购费用。</w:t>
      </w:r>
      <w:r>
        <w:rPr>
          <w:rFonts w:ascii="Arial Unicode MS" w:hAnsi="Arial Unicode MS" w:cs="Arial" w:hint="eastAsia"/>
        </w:rPr>
        <w:t>投资者的</w:t>
      </w:r>
      <w:r>
        <w:rPr>
          <w:rFonts w:ascii="Arial Unicode MS" w:hAnsi="Arial Unicode MS" w:cs="Arial"/>
        </w:rPr>
        <w:t>申购费用</w:t>
      </w:r>
      <w:r>
        <w:rPr>
          <w:rFonts w:ascii="Arial Unicode MS" w:hAnsi="Arial Unicode MS" w:cs="Arial" w:hint="eastAsia"/>
        </w:rPr>
        <w:t>如下：</w:t>
      </w:r>
      <w:r>
        <w:rPr>
          <w:rFonts w:ascii="Arial Unicode MS" w:hAnsi="Arial Unicode MS" w:cs="Arial"/>
          <w:szCs w:val="21"/>
        </w:rPr>
        <w:t xml:space="preserve"> </w:t>
      </w:r>
    </w:p>
    <w:p w:rsidR="00D5306E" w:rsidRDefault="006D76AB">
      <w:pPr>
        <w:snapToGrid w:val="0"/>
        <w:jc w:val="center"/>
        <w:rPr>
          <w:rFonts w:ascii="Arial Unicode MS" w:hAnsi="Arial Unicode MS" w:cs="Arial"/>
          <w:szCs w:val="21"/>
        </w:rPr>
      </w:pPr>
      <w:r>
        <w:rPr>
          <w:rFonts w:ascii="Arial Unicode MS" w:hAnsi="Arial Unicode MS" w:cs="Arial"/>
          <w:szCs w:val="21"/>
        </w:rPr>
        <w:t>表</w:t>
      </w:r>
      <w:r>
        <w:rPr>
          <w:rFonts w:ascii="Arial Unicode MS" w:hAnsi="Arial Unicode MS" w:cs="Arial" w:hint="eastAsia"/>
          <w:szCs w:val="21"/>
        </w:rPr>
        <w:t>2</w:t>
      </w:r>
      <w:r>
        <w:rPr>
          <w:rFonts w:ascii="Arial Unicode MS" w:hAnsi="Arial Unicode MS" w:cs="Arial"/>
          <w:szCs w:val="21"/>
        </w:rPr>
        <w:t>：</w:t>
      </w:r>
      <w:r>
        <w:rPr>
          <w:rFonts w:ascii="Arial Unicode MS" w:hAnsi="Arial Unicode MS" w:cs="Arial" w:hint="eastAsia"/>
          <w:szCs w:val="21"/>
        </w:rPr>
        <w:t>本基金的</w:t>
      </w:r>
      <w:r>
        <w:rPr>
          <w:rFonts w:ascii="Arial Unicode MS" w:hAnsi="Arial Unicode MS" w:cs="Arial"/>
          <w:szCs w:val="21"/>
        </w:rPr>
        <w:t>申购费率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4"/>
        <w:gridCol w:w="2448"/>
        <w:gridCol w:w="2800"/>
      </w:tblGrid>
      <w:tr w:rsidR="00D5306E">
        <w:trPr>
          <w:jc w:val="center"/>
        </w:trPr>
        <w:tc>
          <w:tcPr>
            <w:tcW w:w="3274" w:type="dxa"/>
            <w:shd w:val="clear" w:color="auto" w:fill="auto"/>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金额（</w:t>
            </w:r>
            <w:r>
              <w:rPr>
                <w:rFonts w:ascii="Arial Unicode MS" w:hAnsi="Arial Unicode MS" w:cs="Arial" w:hint="eastAsia"/>
                <w:szCs w:val="21"/>
              </w:rPr>
              <w:t>M</w:t>
            </w:r>
            <w:r>
              <w:rPr>
                <w:rFonts w:ascii="Arial Unicode MS" w:hAnsi="Arial Unicode MS" w:cs="Arial" w:hint="eastAsia"/>
                <w:szCs w:val="21"/>
              </w:rPr>
              <w:t>）</w:t>
            </w:r>
          </w:p>
        </w:tc>
        <w:tc>
          <w:tcPr>
            <w:tcW w:w="2448" w:type="dxa"/>
            <w:shd w:val="clear" w:color="auto" w:fill="auto"/>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A</w:t>
            </w:r>
            <w:r>
              <w:rPr>
                <w:rFonts w:ascii="Arial Unicode MS" w:hAnsi="Arial Unicode MS" w:cs="Arial" w:hint="eastAsia"/>
                <w:szCs w:val="21"/>
              </w:rPr>
              <w:t>类基金份额申购费率</w:t>
            </w:r>
          </w:p>
        </w:tc>
        <w:tc>
          <w:tcPr>
            <w:tcW w:w="2800" w:type="dxa"/>
            <w:shd w:val="clear" w:color="auto" w:fill="auto"/>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C</w:t>
            </w:r>
            <w:r>
              <w:rPr>
                <w:rFonts w:ascii="Arial Unicode MS" w:hAnsi="Arial Unicode MS" w:cs="Arial" w:hint="eastAsia"/>
                <w:szCs w:val="21"/>
              </w:rPr>
              <w:t>类基金份额的申购费率</w:t>
            </w:r>
          </w:p>
        </w:tc>
      </w:tr>
      <w:tr w:rsidR="00D5306E">
        <w:trPr>
          <w:jc w:val="center"/>
        </w:trPr>
        <w:tc>
          <w:tcPr>
            <w:tcW w:w="3274" w:type="dxa"/>
            <w:shd w:val="clear" w:color="auto" w:fill="auto"/>
            <w:vAlign w:val="center"/>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M</w:t>
            </w:r>
            <w:r>
              <w:rPr>
                <w:rFonts w:ascii="Arial Unicode MS" w:hAnsi="Arial Unicode MS" w:cs="Arial" w:hint="eastAsia"/>
                <w:szCs w:val="21"/>
              </w:rPr>
              <w:t>＜</w:t>
            </w:r>
            <w:r>
              <w:rPr>
                <w:rFonts w:ascii="Arial Unicode MS" w:hAnsi="Arial Unicode MS" w:cs="Arial" w:hint="eastAsia"/>
                <w:szCs w:val="21"/>
              </w:rPr>
              <w:t>100</w:t>
            </w:r>
            <w:r>
              <w:rPr>
                <w:rFonts w:ascii="Arial Unicode MS" w:hAnsi="Arial Unicode MS" w:cs="Arial" w:hint="eastAsia"/>
                <w:szCs w:val="21"/>
              </w:rPr>
              <w:t>万元</w:t>
            </w:r>
          </w:p>
        </w:tc>
        <w:tc>
          <w:tcPr>
            <w:tcW w:w="2448" w:type="dxa"/>
            <w:shd w:val="clear" w:color="auto" w:fill="auto"/>
            <w:vAlign w:val="center"/>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1.50%</w:t>
            </w:r>
          </w:p>
        </w:tc>
        <w:tc>
          <w:tcPr>
            <w:tcW w:w="2800" w:type="dxa"/>
            <w:vMerge w:val="restart"/>
            <w:shd w:val="clear" w:color="auto" w:fill="auto"/>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0%</w:t>
            </w:r>
          </w:p>
        </w:tc>
      </w:tr>
      <w:tr w:rsidR="00D5306E">
        <w:trPr>
          <w:jc w:val="center"/>
        </w:trPr>
        <w:tc>
          <w:tcPr>
            <w:tcW w:w="3274" w:type="dxa"/>
            <w:shd w:val="clear" w:color="auto" w:fill="auto"/>
            <w:vAlign w:val="center"/>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100</w:t>
            </w:r>
            <w:r>
              <w:rPr>
                <w:rFonts w:ascii="Arial Unicode MS" w:hAnsi="Arial Unicode MS" w:cs="Arial" w:hint="eastAsia"/>
                <w:szCs w:val="21"/>
              </w:rPr>
              <w:t>万元≤</w:t>
            </w:r>
            <w:r>
              <w:rPr>
                <w:rFonts w:ascii="Arial Unicode MS" w:hAnsi="Arial Unicode MS" w:cs="Arial" w:hint="eastAsia"/>
                <w:szCs w:val="21"/>
              </w:rPr>
              <w:t>M</w:t>
            </w:r>
            <w:r>
              <w:rPr>
                <w:rFonts w:ascii="Arial Unicode MS" w:hAnsi="Arial Unicode MS" w:cs="Arial" w:hint="eastAsia"/>
                <w:szCs w:val="21"/>
              </w:rPr>
              <w:t>＜</w:t>
            </w:r>
            <w:r>
              <w:rPr>
                <w:rFonts w:ascii="Arial Unicode MS" w:hAnsi="Arial Unicode MS" w:cs="Arial" w:hint="eastAsia"/>
                <w:szCs w:val="21"/>
              </w:rPr>
              <w:t>300</w:t>
            </w:r>
            <w:r>
              <w:rPr>
                <w:rFonts w:ascii="Arial Unicode MS" w:hAnsi="Arial Unicode MS" w:cs="Arial" w:hint="eastAsia"/>
                <w:szCs w:val="21"/>
              </w:rPr>
              <w:t>万元</w:t>
            </w:r>
          </w:p>
        </w:tc>
        <w:tc>
          <w:tcPr>
            <w:tcW w:w="2448" w:type="dxa"/>
            <w:shd w:val="clear" w:color="auto" w:fill="auto"/>
            <w:vAlign w:val="center"/>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1.00%</w:t>
            </w:r>
          </w:p>
        </w:tc>
        <w:tc>
          <w:tcPr>
            <w:tcW w:w="2800" w:type="dxa"/>
            <w:vMerge/>
            <w:shd w:val="clear" w:color="auto" w:fill="auto"/>
          </w:tcPr>
          <w:p w:rsidR="00D5306E" w:rsidRDefault="00D5306E">
            <w:pPr>
              <w:snapToGrid w:val="0"/>
              <w:ind w:firstLineChars="200" w:firstLine="420"/>
              <w:rPr>
                <w:rFonts w:ascii="Arial Unicode MS" w:hAnsi="Arial Unicode MS" w:cs="Arial"/>
                <w:szCs w:val="21"/>
              </w:rPr>
            </w:pPr>
          </w:p>
        </w:tc>
      </w:tr>
      <w:tr w:rsidR="00D5306E">
        <w:trPr>
          <w:jc w:val="center"/>
        </w:trPr>
        <w:tc>
          <w:tcPr>
            <w:tcW w:w="3274" w:type="dxa"/>
            <w:shd w:val="clear" w:color="auto" w:fill="auto"/>
            <w:vAlign w:val="center"/>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300</w:t>
            </w:r>
            <w:r>
              <w:rPr>
                <w:rFonts w:ascii="Arial Unicode MS" w:hAnsi="Arial Unicode MS" w:cs="Arial" w:hint="eastAsia"/>
                <w:szCs w:val="21"/>
              </w:rPr>
              <w:t>万元≤</w:t>
            </w:r>
            <w:r>
              <w:rPr>
                <w:rFonts w:ascii="Arial Unicode MS" w:hAnsi="Arial Unicode MS" w:cs="Arial" w:hint="eastAsia"/>
                <w:szCs w:val="21"/>
              </w:rPr>
              <w:t>M</w:t>
            </w:r>
            <w:r>
              <w:rPr>
                <w:rFonts w:ascii="Arial Unicode MS" w:hAnsi="Arial Unicode MS" w:cs="Arial" w:hint="eastAsia"/>
                <w:szCs w:val="21"/>
              </w:rPr>
              <w:t>＜</w:t>
            </w:r>
            <w:r>
              <w:rPr>
                <w:rFonts w:ascii="Arial Unicode MS" w:hAnsi="Arial Unicode MS" w:cs="Arial" w:hint="eastAsia"/>
                <w:szCs w:val="21"/>
              </w:rPr>
              <w:t>500</w:t>
            </w:r>
            <w:r>
              <w:rPr>
                <w:rFonts w:ascii="Arial Unicode MS" w:hAnsi="Arial Unicode MS" w:cs="Arial" w:hint="eastAsia"/>
                <w:szCs w:val="21"/>
              </w:rPr>
              <w:t>万元</w:t>
            </w:r>
          </w:p>
        </w:tc>
        <w:tc>
          <w:tcPr>
            <w:tcW w:w="2448" w:type="dxa"/>
            <w:shd w:val="clear" w:color="auto" w:fill="auto"/>
            <w:vAlign w:val="center"/>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0.60%</w:t>
            </w:r>
          </w:p>
        </w:tc>
        <w:tc>
          <w:tcPr>
            <w:tcW w:w="2800" w:type="dxa"/>
            <w:vMerge/>
            <w:shd w:val="clear" w:color="auto" w:fill="auto"/>
          </w:tcPr>
          <w:p w:rsidR="00D5306E" w:rsidRDefault="00D5306E">
            <w:pPr>
              <w:snapToGrid w:val="0"/>
              <w:ind w:firstLineChars="200" w:firstLine="420"/>
              <w:rPr>
                <w:rFonts w:ascii="Arial Unicode MS" w:hAnsi="Arial Unicode MS" w:cs="Arial"/>
                <w:szCs w:val="21"/>
              </w:rPr>
            </w:pPr>
          </w:p>
        </w:tc>
      </w:tr>
      <w:tr w:rsidR="00D5306E">
        <w:trPr>
          <w:jc w:val="center"/>
        </w:trPr>
        <w:tc>
          <w:tcPr>
            <w:tcW w:w="3274" w:type="dxa"/>
            <w:shd w:val="clear" w:color="auto" w:fill="auto"/>
            <w:vAlign w:val="center"/>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M</w:t>
            </w:r>
            <w:r>
              <w:rPr>
                <w:rFonts w:ascii="Arial Unicode MS" w:hAnsi="Arial Unicode MS" w:cs="Arial" w:hint="eastAsia"/>
                <w:szCs w:val="21"/>
              </w:rPr>
              <w:t>≥</w:t>
            </w:r>
            <w:r>
              <w:rPr>
                <w:rFonts w:ascii="Arial Unicode MS" w:hAnsi="Arial Unicode MS" w:cs="Arial" w:hint="eastAsia"/>
                <w:szCs w:val="21"/>
              </w:rPr>
              <w:t>500</w:t>
            </w:r>
            <w:r>
              <w:rPr>
                <w:rFonts w:ascii="Arial Unicode MS" w:hAnsi="Arial Unicode MS" w:cs="Arial" w:hint="eastAsia"/>
                <w:szCs w:val="21"/>
              </w:rPr>
              <w:t>万元</w:t>
            </w:r>
          </w:p>
        </w:tc>
        <w:tc>
          <w:tcPr>
            <w:tcW w:w="2448" w:type="dxa"/>
            <w:shd w:val="clear" w:color="auto" w:fill="auto"/>
            <w:vAlign w:val="center"/>
          </w:tcPr>
          <w:p w:rsidR="00D5306E" w:rsidRDefault="006D76AB">
            <w:pPr>
              <w:snapToGrid w:val="0"/>
              <w:jc w:val="center"/>
              <w:rPr>
                <w:rFonts w:ascii="Arial Unicode MS" w:hAnsi="Arial Unicode MS" w:cs="Arial"/>
                <w:szCs w:val="21"/>
              </w:rPr>
            </w:pPr>
            <w:r>
              <w:rPr>
                <w:rFonts w:ascii="Arial Unicode MS" w:hAnsi="Arial Unicode MS" w:cs="Arial" w:hint="eastAsia"/>
                <w:szCs w:val="21"/>
              </w:rPr>
              <w:t>1000</w:t>
            </w:r>
            <w:r>
              <w:rPr>
                <w:rFonts w:ascii="Arial Unicode MS" w:hAnsi="Arial Unicode MS" w:cs="Arial" w:hint="eastAsia"/>
                <w:szCs w:val="21"/>
              </w:rPr>
              <w:t>元</w:t>
            </w:r>
            <w:r>
              <w:rPr>
                <w:rFonts w:ascii="Arial Unicode MS" w:hAnsi="Arial Unicode MS" w:cs="Arial" w:hint="eastAsia"/>
                <w:szCs w:val="21"/>
              </w:rPr>
              <w:t>/</w:t>
            </w:r>
            <w:r>
              <w:rPr>
                <w:rFonts w:ascii="Arial Unicode MS" w:hAnsi="Arial Unicode MS" w:cs="Arial" w:hint="eastAsia"/>
                <w:szCs w:val="21"/>
              </w:rPr>
              <w:t>笔</w:t>
            </w:r>
          </w:p>
        </w:tc>
        <w:tc>
          <w:tcPr>
            <w:tcW w:w="2800" w:type="dxa"/>
            <w:vMerge/>
            <w:shd w:val="clear" w:color="auto" w:fill="auto"/>
          </w:tcPr>
          <w:p w:rsidR="00D5306E" w:rsidRDefault="00D5306E">
            <w:pPr>
              <w:snapToGrid w:val="0"/>
              <w:ind w:firstLineChars="200" w:firstLine="420"/>
              <w:rPr>
                <w:rFonts w:ascii="Arial Unicode MS" w:hAnsi="Arial Unicode MS" w:cs="Arial"/>
                <w:szCs w:val="21"/>
              </w:rPr>
            </w:pPr>
          </w:p>
        </w:tc>
      </w:tr>
    </w:tbl>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w:t>
      </w:r>
      <w:r>
        <w:rPr>
          <w:rFonts w:ascii="Arial Unicode MS" w:hAnsi="Arial Unicode MS" w:cs="Arial" w:hint="eastAsia"/>
          <w:szCs w:val="21"/>
        </w:rPr>
        <w:t>A</w:t>
      </w:r>
      <w:r>
        <w:rPr>
          <w:rFonts w:ascii="Arial Unicode MS" w:hAnsi="Arial Unicode MS" w:cs="Arial" w:hint="eastAsia"/>
          <w:szCs w:val="21"/>
        </w:rPr>
        <w:t>类</w:t>
      </w:r>
      <w:r>
        <w:rPr>
          <w:rFonts w:ascii="Arial Unicode MS" w:hAnsi="Arial Unicode MS" w:cs="Arial"/>
          <w:szCs w:val="21"/>
        </w:rPr>
        <w:t>基金份额的申购费用由</w:t>
      </w:r>
      <w:r>
        <w:rPr>
          <w:rFonts w:ascii="Arial Unicode MS" w:hAnsi="Arial Unicode MS" w:cs="Arial" w:hint="eastAsia"/>
          <w:szCs w:val="21"/>
        </w:rPr>
        <w:t>投资人</w:t>
      </w:r>
      <w:r>
        <w:rPr>
          <w:rFonts w:ascii="Arial Unicode MS" w:hAnsi="Arial Unicode MS" w:cs="Arial"/>
          <w:szCs w:val="21"/>
        </w:rPr>
        <w:t>承担，主要用于本基金的市场推广、销售、登记等各项费用，不列入基金财产。</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基金管理人可以针对特定投资人（如养老金客户等）开展费率优惠活动，具体见基金管理人相关公告。</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szCs w:val="21"/>
        </w:rPr>
        <w:lastRenderedPageBreak/>
        <w:t>2</w:t>
      </w:r>
      <w:r>
        <w:rPr>
          <w:rFonts w:ascii="Arial Unicode MS" w:hAnsi="Arial Unicode MS" w:cs="Arial"/>
          <w:szCs w:val="21"/>
        </w:rPr>
        <w:t>、</w:t>
      </w:r>
      <w:r>
        <w:rPr>
          <w:rFonts w:ascii="Arial Unicode MS" w:hAnsi="Arial Unicode MS" w:cs="Arial" w:hint="eastAsia"/>
          <w:szCs w:val="21"/>
        </w:rPr>
        <w:t>本基金赎回费率</w:t>
      </w:r>
    </w:p>
    <w:p w:rsidR="00D5306E" w:rsidRDefault="006D76AB">
      <w:pPr>
        <w:ind w:firstLineChars="750" w:firstLine="1575"/>
        <w:rPr>
          <w:rFonts w:cs="Arial"/>
          <w:szCs w:val="21"/>
        </w:rPr>
      </w:pPr>
      <w:r>
        <w:rPr>
          <w:rFonts w:hAnsi="宋体" w:cs="Arial" w:hint="eastAsia"/>
          <w:szCs w:val="21"/>
        </w:rPr>
        <w:t>表</w:t>
      </w:r>
      <w:r>
        <w:rPr>
          <w:rFonts w:hAnsi="宋体" w:cs="Arial" w:hint="eastAsia"/>
          <w:szCs w:val="21"/>
        </w:rPr>
        <w:t>3</w:t>
      </w:r>
      <w:r>
        <w:rPr>
          <w:rFonts w:hAnsi="宋体" w:cs="Arial" w:hint="eastAsia"/>
          <w:szCs w:val="21"/>
        </w:rPr>
        <w:t>：</w:t>
      </w:r>
      <w:r>
        <w:rPr>
          <w:rFonts w:hAnsi="宋体" w:cs="Arial"/>
          <w:szCs w:val="21"/>
        </w:rPr>
        <w:t>本基金</w:t>
      </w:r>
      <w:r>
        <w:rPr>
          <w:rFonts w:hAnsi="宋体" w:cs="Arial" w:hint="eastAsia"/>
          <w:szCs w:val="21"/>
        </w:rPr>
        <w:t>A</w:t>
      </w:r>
      <w:r>
        <w:rPr>
          <w:rFonts w:hAnsi="宋体" w:cs="Arial" w:hint="eastAsia"/>
          <w:szCs w:val="21"/>
        </w:rPr>
        <w:t>、</w:t>
      </w:r>
      <w:r>
        <w:rPr>
          <w:rFonts w:hAnsi="宋体" w:cs="Arial" w:hint="eastAsia"/>
          <w:szCs w:val="21"/>
        </w:rPr>
        <w:t>C</w:t>
      </w:r>
      <w:r>
        <w:rPr>
          <w:rFonts w:hAnsi="宋体" w:cs="Arial" w:hint="eastAsia"/>
          <w:szCs w:val="21"/>
        </w:rPr>
        <w:t>类份额</w:t>
      </w:r>
      <w:r>
        <w:rPr>
          <w:rFonts w:hAnsi="宋体" w:cs="Arial"/>
          <w:szCs w:val="21"/>
        </w:rPr>
        <w:t>的赎回费率表</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5"/>
        <w:gridCol w:w="2596"/>
        <w:gridCol w:w="2661"/>
      </w:tblGrid>
      <w:tr w:rsidR="00D5306E">
        <w:trPr>
          <w:trHeight w:val="340"/>
          <w:jc w:val="center"/>
        </w:trPr>
        <w:tc>
          <w:tcPr>
            <w:tcW w:w="3265" w:type="dxa"/>
            <w:vAlign w:val="bottom"/>
          </w:tcPr>
          <w:p w:rsidR="00D5306E" w:rsidRDefault="006D76AB">
            <w:pPr>
              <w:spacing w:line="276" w:lineRule="auto"/>
              <w:jc w:val="center"/>
              <w:rPr>
                <w:rFonts w:ascii="宋体" w:hAnsi="宋体" w:cs="Arial"/>
                <w:szCs w:val="21"/>
              </w:rPr>
            </w:pPr>
            <w:r>
              <w:rPr>
                <w:rFonts w:ascii="宋体" w:hAnsi="宋体" w:cs="Arial" w:hint="eastAsia"/>
                <w:szCs w:val="21"/>
              </w:rPr>
              <w:t>持有期（Y）</w:t>
            </w:r>
          </w:p>
        </w:tc>
        <w:tc>
          <w:tcPr>
            <w:tcW w:w="2596" w:type="dxa"/>
            <w:vAlign w:val="bottom"/>
          </w:tcPr>
          <w:p w:rsidR="00D5306E" w:rsidRDefault="006D76AB">
            <w:pPr>
              <w:spacing w:line="276" w:lineRule="auto"/>
              <w:jc w:val="center"/>
              <w:rPr>
                <w:rFonts w:ascii="宋体" w:hAnsi="宋体" w:cs="Arial"/>
                <w:szCs w:val="21"/>
              </w:rPr>
            </w:pPr>
            <w:r>
              <w:rPr>
                <w:rFonts w:ascii="宋体" w:hAnsi="宋体" w:cs="Arial" w:hint="eastAsia"/>
                <w:szCs w:val="21"/>
              </w:rPr>
              <w:t>A类基金份额赎回费率</w:t>
            </w:r>
          </w:p>
        </w:tc>
        <w:tc>
          <w:tcPr>
            <w:tcW w:w="2661" w:type="dxa"/>
            <w:vAlign w:val="center"/>
          </w:tcPr>
          <w:p w:rsidR="00D5306E" w:rsidRDefault="006D76AB">
            <w:pPr>
              <w:spacing w:line="276" w:lineRule="auto"/>
              <w:jc w:val="center"/>
              <w:rPr>
                <w:rFonts w:ascii="宋体" w:hAnsi="宋体" w:cs="Arial"/>
                <w:szCs w:val="21"/>
              </w:rPr>
            </w:pPr>
            <w:r>
              <w:rPr>
                <w:rFonts w:ascii="宋体" w:hAnsi="宋体" w:cs="Arial" w:hint="eastAsia"/>
                <w:szCs w:val="21"/>
              </w:rPr>
              <w:t>C类基金份额</w:t>
            </w:r>
            <w:r>
              <w:rPr>
                <w:rFonts w:ascii="宋体" w:hAnsi="宋体" w:cs="Arial"/>
                <w:szCs w:val="21"/>
              </w:rPr>
              <w:t>赎回费率</w:t>
            </w:r>
          </w:p>
        </w:tc>
      </w:tr>
      <w:tr w:rsidR="00D5306E">
        <w:trPr>
          <w:trHeight w:val="340"/>
          <w:jc w:val="center"/>
        </w:trPr>
        <w:tc>
          <w:tcPr>
            <w:tcW w:w="3265" w:type="dxa"/>
            <w:vAlign w:val="center"/>
          </w:tcPr>
          <w:p w:rsidR="00D5306E" w:rsidRDefault="006D76AB">
            <w:pPr>
              <w:spacing w:line="276" w:lineRule="auto"/>
              <w:jc w:val="center"/>
              <w:rPr>
                <w:rFonts w:ascii="宋体" w:hAnsi="宋体" w:cs="Arial"/>
                <w:szCs w:val="21"/>
              </w:rPr>
            </w:pPr>
            <w:r>
              <w:rPr>
                <w:rFonts w:ascii="宋体" w:hAnsi="宋体" w:cs="Arial"/>
                <w:szCs w:val="21"/>
              </w:rPr>
              <w:t>Y＜7</w:t>
            </w:r>
            <w:r>
              <w:rPr>
                <w:rFonts w:ascii="宋体" w:hAnsi="宋体" w:cs="Arial" w:hint="eastAsia"/>
                <w:szCs w:val="21"/>
              </w:rPr>
              <w:t>日</w:t>
            </w:r>
          </w:p>
        </w:tc>
        <w:tc>
          <w:tcPr>
            <w:tcW w:w="2596" w:type="dxa"/>
            <w:vAlign w:val="center"/>
          </w:tcPr>
          <w:p w:rsidR="00D5306E" w:rsidRDefault="006D76AB">
            <w:pPr>
              <w:spacing w:line="276" w:lineRule="auto"/>
              <w:jc w:val="center"/>
              <w:rPr>
                <w:rFonts w:ascii="宋体" w:hAnsi="宋体" w:cs="Arial"/>
                <w:szCs w:val="21"/>
              </w:rPr>
            </w:pPr>
            <w:r>
              <w:rPr>
                <w:rFonts w:ascii="宋体" w:hAnsi="宋体" w:cs="Arial" w:hint="eastAsia"/>
                <w:szCs w:val="21"/>
              </w:rPr>
              <w:t>1.50%</w:t>
            </w:r>
          </w:p>
        </w:tc>
        <w:tc>
          <w:tcPr>
            <w:tcW w:w="2661" w:type="dxa"/>
            <w:vAlign w:val="center"/>
          </w:tcPr>
          <w:p w:rsidR="00D5306E" w:rsidRDefault="006D76AB">
            <w:pPr>
              <w:spacing w:line="276" w:lineRule="auto"/>
              <w:jc w:val="center"/>
              <w:rPr>
                <w:rFonts w:ascii="宋体" w:hAnsi="宋体" w:cs="Arial"/>
                <w:szCs w:val="21"/>
              </w:rPr>
            </w:pPr>
            <w:r>
              <w:rPr>
                <w:rFonts w:ascii="宋体" w:hAnsi="宋体" w:cs="Arial" w:hint="eastAsia"/>
                <w:szCs w:val="21"/>
              </w:rPr>
              <w:t>1.50%</w:t>
            </w:r>
          </w:p>
        </w:tc>
      </w:tr>
      <w:tr w:rsidR="00D5306E">
        <w:trPr>
          <w:trHeight w:val="340"/>
          <w:jc w:val="center"/>
        </w:trPr>
        <w:tc>
          <w:tcPr>
            <w:tcW w:w="3265" w:type="dxa"/>
            <w:vAlign w:val="center"/>
          </w:tcPr>
          <w:p w:rsidR="00D5306E" w:rsidRDefault="006D76AB">
            <w:pPr>
              <w:spacing w:line="276" w:lineRule="auto"/>
              <w:jc w:val="center"/>
              <w:rPr>
                <w:rFonts w:ascii="宋体" w:hAnsi="宋体" w:cs="Arial"/>
                <w:szCs w:val="21"/>
              </w:rPr>
            </w:pPr>
            <w:r>
              <w:rPr>
                <w:rFonts w:ascii="宋体" w:hAnsi="宋体" w:cs="Arial"/>
                <w:szCs w:val="21"/>
              </w:rPr>
              <w:t>7</w:t>
            </w:r>
            <w:r>
              <w:rPr>
                <w:rFonts w:ascii="宋体" w:hAnsi="宋体" w:cs="Arial" w:hint="eastAsia"/>
                <w:szCs w:val="21"/>
              </w:rPr>
              <w:t>日</w:t>
            </w:r>
            <w:r>
              <w:rPr>
                <w:rFonts w:ascii="宋体" w:hAnsi="宋体" w:cs="Arial"/>
                <w:szCs w:val="21"/>
              </w:rPr>
              <w:t>≤Y＜30</w:t>
            </w:r>
            <w:r>
              <w:rPr>
                <w:rFonts w:ascii="宋体" w:hAnsi="宋体" w:cs="Arial" w:hint="eastAsia"/>
                <w:szCs w:val="21"/>
              </w:rPr>
              <w:t>日</w:t>
            </w:r>
          </w:p>
        </w:tc>
        <w:tc>
          <w:tcPr>
            <w:tcW w:w="2596" w:type="dxa"/>
            <w:vAlign w:val="center"/>
          </w:tcPr>
          <w:p w:rsidR="00D5306E" w:rsidRDefault="006D76AB">
            <w:pPr>
              <w:spacing w:line="276" w:lineRule="auto"/>
              <w:jc w:val="center"/>
              <w:rPr>
                <w:rFonts w:ascii="宋体" w:hAnsi="宋体" w:cs="Arial"/>
                <w:szCs w:val="21"/>
              </w:rPr>
            </w:pPr>
            <w:r>
              <w:rPr>
                <w:rFonts w:ascii="宋体" w:hAnsi="宋体" w:cs="Arial" w:hint="eastAsia"/>
                <w:szCs w:val="21"/>
              </w:rPr>
              <w:t>0.75%</w:t>
            </w:r>
          </w:p>
        </w:tc>
        <w:tc>
          <w:tcPr>
            <w:tcW w:w="2661" w:type="dxa"/>
            <w:vAlign w:val="center"/>
          </w:tcPr>
          <w:p w:rsidR="00D5306E" w:rsidRDefault="006D76AB">
            <w:pPr>
              <w:spacing w:line="276" w:lineRule="auto"/>
              <w:jc w:val="center"/>
              <w:rPr>
                <w:rFonts w:ascii="宋体" w:hAnsi="宋体" w:cs="Arial"/>
                <w:szCs w:val="21"/>
              </w:rPr>
            </w:pPr>
            <w:r>
              <w:rPr>
                <w:rFonts w:ascii="宋体" w:hAnsi="宋体" w:cs="Arial" w:hint="eastAsia"/>
                <w:szCs w:val="21"/>
              </w:rPr>
              <w:t>0.50%</w:t>
            </w:r>
          </w:p>
        </w:tc>
      </w:tr>
      <w:tr w:rsidR="00D5306E">
        <w:trPr>
          <w:trHeight w:val="340"/>
          <w:jc w:val="center"/>
        </w:trPr>
        <w:tc>
          <w:tcPr>
            <w:tcW w:w="3265" w:type="dxa"/>
            <w:vAlign w:val="center"/>
          </w:tcPr>
          <w:p w:rsidR="00D5306E" w:rsidRDefault="006D76AB">
            <w:pPr>
              <w:spacing w:line="276" w:lineRule="auto"/>
              <w:jc w:val="center"/>
              <w:rPr>
                <w:rFonts w:ascii="宋体" w:hAnsi="宋体" w:cs="Arial"/>
                <w:szCs w:val="21"/>
              </w:rPr>
            </w:pPr>
            <w:r>
              <w:rPr>
                <w:rFonts w:ascii="宋体" w:hAnsi="宋体" w:cs="Arial"/>
                <w:szCs w:val="21"/>
              </w:rPr>
              <w:t>30</w:t>
            </w:r>
            <w:r>
              <w:rPr>
                <w:rFonts w:ascii="宋体" w:hAnsi="宋体" w:cs="Arial" w:hint="eastAsia"/>
                <w:szCs w:val="21"/>
              </w:rPr>
              <w:t>日</w:t>
            </w:r>
            <w:r>
              <w:rPr>
                <w:rFonts w:ascii="宋体" w:hAnsi="宋体" w:cs="Arial"/>
                <w:szCs w:val="21"/>
              </w:rPr>
              <w:t>≤Y＜6</w:t>
            </w:r>
            <w:r>
              <w:rPr>
                <w:rFonts w:ascii="宋体" w:hAnsi="宋体" w:cs="Arial" w:hint="eastAsia"/>
                <w:szCs w:val="21"/>
              </w:rPr>
              <w:t>个月</w:t>
            </w:r>
          </w:p>
        </w:tc>
        <w:tc>
          <w:tcPr>
            <w:tcW w:w="2596" w:type="dxa"/>
            <w:vAlign w:val="center"/>
          </w:tcPr>
          <w:p w:rsidR="00D5306E" w:rsidRDefault="006D76AB">
            <w:pPr>
              <w:spacing w:line="276" w:lineRule="auto"/>
              <w:jc w:val="center"/>
              <w:rPr>
                <w:rFonts w:ascii="宋体" w:hAnsi="宋体" w:cs="Arial"/>
                <w:szCs w:val="21"/>
              </w:rPr>
            </w:pPr>
            <w:r>
              <w:rPr>
                <w:rFonts w:ascii="宋体" w:hAnsi="宋体" w:cs="Arial" w:hint="eastAsia"/>
                <w:szCs w:val="21"/>
              </w:rPr>
              <w:t>0.50%</w:t>
            </w:r>
          </w:p>
        </w:tc>
        <w:tc>
          <w:tcPr>
            <w:tcW w:w="2661" w:type="dxa"/>
            <w:vMerge w:val="restart"/>
            <w:vAlign w:val="center"/>
          </w:tcPr>
          <w:p w:rsidR="00D5306E" w:rsidRDefault="006D76AB">
            <w:pPr>
              <w:spacing w:line="276" w:lineRule="auto"/>
              <w:jc w:val="center"/>
              <w:rPr>
                <w:rFonts w:ascii="宋体" w:hAnsi="宋体" w:cs="Arial"/>
                <w:szCs w:val="21"/>
              </w:rPr>
            </w:pPr>
            <w:r>
              <w:rPr>
                <w:rFonts w:ascii="宋体" w:hAnsi="宋体" w:cs="Arial" w:hint="eastAsia"/>
                <w:szCs w:val="21"/>
              </w:rPr>
              <w:t>0%</w:t>
            </w:r>
          </w:p>
        </w:tc>
      </w:tr>
      <w:tr w:rsidR="00D5306E">
        <w:trPr>
          <w:trHeight w:val="340"/>
          <w:jc w:val="center"/>
        </w:trPr>
        <w:tc>
          <w:tcPr>
            <w:tcW w:w="3265" w:type="dxa"/>
            <w:vAlign w:val="center"/>
          </w:tcPr>
          <w:p w:rsidR="00D5306E" w:rsidRDefault="006D76AB">
            <w:pPr>
              <w:spacing w:line="276" w:lineRule="auto"/>
              <w:jc w:val="center"/>
              <w:rPr>
                <w:rFonts w:ascii="宋体" w:hAnsi="宋体" w:cs="Arial"/>
                <w:szCs w:val="21"/>
              </w:rPr>
            </w:pPr>
            <w:r>
              <w:rPr>
                <w:rFonts w:ascii="宋体" w:hAnsi="宋体" w:cs="Arial"/>
                <w:szCs w:val="21"/>
              </w:rPr>
              <w:t>Y≥6</w:t>
            </w:r>
            <w:r>
              <w:rPr>
                <w:rFonts w:ascii="宋体" w:hAnsi="宋体" w:cs="Arial" w:hint="eastAsia"/>
                <w:szCs w:val="21"/>
              </w:rPr>
              <w:t>个月</w:t>
            </w:r>
          </w:p>
        </w:tc>
        <w:tc>
          <w:tcPr>
            <w:tcW w:w="2596" w:type="dxa"/>
            <w:vAlign w:val="center"/>
          </w:tcPr>
          <w:p w:rsidR="00D5306E" w:rsidRDefault="006D76AB">
            <w:pPr>
              <w:spacing w:line="276" w:lineRule="auto"/>
              <w:jc w:val="center"/>
              <w:rPr>
                <w:rFonts w:ascii="宋体" w:hAnsi="宋体" w:cs="Arial"/>
                <w:szCs w:val="21"/>
              </w:rPr>
            </w:pPr>
            <w:r>
              <w:rPr>
                <w:rFonts w:ascii="宋体" w:hAnsi="宋体" w:cs="Arial" w:hint="eastAsia"/>
                <w:szCs w:val="21"/>
              </w:rPr>
              <w:t>0%</w:t>
            </w:r>
          </w:p>
        </w:tc>
        <w:tc>
          <w:tcPr>
            <w:tcW w:w="2661" w:type="dxa"/>
            <w:vMerge/>
            <w:vAlign w:val="center"/>
          </w:tcPr>
          <w:p w:rsidR="00D5306E" w:rsidRDefault="00D5306E">
            <w:pPr>
              <w:widowControl/>
              <w:spacing w:line="336" w:lineRule="auto"/>
              <w:jc w:val="center"/>
              <w:rPr>
                <w:rFonts w:ascii="宋体" w:hAnsi="宋体"/>
                <w:kern w:val="0"/>
                <w:szCs w:val="21"/>
              </w:rPr>
            </w:pPr>
          </w:p>
        </w:tc>
      </w:tr>
    </w:tbl>
    <w:p w:rsidR="00D5306E" w:rsidRDefault="006D76AB">
      <w:pPr>
        <w:spacing w:line="360" w:lineRule="auto"/>
        <w:ind w:firstLineChars="200" w:firstLine="420"/>
        <w:rPr>
          <w:color w:val="000000"/>
          <w:szCs w:val="21"/>
        </w:rPr>
      </w:pPr>
      <w:r>
        <w:rPr>
          <w:rFonts w:hint="eastAsia"/>
          <w:color w:val="000000"/>
          <w:szCs w:val="21"/>
        </w:rPr>
        <w:t>注：</w:t>
      </w:r>
      <w:r>
        <w:rPr>
          <w:rFonts w:hint="eastAsia"/>
          <w:color w:val="000000"/>
          <w:szCs w:val="21"/>
        </w:rPr>
        <w:t>1</w:t>
      </w:r>
      <w:r>
        <w:rPr>
          <w:rFonts w:hint="eastAsia"/>
          <w:color w:val="000000"/>
          <w:szCs w:val="21"/>
        </w:rPr>
        <w:t>个月指</w:t>
      </w:r>
      <w:r>
        <w:rPr>
          <w:rFonts w:hint="eastAsia"/>
          <w:color w:val="000000"/>
          <w:szCs w:val="21"/>
        </w:rPr>
        <w:t>30</w:t>
      </w:r>
      <w:r>
        <w:rPr>
          <w:rFonts w:hint="eastAsia"/>
          <w:color w:val="000000"/>
          <w:szCs w:val="21"/>
        </w:rPr>
        <w:t>日</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本基金赎回费用由赎回基金份额的基金份额持有人承担。本基金的赎回费用在投资者赎回本基金份额时收取，扣除用于市场推广、登记费和其他手续费后的余额归入基金财产。对于A类</w:t>
      </w:r>
      <w:r>
        <w:rPr>
          <w:rFonts w:ascii="宋体" w:hAnsi="宋体" w:cs="Arial"/>
          <w:szCs w:val="21"/>
        </w:rPr>
        <w:t>基金份额，</w:t>
      </w:r>
      <w:r>
        <w:rPr>
          <w:rFonts w:ascii="宋体" w:hAnsi="宋体" w:cs="Arial" w:hint="eastAsia"/>
          <w:szCs w:val="21"/>
        </w:rPr>
        <w:t>本基金对持续持有期少于30日的投资人收取的赎回费，全额计入基金资产；对持续持有期不少于30日但少于3个月的投资人收取的赎回费，75%计入基金资产；对持续持有期不少于3个月但少于6个月的投资人收取的赎回费，50%计入基金资产。对于C类基金份额，对持续持有期少于30日的投资人收取的赎回费全额计入基金财产。</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基金管理人可以针对特定投资人（如养老金客户等）开展费率优惠活动，具体见基金管理人相关公告。</w:t>
      </w:r>
    </w:p>
    <w:p w:rsidR="00D5306E" w:rsidRDefault="006D76AB">
      <w:pPr>
        <w:spacing w:line="360" w:lineRule="auto"/>
        <w:ind w:firstLineChars="200" w:firstLine="420"/>
        <w:rPr>
          <w:rFonts w:ascii="Arial Unicode MS" w:hAnsi="Arial Unicode MS" w:cs="Arial"/>
          <w:color w:val="202020"/>
          <w:kern w:val="0"/>
          <w:szCs w:val="21"/>
        </w:rPr>
      </w:pPr>
      <w:r>
        <w:rPr>
          <w:rFonts w:ascii="Arial Unicode MS" w:hAnsi="Arial Unicode MS" w:cs="Arial" w:hint="eastAsia"/>
          <w:color w:val="202020"/>
          <w:kern w:val="0"/>
          <w:szCs w:val="21"/>
        </w:rPr>
        <w:t>3</w:t>
      </w:r>
      <w:r>
        <w:rPr>
          <w:rFonts w:ascii="Arial Unicode MS" w:hAnsi="Arial Unicode MS" w:cs="Arial" w:hint="eastAsia"/>
          <w:color w:val="202020"/>
          <w:kern w:val="0"/>
          <w:szCs w:val="21"/>
        </w:rPr>
        <w:t>、基金管理人可以在基金合同约定的范围内调整费率或收费方式，并</w:t>
      </w:r>
      <w:r>
        <w:rPr>
          <w:rFonts w:ascii="Arial Unicode MS" w:hAnsi="Arial Unicode MS" w:cs="Arial"/>
          <w:bCs/>
          <w:color w:val="202020"/>
          <w:kern w:val="0"/>
          <w:szCs w:val="21"/>
        </w:rPr>
        <w:t>最迟应于新的费率或收费方式实施日</w:t>
      </w:r>
      <w:r>
        <w:rPr>
          <w:rFonts w:ascii="Arial Unicode MS" w:hAnsi="Arial Unicode MS" w:cs="Arial" w:hint="eastAsia"/>
          <w:bCs/>
          <w:color w:val="202020"/>
          <w:kern w:val="0"/>
          <w:szCs w:val="21"/>
        </w:rPr>
        <w:t>前</w:t>
      </w:r>
      <w:r>
        <w:rPr>
          <w:rFonts w:ascii="Arial Unicode MS" w:hAnsi="Arial Unicode MS" w:cs="Arial" w:hint="eastAsia"/>
          <w:color w:val="202020"/>
          <w:kern w:val="0"/>
          <w:szCs w:val="21"/>
        </w:rPr>
        <w:t>依照《信息披露办法》的有关规定在规定媒介上公告。</w:t>
      </w:r>
    </w:p>
    <w:p w:rsidR="00D5306E" w:rsidRDefault="006D76AB">
      <w:pPr>
        <w:tabs>
          <w:tab w:val="left" w:pos="1110"/>
        </w:tabs>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w:t>
      </w:r>
      <w:r>
        <w:rPr>
          <w:rFonts w:ascii="Arial Unicode MS" w:hAnsi="Arial Unicode MS" w:cs="Arial"/>
          <w:b/>
          <w:bCs/>
          <w:szCs w:val="21"/>
        </w:rPr>
        <w:t>、申购</w:t>
      </w:r>
      <w:r>
        <w:rPr>
          <w:rFonts w:ascii="Arial Unicode MS" w:hAnsi="Arial Unicode MS" w:cs="Arial" w:hint="eastAsia"/>
          <w:b/>
          <w:bCs/>
          <w:szCs w:val="21"/>
        </w:rPr>
        <w:t>份额</w:t>
      </w:r>
      <w:r>
        <w:rPr>
          <w:rFonts w:ascii="Arial Unicode MS" w:hAnsi="Arial Unicode MS" w:cs="Arial"/>
          <w:b/>
          <w:bCs/>
          <w:szCs w:val="21"/>
        </w:rPr>
        <w:t>与赎回金额的计算方式</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、申购金额的计算方式：</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color w:val="202020"/>
          <w:kern w:val="0"/>
          <w:szCs w:val="21"/>
        </w:rPr>
        <w:t>（</w:t>
      </w:r>
      <w:r>
        <w:rPr>
          <w:rFonts w:ascii="Arial Unicode MS" w:hAnsi="Arial Unicode MS" w:cs="Arial" w:hint="eastAsia"/>
          <w:szCs w:val="21"/>
        </w:rPr>
        <w:t>1</w:t>
      </w:r>
      <w:r>
        <w:rPr>
          <w:rFonts w:ascii="Arial Unicode MS" w:hAnsi="Arial Unicode MS" w:cs="Arial" w:hint="eastAsia"/>
          <w:szCs w:val="21"/>
        </w:rPr>
        <w:t>）</w:t>
      </w:r>
      <w:r>
        <w:rPr>
          <w:rFonts w:ascii="Arial Unicode MS" w:hAnsi="Arial Unicode MS" w:cs="Arial" w:hint="eastAsia"/>
          <w:szCs w:val="21"/>
        </w:rPr>
        <w:t>A</w:t>
      </w:r>
      <w:r>
        <w:rPr>
          <w:rFonts w:ascii="Arial Unicode MS" w:hAnsi="Arial Unicode MS" w:cs="Arial" w:hint="eastAsia"/>
          <w:szCs w:val="21"/>
        </w:rPr>
        <w:t>类基金份额</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申购费用适用比例费率的情形下：</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申购费率）</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净申购金额</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申购费用适用固定金额的情形下：</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固定金额</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申购费用</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w:t>
      </w:r>
      <w:r>
        <w:rPr>
          <w:rFonts w:ascii="Arial Unicode MS" w:hAnsi="Arial Unicode MS" w:cs="Arial" w:hint="eastAsia"/>
          <w:szCs w:val="21"/>
        </w:rPr>
        <w:t>1</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元，某投资人申购本基金</w:t>
      </w:r>
      <w:r>
        <w:rPr>
          <w:rFonts w:ascii="Arial Unicode MS" w:hAnsi="Arial Unicode MS" w:cs="Arial" w:hint="eastAsia"/>
          <w:szCs w:val="21"/>
        </w:rPr>
        <w:t>A</w:t>
      </w:r>
      <w:r>
        <w:rPr>
          <w:rFonts w:ascii="Arial Unicode MS" w:hAnsi="Arial Unicode MS" w:cs="Arial" w:hint="eastAsia"/>
          <w:szCs w:val="21"/>
        </w:rPr>
        <w:t>类基金份额</w:t>
      </w:r>
      <w:r>
        <w:rPr>
          <w:rFonts w:ascii="Arial Unicode MS" w:hAnsi="Arial Unicode MS" w:cs="Arial" w:hint="eastAsia"/>
          <w:szCs w:val="21"/>
        </w:rPr>
        <w:t>40</w:t>
      </w:r>
      <w:r>
        <w:rPr>
          <w:rFonts w:ascii="Arial Unicode MS" w:hAnsi="Arial Unicode MS" w:cs="Arial" w:hint="eastAsia"/>
          <w:szCs w:val="21"/>
        </w:rPr>
        <w:t>万元，对应的申购费率为</w:t>
      </w:r>
      <w:r>
        <w:rPr>
          <w:rFonts w:ascii="Arial Unicode MS" w:hAnsi="Arial Unicode MS" w:cs="Arial" w:hint="eastAsia"/>
          <w:szCs w:val="21"/>
        </w:rPr>
        <w:t>1.50%</w:t>
      </w:r>
      <w:r>
        <w:rPr>
          <w:rFonts w:ascii="Arial Unicode MS" w:hAnsi="Arial Unicode MS" w:cs="Arial" w:hint="eastAsia"/>
          <w:szCs w:val="21"/>
        </w:rPr>
        <w:t>，该投资人可得到的</w:t>
      </w:r>
      <w:r>
        <w:rPr>
          <w:rFonts w:ascii="Arial Unicode MS" w:hAnsi="Arial Unicode MS" w:cs="Arial" w:hint="eastAsia"/>
          <w:szCs w:val="21"/>
        </w:rPr>
        <w:t>A</w:t>
      </w:r>
      <w:r>
        <w:rPr>
          <w:rFonts w:ascii="Arial Unicode MS" w:hAnsi="Arial Unicode MS" w:cs="Arial" w:hint="eastAsia"/>
          <w:szCs w:val="21"/>
        </w:rPr>
        <w:t>类基金份额为：</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净申购金额</w:t>
      </w:r>
      <w:r>
        <w:rPr>
          <w:rFonts w:ascii="Arial Unicode MS" w:hAnsi="Arial Unicode MS" w:cs="Arial" w:hint="eastAsia"/>
          <w:szCs w:val="21"/>
        </w:rPr>
        <w:t>=400,000/</w:t>
      </w:r>
      <w:r>
        <w:rPr>
          <w:rFonts w:ascii="Arial Unicode MS" w:hAnsi="Arial Unicode MS" w:cs="Arial" w:hint="eastAsia"/>
          <w:szCs w:val="21"/>
        </w:rPr>
        <w:t>（</w:t>
      </w:r>
      <w:r>
        <w:rPr>
          <w:rFonts w:ascii="Arial Unicode MS" w:hAnsi="Arial Unicode MS" w:cs="Arial" w:hint="eastAsia"/>
          <w:szCs w:val="21"/>
        </w:rPr>
        <w:t>1+1.50%</w:t>
      </w:r>
      <w:r>
        <w:rPr>
          <w:rFonts w:ascii="Arial Unicode MS" w:hAnsi="Arial Unicode MS" w:cs="Arial" w:hint="eastAsia"/>
          <w:szCs w:val="21"/>
        </w:rPr>
        <w:t>）＝</w:t>
      </w:r>
      <w:r>
        <w:rPr>
          <w:rFonts w:ascii="Arial Unicode MS" w:hAnsi="Arial Unicode MS" w:cs="Arial"/>
          <w:szCs w:val="21"/>
        </w:rPr>
        <w:t>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w:t>
      </w:r>
      <w:r>
        <w:rPr>
          <w:rFonts w:ascii="Arial Unicode MS" w:hAnsi="Arial Unicode MS" w:cs="Arial" w:hint="eastAsia"/>
          <w:szCs w:val="21"/>
        </w:rPr>
        <w:t>元</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=400,000-</w:t>
      </w:r>
      <w:r>
        <w:rPr>
          <w:rFonts w:ascii="Arial Unicode MS" w:hAnsi="Arial Unicode MS" w:cs="Arial"/>
          <w:szCs w:val="21"/>
        </w:rPr>
        <w:t xml:space="preserve"> 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w:t>
      </w: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szCs w:val="21"/>
        </w:rPr>
        <w:t>,</w:t>
      </w:r>
      <w:r>
        <w:rPr>
          <w:rFonts w:ascii="Arial Unicode MS" w:hAnsi="Arial Unicode MS" w:cs="Arial" w:hint="eastAsia"/>
          <w:szCs w:val="21"/>
        </w:rPr>
        <w:t>911</w:t>
      </w:r>
      <w:r>
        <w:rPr>
          <w:rFonts w:ascii="Arial Unicode MS" w:hAnsi="Arial Unicode MS" w:cs="Arial"/>
          <w:szCs w:val="21"/>
        </w:rPr>
        <w:t>.</w:t>
      </w:r>
      <w:r>
        <w:rPr>
          <w:rFonts w:ascii="Arial Unicode MS" w:hAnsi="Arial Unicode MS" w:cs="Arial" w:hint="eastAsia"/>
          <w:szCs w:val="21"/>
        </w:rPr>
        <w:t>33</w:t>
      </w:r>
      <w:r>
        <w:rPr>
          <w:rFonts w:ascii="Arial Unicode MS" w:hAnsi="Arial Unicode MS" w:cs="Arial" w:hint="eastAsia"/>
          <w:szCs w:val="21"/>
        </w:rPr>
        <w:t>元</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szCs w:val="21"/>
        </w:rPr>
        <w:t>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67/1.0560</w:t>
      </w:r>
      <w:r>
        <w:rPr>
          <w:rFonts w:ascii="Arial Unicode MS" w:hAnsi="Arial Unicode MS" w:cs="Arial" w:hint="eastAsia"/>
          <w:szCs w:val="21"/>
        </w:rPr>
        <w:t>＝</w:t>
      </w:r>
      <w:r>
        <w:rPr>
          <w:rFonts w:ascii="Arial Unicode MS" w:hAnsi="Arial Unicode MS" w:cs="Arial"/>
          <w:szCs w:val="21"/>
        </w:rPr>
        <w:t>37</w:t>
      </w:r>
      <w:r>
        <w:rPr>
          <w:rFonts w:ascii="Arial Unicode MS" w:hAnsi="Arial Unicode MS" w:cs="Arial" w:hint="eastAsia"/>
          <w:szCs w:val="21"/>
        </w:rPr>
        <w:t>3</w:t>
      </w:r>
      <w:r>
        <w:rPr>
          <w:rFonts w:ascii="Arial Unicode MS" w:hAnsi="Arial Unicode MS" w:cs="Arial"/>
          <w:szCs w:val="21"/>
        </w:rPr>
        <w:t>,</w:t>
      </w:r>
      <w:r>
        <w:rPr>
          <w:rFonts w:ascii="Arial Unicode MS" w:hAnsi="Arial Unicode MS" w:cs="Arial" w:hint="eastAsia"/>
          <w:szCs w:val="21"/>
        </w:rPr>
        <w:t>190</w:t>
      </w:r>
      <w:r>
        <w:rPr>
          <w:rFonts w:ascii="Arial Unicode MS" w:hAnsi="Arial Unicode MS" w:cs="Arial"/>
          <w:szCs w:val="21"/>
        </w:rPr>
        <w:t>.</w:t>
      </w:r>
      <w:r>
        <w:rPr>
          <w:rFonts w:ascii="Arial Unicode MS" w:hAnsi="Arial Unicode MS" w:cs="Arial" w:hint="eastAsia"/>
          <w:szCs w:val="21"/>
        </w:rPr>
        <w:t>03</w:t>
      </w:r>
      <w:r>
        <w:rPr>
          <w:rFonts w:ascii="Arial Unicode MS" w:hAnsi="Arial Unicode MS" w:cs="Arial" w:hint="eastAsia"/>
          <w:szCs w:val="21"/>
        </w:rPr>
        <w:t>份</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即：该投资人投资</w:t>
      </w:r>
      <w:r>
        <w:rPr>
          <w:rFonts w:ascii="Arial Unicode MS" w:hAnsi="Arial Unicode MS" w:cs="Arial" w:hint="eastAsia"/>
          <w:szCs w:val="21"/>
        </w:rPr>
        <w:t>40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类基金份额，假定申购当日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szCs w:val="21"/>
        </w:rPr>
        <w:t>37</w:t>
      </w:r>
      <w:r>
        <w:rPr>
          <w:rFonts w:ascii="Arial Unicode MS" w:hAnsi="Arial Unicode MS" w:cs="Arial" w:hint="eastAsia"/>
          <w:szCs w:val="21"/>
        </w:rPr>
        <w:t>3</w:t>
      </w:r>
      <w:r>
        <w:rPr>
          <w:rFonts w:ascii="Arial Unicode MS" w:hAnsi="Arial Unicode MS" w:cs="Arial"/>
          <w:szCs w:val="21"/>
        </w:rPr>
        <w:t>,</w:t>
      </w:r>
      <w:r>
        <w:rPr>
          <w:rFonts w:ascii="Arial Unicode MS" w:hAnsi="Arial Unicode MS" w:cs="Arial" w:hint="eastAsia"/>
          <w:szCs w:val="21"/>
        </w:rPr>
        <w:t>190</w:t>
      </w:r>
      <w:r>
        <w:rPr>
          <w:rFonts w:ascii="Arial Unicode MS" w:hAnsi="Arial Unicode MS" w:cs="Arial"/>
          <w:szCs w:val="21"/>
        </w:rPr>
        <w:t>.</w:t>
      </w:r>
      <w:r>
        <w:rPr>
          <w:rFonts w:ascii="Arial Unicode MS" w:hAnsi="Arial Unicode MS" w:cs="Arial" w:hint="eastAsia"/>
          <w:szCs w:val="21"/>
        </w:rPr>
        <w:t>03</w:t>
      </w:r>
      <w:r>
        <w:rPr>
          <w:rFonts w:ascii="Arial Unicode MS" w:hAnsi="Arial Unicode MS" w:cs="Arial" w:hint="eastAsia"/>
          <w:szCs w:val="21"/>
        </w:rPr>
        <w:t>份</w:t>
      </w:r>
      <w:r>
        <w:rPr>
          <w:rFonts w:ascii="Arial Unicode MS" w:hAnsi="Arial Unicode MS" w:cs="Arial" w:hint="eastAsia"/>
          <w:szCs w:val="21"/>
        </w:rPr>
        <w:t>A</w:t>
      </w:r>
      <w:r>
        <w:rPr>
          <w:rFonts w:ascii="Arial Unicode MS" w:hAnsi="Arial Unicode MS" w:cs="Arial" w:hint="eastAsia"/>
          <w:szCs w:val="21"/>
        </w:rPr>
        <w:t>类基金份额。</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w:t>
      </w:r>
      <w:r>
        <w:rPr>
          <w:rFonts w:ascii="Arial Unicode MS" w:hAnsi="Arial Unicode MS" w:cs="Arial" w:hint="eastAsia"/>
          <w:szCs w:val="21"/>
        </w:rPr>
        <w:t>2</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元，某投资人投资</w:t>
      </w:r>
      <w:r>
        <w:rPr>
          <w:rFonts w:ascii="Arial Unicode MS" w:hAnsi="Arial Unicode MS" w:cs="Arial" w:hint="eastAsia"/>
          <w:szCs w:val="21"/>
        </w:rPr>
        <w:t>600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类基金份额，其对应的申购费用为</w:t>
      </w:r>
      <w:r>
        <w:rPr>
          <w:rFonts w:ascii="Arial Unicode MS" w:hAnsi="Arial Unicode MS" w:cs="Arial" w:hint="eastAsia"/>
          <w:szCs w:val="21"/>
        </w:rPr>
        <w:t>1000</w:t>
      </w:r>
      <w:r>
        <w:rPr>
          <w:rFonts w:ascii="Arial Unicode MS" w:hAnsi="Arial Unicode MS" w:cs="Arial" w:hint="eastAsia"/>
          <w:szCs w:val="21"/>
        </w:rPr>
        <w:t>元，则其可得到的申购份额为：</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1,000</w:t>
      </w:r>
      <w:r>
        <w:rPr>
          <w:rFonts w:ascii="Arial Unicode MS" w:hAnsi="Arial Unicode MS" w:cs="Arial" w:hint="eastAsia"/>
          <w:szCs w:val="21"/>
        </w:rPr>
        <w:t>元</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6,000,000</w:t>
      </w:r>
      <w:r>
        <w:rPr>
          <w:rFonts w:ascii="Arial Unicode MS" w:hAnsi="Arial Unicode MS" w:cs="Arial" w:hint="eastAsia"/>
          <w:szCs w:val="21"/>
        </w:rPr>
        <w:t>－</w:t>
      </w:r>
      <w:r>
        <w:rPr>
          <w:rFonts w:ascii="Arial Unicode MS" w:hAnsi="Arial Unicode MS" w:cs="Arial" w:hint="eastAsia"/>
          <w:szCs w:val="21"/>
        </w:rPr>
        <w:t>1,000</w:t>
      </w:r>
      <w:r>
        <w:rPr>
          <w:rFonts w:ascii="Arial Unicode MS" w:hAnsi="Arial Unicode MS" w:cs="Arial" w:hint="eastAsia"/>
          <w:szCs w:val="21"/>
        </w:rPr>
        <w:t>＝</w:t>
      </w:r>
      <w:r>
        <w:rPr>
          <w:rFonts w:ascii="Arial Unicode MS" w:hAnsi="Arial Unicode MS" w:cs="Arial" w:hint="eastAsia"/>
          <w:szCs w:val="21"/>
        </w:rPr>
        <w:t>5,999,000.00</w:t>
      </w:r>
      <w:r>
        <w:rPr>
          <w:rFonts w:ascii="Arial Unicode MS" w:hAnsi="Arial Unicode MS" w:cs="Arial" w:hint="eastAsia"/>
          <w:szCs w:val="21"/>
        </w:rPr>
        <w:t>元</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5,999,000/1.0560</w:t>
      </w:r>
      <w:r>
        <w:rPr>
          <w:rFonts w:ascii="Arial Unicode MS" w:hAnsi="Arial Unicode MS" w:cs="Arial" w:hint="eastAsia"/>
          <w:szCs w:val="21"/>
        </w:rPr>
        <w:t>＝</w:t>
      </w:r>
      <w:r>
        <w:rPr>
          <w:rFonts w:ascii="Arial Unicode MS" w:hAnsi="Arial Unicode MS" w:cs="Arial" w:hint="eastAsia"/>
          <w:szCs w:val="21"/>
        </w:rPr>
        <w:t>5,680,871.21</w:t>
      </w:r>
      <w:r>
        <w:rPr>
          <w:rFonts w:ascii="Arial Unicode MS" w:hAnsi="Arial Unicode MS" w:cs="Arial" w:hint="eastAsia"/>
          <w:szCs w:val="21"/>
        </w:rPr>
        <w:t>份</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即，该投资人投资</w:t>
      </w:r>
      <w:r>
        <w:rPr>
          <w:rFonts w:ascii="Arial Unicode MS" w:hAnsi="Arial Unicode MS" w:cs="Arial" w:hint="eastAsia"/>
          <w:szCs w:val="21"/>
        </w:rPr>
        <w:t>600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类基金份额，假定申购当日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hint="eastAsia"/>
          <w:szCs w:val="21"/>
        </w:rPr>
        <w:t>5,680,871.21</w:t>
      </w:r>
      <w:r>
        <w:rPr>
          <w:rFonts w:ascii="Arial Unicode MS" w:hAnsi="Arial Unicode MS" w:cs="Arial" w:hint="eastAsia"/>
          <w:szCs w:val="21"/>
        </w:rPr>
        <w:t>份</w:t>
      </w:r>
      <w:r>
        <w:rPr>
          <w:rFonts w:ascii="Arial Unicode MS" w:hAnsi="Arial Unicode MS" w:cs="Arial" w:hint="eastAsia"/>
          <w:szCs w:val="21"/>
        </w:rPr>
        <w:t>A</w:t>
      </w:r>
      <w:r>
        <w:rPr>
          <w:rFonts w:ascii="Arial Unicode MS" w:hAnsi="Arial Unicode MS" w:cs="Arial" w:hint="eastAsia"/>
          <w:szCs w:val="21"/>
        </w:rPr>
        <w:t>类基金份额。</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类基金份额</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申购当日</w:t>
      </w:r>
      <w:r>
        <w:rPr>
          <w:rFonts w:ascii="Arial Unicode MS" w:hAnsi="Arial Unicode MS" w:cs="Arial" w:hint="eastAsia"/>
          <w:szCs w:val="21"/>
        </w:rPr>
        <w:t>C</w:t>
      </w:r>
      <w:r>
        <w:rPr>
          <w:rFonts w:ascii="Arial Unicode MS" w:hAnsi="Arial Unicode MS" w:cs="Arial" w:hint="eastAsia"/>
          <w:szCs w:val="21"/>
        </w:rPr>
        <w:t>类基金份额净值</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例：假设某投资者投资</w:t>
      </w:r>
      <w:r>
        <w:rPr>
          <w:rFonts w:ascii="Arial Unicode MS" w:hAnsi="Arial Unicode MS" w:cs="Arial" w:hint="eastAsia"/>
          <w:szCs w:val="21"/>
        </w:rPr>
        <w:t>10</w:t>
      </w:r>
      <w:r>
        <w:rPr>
          <w:rFonts w:ascii="Arial Unicode MS" w:hAnsi="Arial Unicode MS" w:cs="Arial" w:hint="eastAsia"/>
          <w:szCs w:val="21"/>
        </w:rPr>
        <w:t>万元申购本基金</w:t>
      </w:r>
      <w:r>
        <w:rPr>
          <w:rFonts w:ascii="Arial Unicode MS" w:hAnsi="Arial Unicode MS" w:cs="Arial" w:hint="eastAsia"/>
          <w:szCs w:val="21"/>
        </w:rPr>
        <w:t>C</w:t>
      </w:r>
      <w:r>
        <w:rPr>
          <w:rFonts w:ascii="Arial Unicode MS" w:hAnsi="Arial Unicode MS" w:cs="Arial" w:hint="eastAsia"/>
          <w:szCs w:val="21"/>
        </w:rPr>
        <w:t>类基金份额，申购当日本基金</w:t>
      </w:r>
      <w:r>
        <w:rPr>
          <w:rFonts w:ascii="Arial Unicode MS" w:hAnsi="Arial Unicode MS" w:cs="Arial" w:hint="eastAsia"/>
          <w:szCs w:val="21"/>
        </w:rPr>
        <w:t>C</w:t>
      </w:r>
      <w:r>
        <w:rPr>
          <w:rFonts w:ascii="Arial Unicode MS" w:hAnsi="Arial Unicode MS" w:cs="Arial" w:hint="eastAsia"/>
          <w:szCs w:val="21"/>
        </w:rPr>
        <w:t>类基金份额净值为</w:t>
      </w:r>
      <w:r>
        <w:rPr>
          <w:rFonts w:ascii="Arial Unicode MS" w:hAnsi="Arial Unicode MS" w:cs="Arial" w:hint="eastAsia"/>
          <w:szCs w:val="21"/>
        </w:rPr>
        <w:t>1.0600</w:t>
      </w:r>
      <w:r>
        <w:rPr>
          <w:rFonts w:ascii="Arial Unicode MS" w:hAnsi="Arial Unicode MS" w:cs="Arial" w:hint="eastAsia"/>
          <w:szCs w:val="21"/>
        </w:rPr>
        <w:t>元，则可得到的申购份额为：</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100,000/1.0600</w:t>
      </w:r>
      <w:r>
        <w:rPr>
          <w:rFonts w:ascii="Arial Unicode MS" w:hAnsi="Arial Unicode MS" w:cs="Arial" w:hint="eastAsia"/>
          <w:szCs w:val="21"/>
        </w:rPr>
        <w:t>＝</w:t>
      </w:r>
      <w:r>
        <w:rPr>
          <w:rFonts w:ascii="Arial Unicode MS" w:hAnsi="Arial Unicode MS" w:cs="Arial" w:hint="eastAsia"/>
          <w:szCs w:val="21"/>
        </w:rPr>
        <w:t>94,339.62</w:t>
      </w:r>
      <w:r>
        <w:rPr>
          <w:rFonts w:ascii="Arial Unicode MS" w:hAnsi="Arial Unicode MS" w:cs="Arial" w:hint="eastAsia"/>
          <w:szCs w:val="21"/>
        </w:rPr>
        <w:t>份</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即：投资者投资</w:t>
      </w:r>
      <w:r>
        <w:rPr>
          <w:rFonts w:ascii="Arial Unicode MS" w:hAnsi="Arial Unicode MS" w:cs="Arial" w:hint="eastAsia"/>
          <w:szCs w:val="21"/>
        </w:rPr>
        <w:t>10</w:t>
      </w:r>
      <w:r>
        <w:rPr>
          <w:rFonts w:ascii="Arial Unicode MS" w:hAnsi="Arial Unicode MS" w:cs="Arial" w:hint="eastAsia"/>
          <w:szCs w:val="21"/>
        </w:rPr>
        <w:t>万元申购本基金</w:t>
      </w:r>
      <w:r>
        <w:rPr>
          <w:rFonts w:ascii="Arial Unicode MS" w:hAnsi="Arial Unicode MS" w:cs="Arial" w:hint="eastAsia"/>
          <w:szCs w:val="21"/>
        </w:rPr>
        <w:t>C</w:t>
      </w:r>
      <w:r>
        <w:rPr>
          <w:rFonts w:ascii="Arial Unicode MS" w:hAnsi="Arial Unicode MS" w:cs="Arial" w:hint="eastAsia"/>
          <w:szCs w:val="21"/>
        </w:rPr>
        <w:t>类基金份额，假设申购当日本基金</w:t>
      </w:r>
      <w:r>
        <w:rPr>
          <w:rFonts w:ascii="Arial Unicode MS" w:hAnsi="Arial Unicode MS" w:cs="Arial" w:hint="eastAsia"/>
          <w:szCs w:val="21"/>
        </w:rPr>
        <w:t>C</w:t>
      </w:r>
      <w:r>
        <w:rPr>
          <w:rFonts w:ascii="Arial Unicode MS" w:hAnsi="Arial Unicode MS" w:cs="Arial" w:hint="eastAsia"/>
          <w:szCs w:val="21"/>
        </w:rPr>
        <w:t>类基金份额净值为</w:t>
      </w:r>
      <w:r>
        <w:rPr>
          <w:rFonts w:ascii="Arial Unicode MS" w:hAnsi="Arial Unicode MS" w:cs="Arial" w:hint="eastAsia"/>
          <w:szCs w:val="21"/>
        </w:rPr>
        <w:t>1.0600</w:t>
      </w:r>
      <w:r>
        <w:rPr>
          <w:rFonts w:ascii="Arial Unicode MS" w:hAnsi="Arial Unicode MS" w:cs="Arial" w:hint="eastAsia"/>
          <w:szCs w:val="21"/>
        </w:rPr>
        <w:t>元，则其可得到</w:t>
      </w:r>
      <w:r>
        <w:rPr>
          <w:rFonts w:ascii="Arial Unicode MS" w:hAnsi="Arial Unicode MS" w:cs="Arial" w:hint="eastAsia"/>
          <w:szCs w:val="21"/>
        </w:rPr>
        <w:t>94,339.62</w:t>
      </w:r>
      <w:r>
        <w:rPr>
          <w:rFonts w:ascii="Arial Unicode MS" w:hAnsi="Arial Unicode MS" w:cs="Arial" w:hint="eastAsia"/>
          <w:szCs w:val="21"/>
        </w:rPr>
        <w:t>份</w:t>
      </w:r>
      <w:r>
        <w:rPr>
          <w:rFonts w:ascii="Arial Unicode MS" w:hAnsi="Arial Unicode MS" w:cs="Arial" w:hint="eastAsia"/>
          <w:szCs w:val="21"/>
        </w:rPr>
        <w:t>C</w:t>
      </w:r>
      <w:r>
        <w:rPr>
          <w:rFonts w:ascii="Arial Unicode MS" w:hAnsi="Arial Unicode MS" w:cs="Arial" w:hint="eastAsia"/>
          <w:szCs w:val="21"/>
        </w:rPr>
        <w:t>类基金份额。</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、赎回金额的计算方式：</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赎回总金额</w:t>
      </w:r>
      <w:r>
        <w:rPr>
          <w:rFonts w:ascii="Arial Unicode MS" w:hAnsi="Arial Unicode MS" w:cs="Arial" w:hint="eastAsia"/>
          <w:szCs w:val="21"/>
        </w:rPr>
        <w:t>=</w:t>
      </w:r>
      <w:r>
        <w:rPr>
          <w:rFonts w:ascii="Arial Unicode MS" w:hAnsi="Arial Unicode MS" w:cs="Arial" w:hint="eastAsia"/>
          <w:szCs w:val="21"/>
        </w:rPr>
        <w:t>赎回份额×</w:t>
      </w:r>
      <w:r>
        <w:rPr>
          <w:rFonts w:ascii="Arial Unicode MS" w:hAnsi="Arial Unicode MS" w:cs="Arial" w:hint="eastAsia"/>
          <w:szCs w:val="21"/>
        </w:rPr>
        <w:t>T</w:t>
      </w:r>
      <w:r>
        <w:rPr>
          <w:rFonts w:ascii="Arial Unicode MS" w:hAnsi="Arial Unicode MS" w:cs="Arial" w:hint="eastAsia"/>
          <w:szCs w:val="21"/>
        </w:rPr>
        <w:t>日该类基金份额净值</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赎回费用</w:t>
      </w:r>
      <w:r>
        <w:rPr>
          <w:rFonts w:ascii="Arial Unicode MS" w:hAnsi="Arial Unicode MS" w:cs="Arial" w:hint="eastAsia"/>
          <w:szCs w:val="21"/>
        </w:rPr>
        <w:t>=</w:t>
      </w:r>
      <w:r>
        <w:rPr>
          <w:rFonts w:ascii="Arial Unicode MS" w:hAnsi="Arial Unicode MS" w:cs="Arial" w:hint="eastAsia"/>
          <w:szCs w:val="21"/>
        </w:rPr>
        <w:t>赎回总金额×赎回费率</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净赎回金额</w:t>
      </w:r>
      <w:r>
        <w:rPr>
          <w:rFonts w:ascii="Arial Unicode MS" w:hAnsi="Arial Unicode MS" w:cs="Arial" w:hint="eastAsia"/>
          <w:szCs w:val="21"/>
        </w:rPr>
        <w:t>=</w:t>
      </w:r>
      <w:r>
        <w:rPr>
          <w:rFonts w:ascii="Arial Unicode MS" w:hAnsi="Arial Unicode MS" w:cs="Arial" w:hint="eastAsia"/>
          <w:szCs w:val="21"/>
        </w:rPr>
        <w:t>赎回总金额—赎回费用</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例：某投资者赎回本基金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A</w:t>
      </w:r>
      <w:r>
        <w:rPr>
          <w:rFonts w:ascii="Arial Unicode MS" w:hAnsi="Arial Unicode MS" w:cs="Arial" w:hint="eastAsia"/>
          <w:szCs w:val="21"/>
        </w:rPr>
        <w:t>类基金份额，持有时间为三年，对应的赎回费率为</w:t>
      </w:r>
      <w:r>
        <w:rPr>
          <w:rFonts w:ascii="Arial Unicode MS" w:hAnsi="Arial Unicode MS" w:cs="Arial" w:hint="eastAsia"/>
          <w:szCs w:val="21"/>
        </w:rPr>
        <w:t>0%</w:t>
      </w:r>
      <w:r>
        <w:rPr>
          <w:rFonts w:ascii="Arial Unicode MS" w:hAnsi="Arial Unicode MS" w:cs="Arial" w:hint="eastAsia"/>
          <w:szCs w:val="21"/>
        </w:rPr>
        <w:t>，假设赎回当日</w:t>
      </w:r>
      <w:r>
        <w:rPr>
          <w:rFonts w:ascii="Arial Unicode MS" w:hAnsi="Arial Unicode MS" w:cs="Arial" w:hint="eastAsia"/>
          <w:szCs w:val="21"/>
        </w:rPr>
        <w:t>A</w:t>
      </w:r>
      <w:r>
        <w:rPr>
          <w:rFonts w:ascii="Arial Unicode MS" w:hAnsi="Arial Unicode MS" w:cs="Arial" w:hint="eastAsia"/>
          <w:szCs w:val="21"/>
        </w:rPr>
        <w:t>类基金份额净值是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赎回总金额</w:t>
      </w:r>
      <w:r>
        <w:rPr>
          <w:rFonts w:ascii="Arial Unicode MS" w:hAnsi="Arial Unicode MS" w:cs="Arial" w:hint="eastAsia"/>
          <w:szCs w:val="21"/>
        </w:rPr>
        <w:t>=10,000</w:t>
      </w:r>
      <w:r>
        <w:rPr>
          <w:rFonts w:ascii="Arial Unicode MS" w:hAnsi="Arial Unicode MS" w:cs="Arial" w:hint="eastAsia"/>
          <w:szCs w:val="21"/>
        </w:rPr>
        <w:t>×</w:t>
      </w:r>
      <w:r>
        <w:rPr>
          <w:rFonts w:ascii="Arial Unicode MS" w:hAnsi="Arial Unicode MS" w:cs="Arial" w:hint="eastAsia"/>
          <w:szCs w:val="21"/>
        </w:rPr>
        <w:t>1.2500=12,500.00</w:t>
      </w:r>
      <w:r>
        <w:rPr>
          <w:rFonts w:ascii="Arial Unicode MS" w:hAnsi="Arial Unicode MS" w:cs="Arial" w:hint="eastAsia"/>
          <w:szCs w:val="21"/>
        </w:rPr>
        <w:t>元</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赎回费用</w:t>
      </w:r>
      <w:r>
        <w:rPr>
          <w:rFonts w:ascii="Arial Unicode MS" w:hAnsi="Arial Unicode MS" w:cs="Arial" w:hint="eastAsia"/>
          <w:szCs w:val="21"/>
        </w:rPr>
        <w:t>=12,500</w:t>
      </w:r>
      <w:r>
        <w:rPr>
          <w:rFonts w:ascii="Arial Unicode MS" w:hAnsi="Arial Unicode MS" w:cs="Arial" w:hint="eastAsia"/>
          <w:szCs w:val="21"/>
        </w:rPr>
        <w:t>×</w:t>
      </w:r>
      <w:r>
        <w:rPr>
          <w:rFonts w:ascii="Arial Unicode MS" w:hAnsi="Arial Unicode MS" w:cs="Arial" w:hint="eastAsia"/>
          <w:szCs w:val="21"/>
        </w:rPr>
        <w:t>0%=0.00</w:t>
      </w:r>
      <w:r>
        <w:rPr>
          <w:rFonts w:ascii="Arial Unicode MS" w:hAnsi="Arial Unicode MS" w:cs="Arial" w:hint="eastAsia"/>
          <w:szCs w:val="21"/>
        </w:rPr>
        <w:t>元</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净赎回金额</w:t>
      </w:r>
      <w:r>
        <w:rPr>
          <w:rFonts w:ascii="Arial Unicode MS" w:hAnsi="Arial Unicode MS" w:cs="Arial" w:hint="eastAsia"/>
          <w:szCs w:val="21"/>
        </w:rPr>
        <w:t>=12,500-0=12,500.00</w:t>
      </w:r>
      <w:r>
        <w:rPr>
          <w:rFonts w:ascii="Arial Unicode MS" w:hAnsi="Arial Unicode MS" w:cs="Arial" w:hint="eastAsia"/>
          <w:szCs w:val="21"/>
        </w:rPr>
        <w:t>元</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A</w:t>
      </w:r>
      <w:r>
        <w:rPr>
          <w:rFonts w:ascii="Arial Unicode MS" w:hAnsi="Arial Unicode MS" w:cs="Arial" w:hint="eastAsia"/>
          <w:szCs w:val="21"/>
        </w:rPr>
        <w:t>类基金份额，持有时间为三年，假设赎回当日</w:t>
      </w:r>
      <w:r>
        <w:rPr>
          <w:rFonts w:ascii="Arial Unicode MS" w:hAnsi="Arial Unicode MS" w:cs="Arial" w:hint="eastAsia"/>
          <w:szCs w:val="21"/>
        </w:rPr>
        <w:t>A</w:t>
      </w:r>
      <w:r>
        <w:rPr>
          <w:rFonts w:ascii="Arial Unicode MS" w:hAnsi="Arial Unicode MS" w:cs="Arial" w:hint="eastAsia"/>
          <w:szCs w:val="21"/>
        </w:rPr>
        <w:t>类基金份额净值是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r>
        <w:rPr>
          <w:rFonts w:ascii="Arial Unicode MS" w:hAnsi="Arial Unicode MS" w:cs="Arial" w:hint="eastAsia"/>
          <w:szCs w:val="21"/>
        </w:rPr>
        <w:t>12,500.00</w:t>
      </w:r>
      <w:r>
        <w:rPr>
          <w:rFonts w:ascii="Arial Unicode MS" w:hAnsi="Arial Unicode MS" w:cs="Arial" w:hint="eastAsia"/>
          <w:szCs w:val="21"/>
        </w:rPr>
        <w:t>元。</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、本基金各类基金份额净值的计算，均保留到小数点后</w:t>
      </w:r>
      <w:r>
        <w:rPr>
          <w:rFonts w:ascii="Arial Unicode MS" w:hAnsi="Arial Unicode MS" w:cs="Arial" w:hint="eastAsia"/>
          <w:szCs w:val="21"/>
        </w:rPr>
        <w:t>4</w:t>
      </w:r>
      <w:r>
        <w:rPr>
          <w:rFonts w:ascii="Arial Unicode MS" w:hAnsi="Arial Unicode MS" w:cs="Arial" w:hint="eastAsia"/>
          <w:szCs w:val="21"/>
        </w:rPr>
        <w:t>位，小数点后第</w:t>
      </w:r>
      <w:r>
        <w:rPr>
          <w:rFonts w:ascii="Arial Unicode MS" w:hAnsi="Arial Unicode MS" w:cs="Arial" w:hint="eastAsia"/>
          <w:szCs w:val="21"/>
        </w:rPr>
        <w:t>5</w:t>
      </w:r>
      <w:r>
        <w:rPr>
          <w:rFonts w:ascii="Arial Unicode MS" w:hAnsi="Arial Unicode MS" w:cs="Arial" w:hint="eastAsia"/>
          <w:szCs w:val="21"/>
        </w:rPr>
        <w:t>位四舍五入，由此产生的收益或损失由基金财产承担。</w:t>
      </w:r>
      <w:r>
        <w:rPr>
          <w:rFonts w:ascii="Arial Unicode MS" w:hAnsi="Arial Unicode MS" w:cs="Arial" w:hint="eastAsia"/>
          <w:szCs w:val="21"/>
        </w:rPr>
        <w:t>T</w:t>
      </w:r>
      <w:r>
        <w:rPr>
          <w:rFonts w:ascii="Arial Unicode MS" w:hAnsi="Arial Unicode MS" w:cs="Arial" w:hint="eastAsia"/>
          <w:szCs w:val="21"/>
        </w:rPr>
        <w:t>日的各类基金份额净值在当天收市后计算，并按照</w:t>
      </w:r>
      <w:r>
        <w:rPr>
          <w:rFonts w:ascii="Arial Unicode MS" w:hAnsi="Arial Unicode MS" w:cs="Arial"/>
          <w:szCs w:val="21"/>
        </w:rPr>
        <w:t>基金合同约定</w:t>
      </w:r>
      <w:r>
        <w:rPr>
          <w:rFonts w:ascii="Arial Unicode MS" w:hAnsi="Arial Unicode MS" w:cs="Arial" w:hint="eastAsia"/>
          <w:szCs w:val="21"/>
        </w:rPr>
        <w:t>公告。遇特殊情况，经履行适当程序，可以适当延迟计算或公告。</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、申购份额的计算及余额的处理方式：申购的有效份额为净申购金额除以当日的该类基金份额净值，有效份额单位为份，上述计算结果均按四舍五入方法，保留到小数点后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、赎回金额的计算及处理方式：赎回金额为按实际确认的有效赎回份额乘以当日该类基金份额净值并扣除相应的费用，赎回金额单位为元。上述计算结果均按四舍五入方法，保留到小数点后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6</w:t>
      </w:r>
      <w:r>
        <w:rPr>
          <w:rFonts w:ascii="Arial Unicode MS" w:hAnsi="Arial Unicode MS" w:cs="Arial" w:hint="eastAsia"/>
          <w:szCs w:val="21"/>
        </w:rPr>
        <w:t>、基金管理人可以在不违反法律法规规定及基金合同约定的情形下，且对基金份额持有人利益无实质性不利影响的前提下，根据市场情况制定基金促销计划，定期和不定期地开展基金促销活动。在基金促销活动期间，按相关监管部门要求履行必要手续后，基金管理人可以适当调低基金的申购、赎回费率和销售服务费率。</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7</w:t>
      </w:r>
      <w:r>
        <w:rPr>
          <w:rFonts w:ascii="Arial Unicode MS" w:hAnsi="Arial Unicode MS" w:cs="Arial" w:hint="eastAsia"/>
          <w:szCs w:val="21"/>
        </w:rPr>
        <w:t>、当本基金发生大额申购或赎回情形时，基金管理人可以采用摆动定价机制，以确保基金估值的公平性。具体处理原则与操作规范遵循相关法律法规以及监管部门、自律规则的规定。</w:t>
      </w:r>
    </w:p>
    <w:p w:rsidR="00D5306E" w:rsidRDefault="006D76AB">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八、申购与赎回的登记</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、经基金销售机构同意，基金投资者提出的申购和赎回申请，在基金管理人规定的时间之前可以撤销。</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、投资者申购基金成功后，登记机构在</w:t>
      </w:r>
      <w:r>
        <w:rPr>
          <w:rFonts w:ascii="Arial Unicode MS" w:hAnsi="Arial Unicode MS" w:cs="Arial" w:hint="eastAsia"/>
          <w:szCs w:val="21"/>
        </w:rPr>
        <w:t>T+1</w:t>
      </w:r>
      <w:r>
        <w:rPr>
          <w:rFonts w:ascii="Arial Unicode MS" w:hAnsi="Arial Unicode MS" w:cs="Arial" w:hint="eastAsia"/>
          <w:szCs w:val="21"/>
        </w:rPr>
        <w:t>日为投资者登记权益并办理登记手续，投资人自</w:t>
      </w:r>
      <w:r>
        <w:rPr>
          <w:rFonts w:ascii="Arial Unicode MS" w:hAnsi="Arial Unicode MS" w:cs="Arial" w:hint="eastAsia"/>
          <w:szCs w:val="21"/>
        </w:rPr>
        <w:t>T+2</w:t>
      </w:r>
      <w:r>
        <w:rPr>
          <w:rFonts w:ascii="Arial Unicode MS" w:hAnsi="Arial Unicode MS" w:cs="Arial" w:hint="eastAsia"/>
          <w:szCs w:val="21"/>
        </w:rPr>
        <w:t>日（含该日）后有权赎回该部分基金份额。</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、投资人赎回基金成功后，登记机构在</w:t>
      </w:r>
      <w:r>
        <w:rPr>
          <w:rFonts w:ascii="Arial Unicode MS" w:hAnsi="Arial Unicode MS" w:cs="Arial" w:hint="eastAsia"/>
          <w:szCs w:val="21"/>
        </w:rPr>
        <w:t>T+1</w:t>
      </w:r>
      <w:r>
        <w:rPr>
          <w:rFonts w:ascii="Arial Unicode MS" w:hAnsi="Arial Unicode MS" w:cs="Arial" w:hint="eastAsia"/>
          <w:szCs w:val="21"/>
        </w:rPr>
        <w:t>日为投资者办理扣除权益的登记手续。</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、基金管理人可以在法律法规允许的范围内，对上述登记办理时间进行调整，但不得</w:t>
      </w:r>
      <w:r>
        <w:rPr>
          <w:rFonts w:ascii="Arial Unicode MS" w:hAnsi="Arial Unicode MS" w:cs="Arial" w:hint="eastAsia"/>
          <w:szCs w:val="21"/>
        </w:rPr>
        <w:lastRenderedPageBreak/>
        <w:t>实质影响投资者的合法权益，并最迟于开始实施前依照《信息披露办法》的有关规定进行公告。</w:t>
      </w:r>
    </w:p>
    <w:p w:rsidR="00D5306E" w:rsidRDefault="006D76AB">
      <w:pPr>
        <w:adjustRightInd w:val="0"/>
        <w:snapToGrid w:val="0"/>
        <w:spacing w:line="360" w:lineRule="auto"/>
        <w:ind w:firstLineChars="200" w:firstLine="422"/>
        <w:rPr>
          <w:rFonts w:ascii="Arial Unicode MS" w:hAnsi="Arial Unicode MS"/>
          <w:b/>
          <w:bCs/>
          <w:szCs w:val="21"/>
        </w:rPr>
      </w:pPr>
      <w:r>
        <w:rPr>
          <w:rFonts w:ascii="Arial Unicode MS" w:hAnsi="Arial Unicode MS" w:hint="eastAsia"/>
          <w:b/>
          <w:bCs/>
          <w:szCs w:val="21"/>
        </w:rPr>
        <w:t>九</w:t>
      </w:r>
      <w:r>
        <w:rPr>
          <w:rFonts w:ascii="Arial Unicode MS" w:hAnsi="Arial Unicode MS"/>
          <w:b/>
          <w:bCs/>
          <w:szCs w:val="21"/>
        </w:rPr>
        <w:t>、拒绝或暂停申购的情形及处理</w:t>
      </w:r>
    </w:p>
    <w:p w:rsidR="00D5306E" w:rsidRDefault="006D76AB">
      <w:pPr>
        <w:adjustRightInd w:val="0"/>
        <w:snapToGrid w:val="0"/>
        <w:spacing w:line="360" w:lineRule="auto"/>
        <w:ind w:firstLineChars="200" w:firstLine="420"/>
        <w:rPr>
          <w:rFonts w:ascii="Arial Unicode MS" w:hAnsi="Arial Unicode MS" w:cs="Arial"/>
          <w:bCs/>
          <w:szCs w:val="21"/>
        </w:rPr>
      </w:pPr>
      <w:bookmarkStart w:id="70" w:name="_Hlt70481650"/>
      <w:bookmarkEnd w:id="70"/>
      <w:r>
        <w:rPr>
          <w:rFonts w:ascii="Arial Unicode MS" w:hAnsi="Arial Unicode MS" w:cs="Arial" w:hint="eastAsia"/>
          <w:bCs/>
          <w:szCs w:val="21"/>
        </w:rPr>
        <w:t>发生下列情况时，基金管理人可拒绝或暂停接受投资人的申购申请：</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、因不可抗力导致基金无法正常运作。</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、发生基金合同规定的暂停基金资产估值情况。</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、证券、期货交易所或外汇市场交易时间非正常停市，导致基金管理人无法计算当日基金资产净值。</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、接受某笔或某些申购申请可能会影响或损害现有基金份额持有人利益或对存量基金份额持有人利益构成潜在重大不利影响。</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、基金资产规模过大，使基金管理人无法找到合适的投资品种，或其他可能对基金业绩产生负面影响，或发生其他损害现有基金份额持有人利益的情形。</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、基金管理人、基金托管人、销售机构或登记机构的技术故障等异常情况导致基金销售系统、基金登记系统或基金会计系统无法正常运行。</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、当前一估值日基金资产净值</w:t>
      </w:r>
      <w:r>
        <w:rPr>
          <w:rFonts w:ascii="Arial Unicode MS" w:hAnsi="Arial Unicode MS" w:cs="Arial" w:hint="eastAsia"/>
          <w:bCs/>
          <w:szCs w:val="21"/>
        </w:rPr>
        <w:t>50%</w:t>
      </w:r>
      <w:r>
        <w:rPr>
          <w:rFonts w:ascii="Arial Unicode MS" w:hAnsi="Arial Unicode MS" w:cs="Arial" w:hint="eastAsia"/>
          <w:bCs/>
          <w:szCs w:val="21"/>
        </w:rPr>
        <w:t>以上的资产出现无可参考的活跃市场价格且采用估值技术仍导致公允价值存在重大不确定性时，经与基金托管人协商确认后，基金管理人应当暂停接受基金申购申请。</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8</w:t>
      </w:r>
      <w:r>
        <w:rPr>
          <w:rFonts w:ascii="Arial Unicode MS" w:hAnsi="Arial Unicode MS" w:cs="Arial" w:hint="eastAsia"/>
          <w:bCs/>
          <w:szCs w:val="21"/>
        </w:rPr>
        <w:t>、基金管理人接受某笔或者某些申购申请有可能导致单一投资者持有基金份额的比例达到或者超过</w:t>
      </w:r>
      <w:r>
        <w:rPr>
          <w:rFonts w:ascii="Arial Unicode MS" w:hAnsi="Arial Unicode MS" w:cs="Arial" w:hint="eastAsia"/>
          <w:bCs/>
          <w:szCs w:val="21"/>
        </w:rPr>
        <w:t>50%</w:t>
      </w:r>
      <w:r>
        <w:rPr>
          <w:rFonts w:ascii="Arial Unicode MS" w:hAnsi="Arial Unicode MS" w:cs="Arial" w:hint="eastAsia"/>
          <w:bCs/>
          <w:szCs w:val="21"/>
        </w:rPr>
        <w:t>，或者变相规避</w:t>
      </w:r>
      <w:r>
        <w:rPr>
          <w:rFonts w:ascii="Arial Unicode MS" w:hAnsi="Arial Unicode MS" w:cs="Arial" w:hint="eastAsia"/>
          <w:bCs/>
          <w:szCs w:val="21"/>
        </w:rPr>
        <w:t>50%</w:t>
      </w:r>
      <w:r>
        <w:rPr>
          <w:rFonts w:ascii="Arial Unicode MS" w:hAnsi="Arial Unicode MS" w:cs="Arial" w:hint="eastAsia"/>
          <w:bCs/>
          <w:szCs w:val="21"/>
        </w:rPr>
        <w:t>集中度的情形。</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9</w:t>
      </w:r>
      <w:r>
        <w:rPr>
          <w:rFonts w:ascii="Arial Unicode MS" w:hAnsi="Arial Unicode MS" w:cs="Arial" w:hint="eastAsia"/>
          <w:bCs/>
          <w:szCs w:val="21"/>
        </w:rPr>
        <w:t>、法律法规规定或中国证监会认定的其他情形。</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发生上述第</w:t>
      </w:r>
      <w:r>
        <w:rPr>
          <w:rFonts w:ascii="Arial Unicode MS" w:hAnsi="Arial Unicode MS" w:cs="Arial" w:hint="eastAsia"/>
          <w:bCs/>
          <w:szCs w:val="21"/>
        </w:rPr>
        <w:t>1</w:t>
      </w: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w:t>
      </w:r>
      <w:r>
        <w:rPr>
          <w:rFonts w:ascii="Arial Unicode MS" w:hAnsi="Arial Unicode MS" w:cs="Arial" w:hint="eastAsia"/>
          <w:bCs/>
          <w:szCs w:val="21"/>
        </w:rPr>
        <w:t>6</w:t>
      </w:r>
      <w:r>
        <w:rPr>
          <w:rFonts w:ascii="Arial Unicode MS" w:hAnsi="Arial Unicode MS" w:cs="Arial" w:hint="eastAsia"/>
          <w:bCs/>
          <w:szCs w:val="21"/>
        </w:rPr>
        <w:t>、</w:t>
      </w:r>
      <w:r>
        <w:rPr>
          <w:rFonts w:ascii="Arial Unicode MS" w:hAnsi="Arial Unicode MS" w:cs="Arial" w:hint="eastAsia"/>
          <w:bCs/>
          <w:szCs w:val="21"/>
        </w:rPr>
        <w:t>7</w:t>
      </w:r>
      <w:r>
        <w:rPr>
          <w:rFonts w:ascii="Arial Unicode MS" w:hAnsi="Arial Unicode MS" w:cs="Arial" w:hint="eastAsia"/>
          <w:bCs/>
          <w:szCs w:val="21"/>
        </w:rPr>
        <w:t>、</w:t>
      </w:r>
      <w:r>
        <w:rPr>
          <w:rFonts w:ascii="Arial Unicode MS" w:hAnsi="Arial Unicode MS" w:cs="Arial" w:hint="eastAsia"/>
          <w:bCs/>
          <w:szCs w:val="21"/>
        </w:rPr>
        <w:t>9</w:t>
      </w:r>
      <w:r>
        <w:rPr>
          <w:rFonts w:ascii="Arial Unicode MS" w:hAnsi="Arial Unicode MS" w:cs="Arial" w:hint="eastAsia"/>
          <w:bCs/>
          <w:szCs w:val="21"/>
        </w:rPr>
        <w:t>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rsidR="00D5306E" w:rsidRDefault="006D76AB">
      <w:pPr>
        <w:adjustRightInd w:val="0"/>
        <w:snapToGrid w:val="0"/>
        <w:spacing w:line="360" w:lineRule="auto"/>
        <w:ind w:firstLineChars="200" w:firstLine="422"/>
        <w:rPr>
          <w:rFonts w:ascii="Arial Unicode MS" w:hAnsi="Arial Unicode MS" w:cs="Arial"/>
          <w:b/>
          <w:bCs/>
          <w:szCs w:val="21"/>
        </w:rPr>
      </w:pPr>
      <w:r>
        <w:rPr>
          <w:rFonts w:ascii="Arial Unicode MS" w:hAnsi="Arial Unicode MS" w:hint="eastAsia"/>
          <w:b/>
          <w:bCs/>
          <w:szCs w:val="21"/>
        </w:rPr>
        <w:t>十</w:t>
      </w:r>
      <w:r>
        <w:rPr>
          <w:rFonts w:ascii="Arial Unicode MS" w:hAnsi="Arial Unicode MS"/>
          <w:b/>
          <w:bCs/>
          <w:szCs w:val="21"/>
        </w:rPr>
        <w:t>、</w:t>
      </w:r>
      <w:r>
        <w:rPr>
          <w:rFonts w:ascii="Arial Unicode MS" w:hAnsi="Arial Unicode MS" w:hint="eastAsia"/>
          <w:b/>
          <w:bCs/>
          <w:szCs w:val="21"/>
        </w:rPr>
        <w:t>暂停赎回或延缓支付赎回款项的情形</w:t>
      </w:r>
      <w:r>
        <w:rPr>
          <w:rFonts w:ascii="Arial Unicode MS" w:hAnsi="Arial Unicode MS" w:hint="eastAsia"/>
          <w:b/>
          <w:bCs/>
          <w:szCs w:val="21"/>
        </w:rPr>
        <w:t xml:space="preserve"> </w:t>
      </w:r>
      <w:r>
        <w:rPr>
          <w:rFonts w:ascii="Arial Unicode MS" w:hAnsi="Arial Unicode MS" w:cs="Arial" w:hint="eastAsia"/>
          <w:b/>
          <w:bCs/>
          <w:szCs w:val="21"/>
        </w:rPr>
        <w:t xml:space="preserve"> </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发生下列情形时，基金管理人可暂停接受投资人的赎回申请或延缓支付赎回款项：</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、因不可抗力导致基金管理人不能支付赎回款项。</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、发生基金合同规定的暂停基金资产估值情况。</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、证券、期货交易所或外汇市场交易时间非正常停市，导致基金管理人无法计算当日</w:t>
      </w:r>
      <w:r>
        <w:rPr>
          <w:rFonts w:ascii="Arial Unicode MS" w:hAnsi="Arial Unicode MS" w:hint="eastAsia"/>
          <w:bCs/>
          <w:szCs w:val="21"/>
        </w:rPr>
        <w:lastRenderedPageBreak/>
        <w:t>基金资产净值。</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、连续两个或两个以上开放日发生巨额赎回。</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、发生继续接受赎回申请将损害现有基金份额持有人利益的情形。</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、当前一估值日基金资产净值</w:t>
      </w:r>
      <w:r>
        <w:rPr>
          <w:rFonts w:ascii="Arial Unicode MS" w:hAnsi="Arial Unicode MS" w:hint="eastAsia"/>
          <w:bCs/>
          <w:szCs w:val="21"/>
        </w:rPr>
        <w:t>50%</w:t>
      </w:r>
      <w:r>
        <w:rPr>
          <w:rFonts w:ascii="Arial Unicode MS" w:hAnsi="Arial Unicode MS" w:hint="eastAsia"/>
          <w:bCs/>
          <w:szCs w:val="21"/>
        </w:rPr>
        <w:t>以上的资产出现无可参考的活跃市场价格且采用估值技术仍导致公允价值存在重大不确定性时，经与基金托管人协商确认后，基金管理人应当延缓支付赎回款项或暂停接受基金赎回申请。</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7</w:t>
      </w:r>
      <w:r>
        <w:rPr>
          <w:rFonts w:ascii="Arial Unicode MS" w:hAnsi="Arial Unicode MS" w:hint="eastAsia"/>
          <w:bCs/>
          <w:szCs w:val="21"/>
        </w:rPr>
        <w:t>、法律法规规定或中国证监会认定的其他情形。</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发生上述情形（第</w:t>
      </w:r>
      <w:r>
        <w:rPr>
          <w:rFonts w:ascii="Arial Unicode MS" w:hAnsi="Arial Unicode MS" w:hint="eastAsia"/>
          <w:bCs/>
          <w:szCs w:val="21"/>
        </w:rPr>
        <w:t>4</w:t>
      </w:r>
      <w:r>
        <w:rPr>
          <w:rFonts w:ascii="Arial Unicode MS" w:hAnsi="Arial Unicode MS" w:hint="eastAsia"/>
          <w:bCs/>
          <w:szCs w:val="21"/>
        </w:rPr>
        <w:t>项除外）之一且基金管理人决定暂停赎回或延缓支付赎回款项时，基金管理人应按规定报中国证监会备案，已确认的赎回申请，基金管理人应足额支付；如暂时不能足额支付，未支付部分可延期支付。若出现上述第</w:t>
      </w:r>
      <w:r>
        <w:rPr>
          <w:rFonts w:ascii="Arial Unicode MS" w:hAnsi="Arial Unicode MS" w:hint="eastAsia"/>
          <w:bCs/>
          <w:szCs w:val="21"/>
        </w:rPr>
        <w:t>4</w:t>
      </w:r>
      <w:r>
        <w:rPr>
          <w:rFonts w:ascii="Arial Unicode MS" w:hAnsi="Arial Unicode M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D5306E" w:rsidRDefault="006D76AB">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十一、</w:t>
      </w:r>
      <w:r>
        <w:rPr>
          <w:rFonts w:ascii="Arial Unicode MS" w:hAnsi="Arial Unicode MS"/>
          <w:b/>
          <w:bCs/>
          <w:szCs w:val="21"/>
        </w:rPr>
        <w:t>巨额赎回的情形及处理方式</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、巨额赎回的认定</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若本基金单个开放日内的基金份额净赎回申请</w:t>
      </w:r>
      <w:r>
        <w:rPr>
          <w:rFonts w:ascii="Arial Unicode MS" w:hAnsi="Arial Unicode MS" w:hint="eastAsia"/>
          <w:bCs/>
          <w:szCs w:val="21"/>
        </w:rPr>
        <w:t>(</w:t>
      </w:r>
      <w:r>
        <w:rPr>
          <w:rFonts w:ascii="Arial Unicode MS" w:hAnsi="Arial Unicode MS" w:hint="eastAsia"/>
          <w:bCs/>
          <w:szCs w:val="21"/>
        </w:rPr>
        <w:t>赎回申请份额总数加上基金转换中转出申请份额总数后扣除申购申请份额总数及基金转换中转入申请份额总数后的余额</w:t>
      </w:r>
      <w:r>
        <w:rPr>
          <w:rFonts w:ascii="Arial Unicode MS" w:hAnsi="Arial Unicode MS" w:hint="eastAsia"/>
          <w:bCs/>
          <w:szCs w:val="21"/>
        </w:rPr>
        <w:t>)</w:t>
      </w:r>
      <w:r>
        <w:rPr>
          <w:rFonts w:ascii="Arial Unicode MS" w:hAnsi="Arial Unicode MS" w:hint="eastAsia"/>
          <w:bCs/>
          <w:szCs w:val="21"/>
        </w:rPr>
        <w:t>超过前一工作日的基金总份额的</w:t>
      </w:r>
      <w:r>
        <w:rPr>
          <w:rFonts w:ascii="Arial Unicode MS" w:hAnsi="Arial Unicode MS" w:hint="eastAsia"/>
          <w:bCs/>
          <w:szCs w:val="21"/>
        </w:rPr>
        <w:t>10%</w:t>
      </w:r>
      <w:r>
        <w:rPr>
          <w:rFonts w:ascii="Arial Unicode MS" w:hAnsi="Arial Unicode MS" w:hint="eastAsia"/>
          <w:bCs/>
          <w:szCs w:val="21"/>
        </w:rPr>
        <w:t>，即认为是发生了巨额赎回。</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、巨额赎回的处理方式</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当基金出现巨额赎回时，基金管理人可以根据基金当时的资产组合状况决定全额赎回或部分延期赎回。</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）全额赎回：当基金管理人认为有能力支付投资人的全部赎回申请时，按正常赎回程序执行。</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Pr>
          <w:rFonts w:ascii="Arial Unicode MS" w:hAnsi="Arial Unicode MS" w:hint="eastAsia"/>
          <w:bCs/>
          <w:szCs w:val="21"/>
        </w:rPr>
        <w:t>10%</w:t>
      </w:r>
      <w:r>
        <w:rPr>
          <w:rFonts w:ascii="Arial Unicode MS" w:hAnsi="Arial Unicode M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w:t>
      </w:r>
      <w:r>
        <w:rPr>
          <w:rFonts w:ascii="Arial Unicode MS" w:hAnsi="Arial Unicode MS" w:hint="eastAsia"/>
          <w:bCs/>
          <w:szCs w:val="21"/>
        </w:rPr>
        <w:lastRenderedPageBreak/>
        <w:t>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）本基金发生巨额赎回时，对于单个基金份额持有人当日赎回申请超过上一工作日基金总份额</w:t>
      </w:r>
      <w:r>
        <w:rPr>
          <w:rFonts w:ascii="Arial Unicode MS" w:hAnsi="Arial Unicode MS" w:hint="eastAsia"/>
          <w:bCs/>
          <w:szCs w:val="21"/>
        </w:rPr>
        <w:t>10%</w:t>
      </w:r>
      <w:r>
        <w:rPr>
          <w:rFonts w:ascii="Arial Unicode MS" w:hAnsi="Arial Unicode MS" w:hint="eastAsia"/>
          <w:bCs/>
          <w:szCs w:val="21"/>
        </w:rPr>
        <w:t>以上的部分，基金管理人可以对其进行延期办理（被延期赎回的赎回申请，将自动转入下一个开放日继续赎回，延期的赎回申请与下一开放日赎回申请一并处理，无优先权并以下一开放日的该类基金份额净值为基础计算赎回金额，以此类推，直到全部赎回为止）；对于该基金份额持有人申请赎回的份额中未超过上一工作日基金总份额</w:t>
      </w:r>
      <w:r>
        <w:rPr>
          <w:rFonts w:ascii="Arial Unicode MS" w:hAnsi="Arial Unicode MS" w:hint="eastAsia"/>
          <w:bCs/>
          <w:szCs w:val="21"/>
        </w:rPr>
        <w:t>10</w:t>
      </w:r>
      <w:r>
        <w:rPr>
          <w:rFonts w:ascii="Arial Unicode MS" w:hAnsi="Arial Unicode MS" w:hint="eastAsia"/>
          <w:bCs/>
          <w:szCs w:val="21"/>
        </w:rPr>
        <w:t>％的部分，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）暂停赎回：连续</w:t>
      </w:r>
      <w:r>
        <w:rPr>
          <w:rFonts w:ascii="Arial Unicode MS" w:hAnsi="Arial Unicode MS" w:hint="eastAsia"/>
          <w:bCs/>
          <w:szCs w:val="21"/>
        </w:rPr>
        <w:t>2</w:t>
      </w:r>
      <w:r>
        <w:rPr>
          <w:rFonts w:ascii="Arial Unicode MS" w:hAnsi="Arial Unicode MS" w:hint="eastAsia"/>
          <w:bCs/>
          <w:szCs w:val="21"/>
        </w:rPr>
        <w:t>个开放日以上</w:t>
      </w:r>
      <w:r>
        <w:rPr>
          <w:rFonts w:ascii="Arial Unicode MS" w:hAnsi="Arial Unicode MS" w:hint="eastAsia"/>
          <w:bCs/>
          <w:szCs w:val="21"/>
        </w:rPr>
        <w:t>(</w:t>
      </w:r>
      <w:r>
        <w:rPr>
          <w:rFonts w:ascii="Arial Unicode MS" w:hAnsi="Arial Unicode MS" w:hint="eastAsia"/>
          <w:bCs/>
          <w:szCs w:val="21"/>
        </w:rPr>
        <w:t>含本数</w:t>
      </w:r>
      <w:r>
        <w:rPr>
          <w:rFonts w:ascii="Arial Unicode MS" w:hAnsi="Arial Unicode MS" w:hint="eastAsia"/>
          <w:bCs/>
          <w:szCs w:val="21"/>
        </w:rPr>
        <w:t>)</w:t>
      </w:r>
      <w:r>
        <w:rPr>
          <w:rFonts w:ascii="Arial Unicode MS" w:hAnsi="Arial Unicode MS" w:hint="eastAsia"/>
          <w:bCs/>
          <w:szCs w:val="21"/>
        </w:rPr>
        <w:t>发生巨额赎回，如基金管理人认为有必要，可暂停接受基金的赎回申请；已经接受的赎回申请可以延缓支付赎回款项，但不得超过</w:t>
      </w:r>
      <w:r>
        <w:rPr>
          <w:rFonts w:ascii="Arial Unicode MS" w:hAnsi="Arial Unicode MS" w:hint="eastAsia"/>
          <w:bCs/>
          <w:szCs w:val="21"/>
        </w:rPr>
        <w:t>20</w:t>
      </w:r>
      <w:r>
        <w:rPr>
          <w:rFonts w:ascii="Arial Unicode MS" w:hAnsi="Arial Unicode MS" w:hint="eastAsia"/>
          <w:bCs/>
          <w:szCs w:val="21"/>
        </w:rPr>
        <w:t>个工作日，并应当在规定媒介上进行公告。</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、巨额赎回的公告</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当发生上述巨额赎回并延期办理时，基金管理人应当通过邮寄、传真或者招募说明书规定的其他方式在</w:t>
      </w:r>
      <w:r>
        <w:rPr>
          <w:rFonts w:ascii="Arial Unicode MS" w:hAnsi="Arial Unicode MS" w:hint="eastAsia"/>
          <w:bCs/>
          <w:szCs w:val="21"/>
        </w:rPr>
        <w:t>3</w:t>
      </w:r>
      <w:r>
        <w:rPr>
          <w:rFonts w:ascii="Arial Unicode MS" w:hAnsi="Arial Unicode MS" w:hint="eastAsia"/>
          <w:bCs/>
          <w:szCs w:val="21"/>
        </w:rPr>
        <w:t>个交易日内通知基金份额持有人，说明有关处理方法，并于两日内在规定媒介上刊登公告。</w:t>
      </w:r>
    </w:p>
    <w:p w:rsidR="00D5306E" w:rsidRDefault="006D76AB">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十二、</w:t>
      </w:r>
      <w:r>
        <w:rPr>
          <w:rFonts w:ascii="Arial Unicode MS" w:hAnsi="Arial Unicode MS"/>
          <w:b/>
          <w:bCs/>
          <w:szCs w:val="21"/>
        </w:rPr>
        <w:t>暂停申购或赎回的公告和重新开放申购或赎回的公告</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、发生上述暂停申购或赎回情况的，基金管理人应在规定期限内在规定媒介上刊登暂停公告。</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、上述暂停申购或赎回情况消除的，基金管理人应于重新开放日公布最近</w:t>
      </w:r>
      <w:r>
        <w:rPr>
          <w:rFonts w:ascii="Arial Unicode MS" w:hAnsi="Arial Unicode MS" w:hint="eastAsia"/>
          <w:bCs/>
          <w:szCs w:val="21"/>
        </w:rPr>
        <w:t>1</w:t>
      </w:r>
      <w:r>
        <w:rPr>
          <w:rFonts w:ascii="Arial Unicode MS" w:hAnsi="Arial Unicode MS" w:hint="eastAsia"/>
          <w:bCs/>
          <w:szCs w:val="21"/>
        </w:rPr>
        <w:t>个工作日各类基金份额净值。</w:t>
      </w:r>
    </w:p>
    <w:p w:rsidR="00D5306E" w:rsidRDefault="006D76AB">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十三、基金转换</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D5306E" w:rsidRDefault="006D76AB">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十四、基金份额的转让</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lastRenderedPageBreak/>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D5306E" w:rsidRDefault="006D76AB">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十五、基金的非交易过户</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5306E" w:rsidRDefault="006D76AB">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十六、基金的转托管</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基金份额持有人可办理已持有基金份额在不同销售机构之间的转托管，基金销售机构可以按照规定的标准收取转托管费。</w:t>
      </w:r>
    </w:p>
    <w:p w:rsidR="00D5306E" w:rsidRDefault="006D76AB">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十七、定期定额投资计划</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D5306E" w:rsidRDefault="006D76AB">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十八、基金份额的冻结、解冻与质押</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rsidR="00D5306E" w:rsidRDefault="006D76AB">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对基金份额持有人无实质不利影响的前提下，如相关法律法规允许，基金管理人履行相关程序后可办理基金份额的质押业务或其他基金业务，基金管理人将制定和实施相应的业务规则。</w:t>
      </w:r>
    </w:p>
    <w:p w:rsidR="00D5306E" w:rsidRDefault="006D76AB">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十九、实施侧袋机制期间本基金的申购与赎回</w:t>
      </w:r>
    </w:p>
    <w:p w:rsidR="00D5306E" w:rsidRDefault="006D76AB">
      <w:pPr>
        <w:autoSpaceDE w:val="0"/>
        <w:autoSpaceDN w:val="0"/>
        <w:adjustRightInd w:val="0"/>
        <w:spacing w:line="360" w:lineRule="auto"/>
        <w:ind w:firstLine="420"/>
        <w:jc w:val="left"/>
        <w:rPr>
          <w:rFonts w:ascii="宋体" w:hAnsi="宋体"/>
          <w:b/>
          <w:bCs/>
          <w:szCs w:val="21"/>
        </w:rPr>
      </w:pPr>
      <w:r>
        <w:rPr>
          <w:rFonts w:ascii="宋体" w:hAnsi="宋体" w:hint="eastAsia"/>
          <w:bCs/>
          <w:szCs w:val="21"/>
        </w:rPr>
        <w:t>本基金实施侧袋机制的，本基金的申购和赎回安排详见本招募说明书“侧袋机制”章节或相关公告。</w:t>
      </w:r>
    </w:p>
    <w:p w:rsidR="00D5306E" w:rsidRDefault="00D5306E">
      <w:pPr>
        <w:autoSpaceDE w:val="0"/>
        <w:autoSpaceDN w:val="0"/>
        <w:adjustRightInd w:val="0"/>
        <w:spacing w:line="360" w:lineRule="auto"/>
        <w:ind w:firstLine="420"/>
        <w:jc w:val="left"/>
        <w:rPr>
          <w:rFonts w:ascii="Arial Unicode MS" w:hAnsi="Arial Unicode MS"/>
          <w:b/>
          <w:bCs/>
          <w:szCs w:val="21"/>
        </w:rPr>
        <w:sectPr w:rsidR="00D5306E">
          <w:footerReference w:type="default" r:id="rId32"/>
          <w:footerReference w:type="first" r:id="rId33"/>
          <w:pgSz w:w="11906" w:h="16838"/>
          <w:pgMar w:top="1440" w:right="1800" w:bottom="1440" w:left="1800" w:header="851" w:footer="992" w:gutter="0"/>
          <w:pgNumType w:start="1"/>
          <w:cols w:space="720"/>
          <w:docGrid w:linePitch="312"/>
        </w:sectPr>
      </w:pPr>
    </w:p>
    <w:p w:rsidR="00D5306E" w:rsidRDefault="006D76AB">
      <w:pPr>
        <w:pStyle w:val="11"/>
        <w:snapToGrid w:val="0"/>
        <w:spacing w:before="0" w:after="0" w:line="360" w:lineRule="auto"/>
        <w:ind w:firstLineChars="150" w:firstLine="422"/>
        <w:rPr>
          <w:rFonts w:ascii="Arial Unicode MS" w:eastAsia="宋体" w:hAnsi="Arial Unicode MS" w:cs="Arial"/>
          <w:b/>
          <w:bCs/>
          <w:sz w:val="28"/>
          <w:szCs w:val="28"/>
        </w:rPr>
      </w:pPr>
      <w:bookmarkStart w:id="71" w:name="_Toc320887648"/>
      <w:bookmarkStart w:id="72" w:name="_Toc335232697"/>
      <w:bookmarkStart w:id="73" w:name="_Toc317088543"/>
      <w:bookmarkStart w:id="74" w:name="_Toc47622421"/>
      <w:bookmarkStart w:id="75" w:name="_Toc429490286"/>
      <w:bookmarkStart w:id="76" w:name="_Toc47604313"/>
      <w:bookmarkStart w:id="77" w:name="_Toc214873598"/>
      <w:bookmarkStart w:id="78" w:name="_Toc317088146"/>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基金的投资</w:t>
      </w:r>
      <w:bookmarkEnd w:id="71"/>
      <w:bookmarkEnd w:id="72"/>
      <w:bookmarkEnd w:id="73"/>
      <w:bookmarkEnd w:id="74"/>
      <w:bookmarkEnd w:id="75"/>
      <w:bookmarkEnd w:id="76"/>
      <w:bookmarkEnd w:id="77"/>
      <w:bookmarkEnd w:id="78"/>
    </w:p>
    <w:p w:rsidR="00D5306E" w:rsidRDefault="00D5306E">
      <w:pPr>
        <w:spacing w:line="360" w:lineRule="auto"/>
        <w:rPr>
          <w:rFonts w:ascii="Arial Unicode MS" w:hAnsi="Arial Unicode MS"/>
          <w:szCs w:val="21"/>
        </w:rPr>
      </w:pPr>
    </w:p>
    <w:p w:rsidR="00D5306E" w:rsidRDefault="006D76AB">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b/>
          <w:bCs/>
          <w:szCs w:val="21"/>
        </w:rPr>
        <w:t>一、投资目标</w:t>
      </w:r>
    </w:p>
    <w:p w:rsidR="00D5306E" w:rsidRDefault="006D76AB">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本基金在控制风险的前提下，通过积极主动的投资管理，力争实现组合资产长期稳健的增值。</w:t>
      </w:r>
    </w:p>
    <w:p w:rsidR="00D5306E" w:rsidRDefault="006D76AB">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b/>
          <w:bCs/>
          <w:szCs w:val="21"/>
        </w:rPr>
        <w:t>二、投资范围</w:t>
      </w:r>
    </w:p>
    <w:p w:rsidR="00D5306E" w:rsidRDefault="006D76AB">
      <w:pPr>
        <w:adjustRightInd w:val="0"/>
        <w:snapToGrid w:val="0"/>
        <w:spacing w:line="360" w:lineRule="auto"/>
        <w:ind w:firstLineChars="200" w:firstLine="420"/>
        <w:rPr>
          <w:bCs/>
          <w:szCs w:val="21"/>
        </w:rPr>
      </w:pPr>
      <w:r>
        <w:rPr>
          <w:rFonts w:hint="eastAsia"/>
          <w:bCs/>
          <w:szCs w:val="21"/>
        </w:rPr>
        <w:t>本基金的投资范围主要为具有良好流动性的金融工具，包括依法发行上市的股票（包括中小板、创业板及其他经中国证监会核准或注册上市的股票、存托凭证</w:t>
      </w:r>
      <w:r>
        <w:rPr>
          <w:bCs/>
          <w:szCs w:val="21"/>
        </w:rPr>
        <w:t>）、</w:t>
      </w:r>
      <w:r>
        <w:rPr>
          <w:rFonts w:hint="eastAsia"/>
          <w:bCs/>
          <w:szCs w:val="21"/>
        </w:rPr>
        <w:t>港股通机制下允许投资的香港联合交易所上市的股票（以下简称“港股通标的股票”）、债券（包括国债、金融债、企业债、公司债、地方政府债、政府支持机构债券、可转换债券（含分离交易可转债的纯债部分）、可交换债、央行票据、中期票据、短期融资券、超短期融资券、次级债等）、资产支持证券、债券回购、银行存款、同业存单、货币市场工具、股指期货、股票期权、国债期货、信用衍生品及法律法规或中国证监会允许基金投资的其他金融工具（但须符合中国证监会相关规定）。</w:t>
      </w:r>
    </w:p>
    <w:p w:rsidR="00D5306E" w:rsidRDefault="006D76AB">
      <w:pPr>
        <w:adjustRightInd w:val="0"/>
        <w:snapToGrid w:val="0"/>
        <w:spacing w:line="360" w:lineRule="auto"/>
        <w:ind w:firstLineChars="200" w:firstLine="420"/>
        <w:rPr>
          <w:bCs/>
          <w:szCs w:val="21"/>
        </w:rPr>
      </w:pPr>
      <w:r>
        <w:rPr>
          <w:rFonts w:hint="eastAsia"/>
          <w:bCs/>
          <w:szCs w:val="21"/>
        </w:rPr>
        <w:t>本基金可根据相关法律法规和基金合同的约定参与融资业务。</w:t>
      </w:r>
    </w:p>
    <w:p w:rsidR="00D5306E" w:rsidRDefault="006D76AB">
      <w:pPr>
        <w:adjustRightInd w:val="0"/>
        <w:snapToGrid w:val="0"/>
        <w:spacing w:line="360" w:lineRule="auto"/>
        <w:ind w:firstLineChars="200" w:firstLine="420"/>
        <w:rPr>
          <w:bCs/>
          <w:szCs w:val="21"/>
        </w:rPr>
      </w:pPr>
      <w:r>
        <w:rPr>
          <w:rFonts w:hint="eastAsia"/>
          <w:bCs/>
          <w:szCs w:val="21"/>
        </w:rPr>
        <w:t>如法律法规或中国证监会以后允许基金投资其他品种，本基金管理人在履行适当程序后，可以将其纳入本基金的投资范围。</w:t>
      </w:r>
    </w:p>
    <w:p w:rsidR="00D5306E" w:rsidRDefault="006D76AB">
      <w:pPr>
        <w:adjustRightInd w:val="0"/>
        <w:snapToGrid w:val="0"/>
        <w:spacing w:line="360" w:lineRule="auto"/>
        <w:ind w:firstLineChars="200" w:firstLine="420"/>
        <w:rPr>
          <w:bCs/>
          <w:szCs w:val="21"/>
        </w:rPr>
      </w:pPr>
      <w:r>
        <w:rPr>
          <w:rFonts w:hint="eastAsia"/>
          <w:bCs/>
          <w:szCs w:val="21"/>
        </w:rPr>
        <w:t>本基金的投资组合比例为：本基金的股票资产</w:t>
      </w:r>
      <w:r>
        <w:rPr>
          <w:rFonts w:ascii="Arial" w:hAnsi="Arial" w:cs="Arial" w:hint="eastAsia"/>
        </w:rPr>
        <w:t>（含存托凭证）</w:t>
      </w:r>
      <w:r>
        <w:rPr>
          <w:rFonts w:hint="eastAsia"/>
          <w:bCs/>
          <w:szCs w:val="21"/>
        </w:rPr>
        <w:t>占基金资产的</w:t>
      </w:r>
      <w:r>
        <w:rPr>
          <w:rFonts w:hint="eastAsia"/>
          <w:bCs/>
          <w:szCs w:val="21"/>
        </w:rPr>
        <w:t>0%-95%</w:t>
      </w:r>
      <w:r>
        <w:rPr>
          <w:rFonts w:hint="eastAsia"/>
          <w:bCs/>
          <w:szCs w:val="21"/>
        </w:rPr>
        <w:t>，港股通标的股票的投资比例为股票资产的</w:t>
      </w:r>
      <w:r>
        <w:rPr>
          <w:rFonts w:hint="eastAsia"/>
          <w:bCs/>
          <w:szCs w:val="21"/>
        </w:rPr>
        <w:t>0%-50%</w:t>
      </w:r>
      <w:r>
        <w:rPr>
          <w:rFonts w:hint="eastAsia"/>
          <w:bCs/>
          <w:szCs w:val="21"/>
        </w:rPr>
        <w:t>；投资于同业存单的比例不超过基金资产的</w:t>
      </w:r>
      <w:r>
        <w:rPr>
          <w:rFonts w:hint="eastAsia"/>
          <w:bCs/>
          <w:szCs w:val="21"/>
        </w:rPr>
        <w:t>20%</w:t>
      </w:r>
      <w:r>
        <w:rPr>
          <w:rFonts w:hint="eastAsia"/>
          <w:bCs/>
          <w:szCs w:val="21"/>
        </w:rPr>
        <w:t>；每个交易日日终在扣除股指期货合约、股票期权合约、国债期货合约所需缴纳的交易保证金后，现金或到期日在一年以内的政府债券不低于基金资产净值的</w:t>
      </w:r>
      <w:r>
        <w:rPr>
          <w:rFonts w:hint="eastAsia"/>
          <w:bCs/>
          <w:szCs w:val="21"/>
        </w:rPr>
        <w:t>5%</w:t>
      </w:r>
      <w:r>
        <w:rPr>
          <w:rFonts w:hint="eastAsia"/>
          <w:bCs/>
          <w:szCs w:val="21"/>
        </w:rPr>
        <w:t>。前述现金不包括结算备付金、存出保证金、应收申购款等。</w:t>
      </w:r>
    </w:p>
    <w:p w:rsidR="00D5306E" w:rsidRDefault="006D76AB">
      <w:pPr>
        <w:adjustRightInd w:val="0"/>
        <w:snapToGrid w:val="0"/>
        <w:spacing w:line="360" w:lineRule="auto"/>
        <w:ind w:firstLineChars="200" w:firstLine="420"/>
        <w:rPr>
          <w:bCs/>
          <w:szCs w:val="21"/>
        </w:rPr>
      </w:pPr>
      <w:r>
        <w:rPr>
          <w:rFonts w:hint="eastAsia"/>
          <w:bCs/>
          <w:szCs w:val="21"/>
        </w:rPr>
        <w:t>若法律法规的相关规定发生变更或监管机构允许，本基金管理人在履行适当程序后，可对上述资产配置比例进行调整。</w:t>
      </w:r>
    </w:p>
    <w:p w:rsidR="00D5306E" w:rsidRDefault="006D76AB">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三</w:t>
      </w:r>
      <w:r>
        <w:rPr>
          <w:rFonts w:ascii="Arial Unicode MS" w:hAnsi="Arial Unicode MS" w:cs="Arial"/>
          <w:b/>
          <w:bCs/>
          <w:szCs w:val="21"/>
        </w:rPr>
        <w:t>、投资策略</w:t>
      </w:r>
    </w:p>
    <w:p w:rsidR="00D5306E" w:rsidRDefault="006D76AB">
      <w:pPr>
        <w:spacing w:line="360" w:lineRule="auto"/>
        <w:ind w:firstLineChars="200" w:firstLine="420"/>
        <w:rPr>
          <w:rFonts w:ascii="宋体" w:hAnsi="宋体"/>
          <w:bCs/>
          <w:szCs w:val="21"/>
        </w:rPr>
      </w:pPr>
      <w:bookmarkStart w:id="79" w:name="_Toc149105517"/>
      <w:bookmarkStart w:id="80" w:name="_Toc212891567"/>
      <w:bookmarkStart w:id="81" w:name="_Toc148867251"/>
      <w:r>
        <w:rPr>
          <w:rFonts w:ascii="宋体" w:hAnsi="宋体" w:hint="eastAsia"/>
          <w:bCs/>
          <w:szCs w:val="21"/>
        </w:rPr>
        <w:t>本基金为灵活配置混合型基金。投资策略主要包括资产配置策略、股票投资策略、其他资产投资策略三个部分内容。其中，资产配置策略主要是通过对宏观经济周期运行规律的研究，动态调整大类资产配置比例，以争取规避系统性风险。其次，股票投资策略包括行业选择和个股选择，在行业选择层面，主要是结合宏观和政策环境判断，形成行业配置思路。在个股投资层面，本基金将坚持估值与成长相结合，对企业基本面和长期竞争力进行严格评判。其他资产投资策略有债券投资策略、资产支持证券投资策略、衍生产品投资策略、流通受限证券投资策略、参与融资业务的投资策略。</w:t>
      </w:r>
    </w:p>
    <w:p w:rsidR="00D5306E" w:rsidRDefault="006D76AB">
      <w:pPr>
        <w:spacing w:line="360" w:lineRule="auto"/>
        <w:ind w:firstLineChars="200" w:firstLine="420"/>
        <w:rPr>
          <w:rFonts w:ascii="宋体" w:hAnsi="宋体"/>
          <w:bCs/>
          <w:szCs w:val="21"/>
        </w:rPr>
      </w:pPr>
      <w:r>
        <w:rPr>
          <w:rFonts w:ascii="宋体" w:hAnsi="宋体" w:hint="eastAsia"/>
          <w:bCs/>
          <w:szCs w:val="21"/>
        </w:rPr>
        <w:t>（一）资产配置策略</w:t>
      </w:r>
    </w:p>
    <w:p w:rsidR="00D5306E" w:rsidRDefault="006D76AB">
      <w:pPr>
        <w:spacing w:line="360" w:lineRule="auto"/>
        <w:ind w:firstLineChars="200" w:firstLine="420"/>
        <w:rPr>
          <w:rFonts w:ascii="宋体" w:hAnsi="宋体"/>
          <w:bCs/>
          <w:szCs w:val="21"/>
        </w:rPr>
      </w:pPr>
      <w:r>
        <w:rPr>
          <w:rFonts w:ascii="宋体" w:hAnsi="宋体" w:hint="eastAsia"/>
          <w:bCs/>
          <w:szCs w:val="21"/>
        </w:rPr>
        <w:lastRenderedPageBreak/>
        <w:t>本基金的资产配置策略主要是基于对宏观经济周期运行规律的研究予以决策。</w:t>
      </w:r>
    </w:p>
    <w:p w:rsidR="00D5306E" w:rsidRDefault="006D76AB">
      <w:pPr>
        <w:spacing w:line="360" w:lineRule="auto"/>
        <w:ind w:firstLineChars="200" w:firstLine="420"/>
        <w:rPr>
          <w:rFonts w:ascii="宋体" w:hAnsi="宋体"/>
          <w:bCs/>
          <w:szCs w:val="21"/>
        </w:rPr>
      </w:pPr>
      <w:r>
        <w:rPr>
          <w:rFonts w:ascii="宋体" w:hAnsi="宋体" w:hint="eastAsia"/>
          <w:bCs/>
          <w:szCs w:val="21"/>
        </w:rPr>
        <w:t>本基金将通过跟踪宏观经济变量（包括GDP增长率、CPI走势、M2的绝对水平和增长率、利率水平与走势等）以及国家财政、税收、货币、汇率各项政策，来判断经济周期目前的位置以及未来发展方向。</w:t>
      </w:r>
    </w:p>
    <w:p w:rsidR="00D5306E" w:rsidRDefault="006D76AB">
      <w:pPr>
        <w:spacing w:line="360" w:lineRule="auto"/>
        <w:ind w:firstLineChars="200" w:firstLine="420"/>
        <w:rPr>
          <w:rFonts w:ascii="宋体" w:hAnsi="宋体"/>
          <w:bCs/>
          <w:szCs w:val="21"/>
        </w:rPr>
      </w:pPr>
      <w:r>
        <w:rPr>
          <w:rFonts w:ascii="宋体" w:hAnsi="宋体" w:hint="eastAsia"/>
          <w:bCs/>
          <w:szCs w:val="21"/>
        </w:rPr>
        <w:t>在经济周期各阶段，综合对各类宏观经济指标和市场指标的分析，本基金对大类资产进行配置的策略为：在经济复苏期和繁荣期超配股票资产；在经济衰退期和政策刺激阶段，超配债券等固定收益类资产，力争通过资产配置获得部分超额收益。</w:t>
      </w:r>
    </w:p>
    <w:p w:rsidR="00D5306E" w:rsidRDefault="006D76AB">
      <w:pPr>
        <w:spacing w:line="360" w:lineRule="auto"/>
        <w:ind w:firstLineChars="200" w:firstLine="420"/>
        <w:rPr>
          <w:rFonts w:ascii="宋体" w:hAnsi="宋体"/>
          <w:bCs/>
          <w:szCs w:val="21"/>
        </w:rPr>
      </w:pPr>
      <w:r>
        <w:rPr>
          <w:rFonts w:ascii="宋体" w:hAnsi="宋体" w:hint="eastAsia"/>
          <w:bCs/>
          <w:szCs w:val="21"/>
        </w:rPr>
        <w:t>1、当中证800指数的整体估值水平处于过去十年的后10%分位，同时未来一年上市公司预测盈利增速、资产回报率能够提高，我们将提高股票资产配置比例，股票资产占基金资产的比例为50%-95%。本阶段，市场大部分股票将处于未被充分定价的低估状态，我们将维持较高的股票资产配置比例，力争获取更多的投资收益。同时我们也将审慎判断后续市场环境变化，当市场情绪过于乐观、股票指数快速上涨时，我们将适度调低股票资产配置比例，保留部分估值处于合理水平、盈利能力稳定的优质个股。</w:t>
      </w:r>
    </w:p>
    <w:p w:rsidR="00D5306E" w:rsidRDefault="006D76AB">
      <w:pPr>
        <w:spacing w:line="360" w:lineRule="auto"/>
        <w:ind w:firstLineChars="200" w:firstLine="420"/>
        <w:rPr>
          <w:rFonts w:ascii="宋体" w:hAnsi="宋体"/>
          <w:bCs/>
          <w:szCs w:val="21"/>
        </w:rPr>
      </w:pPr>
      <w:r>
        <w:rPr>
          <w:rFonts w:ascii="宋体" w:hAnsi="宋体" w:hint="eastAsia"/>
          <w:bCs/>
          <w:szCs w:val="21"/>
        </w:rPr>
        <w:t>2、当中证800指数的整体估值水平处于过去十年的前10%分位，同时未来一年上市公司预测整体盈利增速、资产回报率将出现下滑，我们将降低股票资产配置比例，股票资产占基金资产的比例为0%-45%。本阶段，我们需要维持较低的股票资产配置比例，重点防范市场因估值水平过高、盈利能力下滑而造成的系统性风险。同时，我们将紧密跟踪宏观环境的变化，若宏观经济政策、资本市场环境发生重大调整，我们将及时提升股票资产配置比例。</w:t>
      </w:r>
    </w:p>
    <w:p w:rsidR="00D5306E" w:rsidRDefault="006D76AB">
      <w:pPr>
        <w:spacing w:line="360" w:lineRule="auto"/>
        <w:ind w:firstLineChars="200" w:firstLine="420"/>
        <w:rPr>
          <w:rFonts w:ascii="宋体" w:hAnsi="宋体"/>
          <w:bCs/>
          <w:szCs w:val="21"/>
        </w:rPr>
      </w:pPr>
      <w:r>
        <w:rPr>
          <w:rFonts w:ascii="宋体" w:hAnsi="宋体" w:hint="eastAsia"/>
          <w:bCs/>
          <w:szCs w:val="21"/>
        </w:rPr>
        <w:t>3、除上述两种情况以外，本基金股票资产占基金资产的比例为40%-85%，本阶段本基金股票资产配置的重点是行业配置和个股选择。我们将遵循本基金的选择标准，寻找估值合理、盈利趋势向好的公司。</w:t>
      </w:r>
    </w:p>
    <w:p w:rsidR="00D5306E" w:rsidRDefault="006D76AB">
      <w:pPr>
        <w:spacing w:line="360" w:lineRule="auto"/>
        <w:ind w:firstLineChars="200" w:firstLine="420"/>
        <w:rPr>
          <w:rFonts w:ascii="宋体" w:hAnsi="宋体"/>
          <w:bCs/>
          <w:szCs w:val="21"/>
        </w:rPr>
      </w:pPr>
      <w:r>
        <w:rPr>
          <w:rFonts w:ascii="宋体" w:hAnsi="宋体" w:hint="eastAsia"/>
          <w:bCs/>
          <w:szCs w:val="21"/>
        </w:rPr>
        <w:t>（二）股票投资策略</w:t>
      </w:r>
    </w:p>
    <w:p w:rsidR="00D5306E" w:rsidRDefault="006D76AB">
      <w:pPr>
        <w:spacing w:line="360" w:lineRule="auto"/>
        <w:ind w:firstLineChars="200" w:firstLine="420"/>
        <w:rPr>
          <w:rFonts w:ascii="宋体" w:hAnsi="宋体"/>
          <w:bCs/>
          <w:szCs w:val="21"/>
        </w:rPr>
      </w:pPr>
      <w:r>
        <w:rPr>
          <w:rFonts w:ascii="宋体" w:hAnsi="宋体" w:hint="eastAsia"/>
          <w:bCs/>
          <w:szCs w:val="21"/>
        </w:rPr>
        <w:t>本基金通过自上而下及自下而上相结合的方法，在符合经济发展规律、有政策驱动的、推动经济结构转型的新的增长点和产业中，精选A股和港股的优质行业，重点关注公司以及所属产业的成长性与商业模式，积极把握中国经济结构调整所带来的行业个股的投资机会。</w:t>
      </w:r>
    </w:p>
    <w:p w:rsidR="00D5306E" w:rsidRDefault="006D76AB">
      <w:pPr>
        <w:spacing w:line="360" w:lineRule="auto"/>
        <w:ind w:firstLineChars="200" w:firstLine="420"/>
        <w:rPr>
          <w:rFonts w:ascii="宋体" w:hAnsi="宋体"/>
          <w:bCs/>
          <w:szCs w:val="21"/>
        </w:rPr>
      </w:pPr>
      <w:r>
        <w:rPr>
          <w:rFonts w:ascii="宋体" w:hAnsi="宋体" w:hint="eastAsia"/>
          <w:bCs/>
          <w:szCs w:val="21"/>
        </w:rPr>
        <w:t>1、行业筛选策略</w:t>
      </w:r>
    </w:p>
    <w:p w:rsidR="00D5306E" w:rsidRDefault="006D76AB">
      <w:pPr>
        <w:spacing w:line="360" w:lineRule="auto"/>
        <w:ind w:firstLineChars="200" w:firstLine="420"/>
        <w:rPr>
          <w:rFonts w:ascii="宋体" w:hAnsi="宋体"/>
          <w:bCs/>
          <w:szCs w:val="21"/>
        </w:rPr>
      </w:pPr>
      <w:r>
        <w:rPr>
          <w:rFonts w:ascii="宋体" w:hAnsi="宋体" w:hint="eastAsia"/>
          <w:bCs/>
          <w:szCs w:val="21"/>
        </w:rPr>
        <w:t>行业的选择与配置方面，重点关注三个问题：经济运行所处的周期、产业运行周期、行业成长空间。顺应经济结构转型的变化，寻找推动经济增长的新的驱动力，重点关注行业所处的成长周期，行业的增速以及未来的空间。</w:t>
      </w:r>
    </w:p>
    <w:p w:rsidR="00D5306E" w:rsidRDefault="006D76AB">
      <w:pPr>
        <w:spacing w:line="360" w:lineRule="auto"/>
        <w:ind w:firstLineChars="200" w:firstLine="420"/>
        <w:rPr>
          <w:rFonts w:ascii="宋体" w:hAnsi="宋体"/>
          <w:bCs/>
          <w:szCs w:val="21"/>
        </w:rPr>
      </w:pPr>
      <w:r>
        <w:rPr>
          <w:rFonts w:ascii="宋体" w:hAnsi="宋体" w:hint="eastAsia"/>
          <w:bCs/>
          <w:szCs w:val="21"/>
        </w:rPr>
        <w:t>2、个股选择策略</w:t>
      </w:r>
    </w:p>
    <w:p w:rsidR="00D5306E" w:rsidRDefault="006D76AB">
      <w:pPr>
        <w:spacing w:line="360" w:lineRule="auto"/>
        <w:ind w:firstLineChars="200" w:firstLine="420"/>
        <w:rPr>
          <w:rFonts w:ascii="宋体" w:hAnsi="宋体"/>
          <w:bCs/>
          <w:szCs w:val="21"/>
        </w:rPr>
      </w:pPr>
      <w:r>
        <w:rPr>
          <w:rFonts w:ascii="宋体" w:hAnsi="宋体" w:hint="eastAsia"/>
          <w:bCs/>
          <w:szCs w:val="21"/>
        </w:rPr>
        <w:t>在个股选择上，本基金采用定性与定量相结合的方式，自下而上，精选优质的行业上市公司的投资价值进行综合评估，选取具有较强竞争优势的高成长上市公司作为投资标的。</w:t>
      </w:r>
    </w:p>
    <w:p w:rsidR="00D5306E" w:rsidRDefault="006D76AB">
      <w:pPr>
        <w:spacing w:line="360" w:lineRule="auto"/>
        <w:ind w:firstLineChars="200" w:firstLine="420"/>
        <w:rPr>
          <w:rFonts w:ascii="宋体" w:hAnsi="宋体"/>
          <w:bCs/>
          <w:szCs w:val="21"/>
        </w:rPr>
      </w:pPr>
      <w:r>
        <w:rPr>
          <w:rFonts w:ascii="宋体" w:hAnsi="宋体" w:hint="eastAsia"/>
          <w:bCs/>
          <w:szCs w:val="21"/>
        </w:rPr>
        <w:t>（1）定性分析</w:t>
      </w:r>
    </w:p>
    <w:p w:rsidR="00D5306E" w:rsidRDefault="006D76AB">
      <w:pPr>
        <w:spacing w:line="360" w:lineRule="auto"/>
        <w:ind w:firstLineChars="200" w:firstLine="420"/>
        <w:rPr>
          <w:rFonts w:ascii="宋体" w:hAnsi="宋体"/>
          <w:bCs/>
          <w:szCs w:val="21"/>
        </w:rPr>
      </w:pPr>
      <w:r>
        <w:rPr>
          <w:rFonts w:ascii="宋体" w:hAnsi="宋体" w:hint="eastAsia"/>
          <w:bCs/>
          <w:szCs w:val="21"/>
        </w:rPr>
        <w:t>1）产品竞争力</w:t>
      </w:r>
    </w:p>
    <w:p w:rsidR="00D5306E" w:rsidRDefault="006D76AB">
      <w:pPr>
        <w:spacing w:line="360" w:lineRule="auto"/>
        <w:ind w:firstLineChars="200" w:firstLine="420"/>
        <w:rPr>
          <w:rFonts w:ascii="宋体" w:hAnsi="宋体"/>
          <w:bCs/>
          <w:szCs w:val="21"/>
        </w:rPr>
      </w:pPr>
      <w:r>
        <w:rPr>
          <w:rFonts w:ascii="宋体" w:hAnsi="宋体" w:hint="eastAsia"/>
          <w:bCs/>
          <w:szCs w:val="21"/>
        </w:rPr>
        <w:lastRenderedPageBreak/>
        <w:t>本基金主要通过以下几个方面考察具备产业发展潜力的上市公司的可投资性。一方面，考察产品竞争力。另一方面，考察企业的市场开发能力。</w:t>
      </w:r>
    </w:p>
    <w:p w:rsidR="00D5306E" w:rsidRDefault="006D76AB">
      <w:pPr>
        <w:spacing w:line="360" w:lineRule="auto"/>
        <w:ind w:firstLineChars="200" w:firstLine="420"/>
        <w:rPr>
          <w:rFonts w:ascii="宋体" w:hAnsi="宋体"/>
          <w:bCs/>
          <w:szCs w:val="21"/>
        </w:rPr>
      </w:pPr>
      <w:r>
        <w:rPr>
          <w:rFonts w:ascii="宋体" w:hAnsi="宋体" w:hint="eastAsia"/>
          <w:bCs/>
          <w:szCs w:val="21"/>
        </w:rPr>
        <w:t>2）产品生命周期</w:t>
      </w:r>
    </w:p>
    <w:p w:rsidR="00D5306E" w:rsidRDefault="006D76AB">
      <w:pPr>
        <w:spacing w:line="360" w:lineRule="auto"/>
        <w:ind w:firstLineChars="200" w:firstLine="420"/>
        <w:rPr>
          <w:rFonts w:ascii="宋体" w:hAnsi="宋体"/>
          <w:bCs/>
          <w:szCs w:val="21"/>
        </w:rPr>
      </w:pPr>
      <w:r>
        <w:rPr>
          <w:rFonts w:ascii="宋体" w:hAnsi="宋体" w:hint="eastAsia"/>
          <w:bCs/>
          <w:szCs w:val="21"/>
        </w:rPr>
        <w:t>处于启动期和高速成长期的产品和企业通常表现为较高的利润率、较快的利润增长、市场份额的急剧上升，处于上述阶段的上市公司是本基金的投资重点。</w:t>
      </w:r>
    </w:p>
    <w:p w:rsidR="00D5306E" w:rsidRDefault="006D76AB">
      <w:pPr>
        <w:spacing w:line="360" w:lineRule="auto"/>
        <w:ind w:firstLineChars="200" w:firstLine="420"/>
        <w:rPr>
          <w:rFonts w:ascii="宋体" w:hAnsi="宋体"/>
          <w:bCs/>
          <w:szCs w:val="21"/>
        </w:rPr>
      </w:pPr>
      <w:r>
        <w:rPr>
          <w:rFonts w:ascii="宋体" w:hAnsi="宋体" w:hint="eastAsia"/>
          <w:bCs/>
          <w:szCs w:val="21"/>
        </w:rPr>
        <w:t>3）企业管理团队的领导与创新能力</w:t>
      </w:r>
    </w:p>
    <w:p w:rsidR="00D5306E" w:rsidRDefault="006D76AB">
      <w:pPr>
        <w:spacing w:line="360" w:lineRule="auto"/>
        <w:ind w:firstLineChars="200" w:firstLine="420"/>
        <w:rPr>
          <w:rFonts w:ascii="宋体" w:hAnsi="宋体"/>
          <w:bCs/>
          <w:szCs w:val="21"/>
        </w:rPr>
      </w:pPr>
      <w:r>
        <w:rPr>
          <w:rFonts w:ascii="宋体" w:hAnsi="宋体" w:hint="eastAsia"/>
          <w:bCs/>
          <w:szCs w:val="21"/>
        </w:rPr>
        <w:t>首先考察团队是否具备新思想、新思维、接受现代新事物的心态，是否可以在技术的应用创新上领先，是否具备商业模式的创新等；其次考察管理团队及管理结构是否可以为企业的和谐发展提供保证。</w:t>
      </w:r>
    </w:p>
    <w:p w:rsidR="00D5306E" w:rsidRDefault="006D76AB">
      <w:pPr>
        <w:spacing w:line="360" w:lineRule="auto"/>
        <w:ind w:firstLineChars="200" w:firstLine="420"/>
        <w:rPr>
          <w:rFonts w:ascii="宋体" w:hAnsi="宋体"/>
          <w:bCs/>
          <w:szCs w:val="21"/>
        </w:rPr>
      </w:pPr>
      <w:r>
        <w:rPr>
          <w:rFonts w:ascii="宋体" w:hAnsi="宋体" w:hint="eastAsia"/>
          <w:bCs/>
          <w:szCs w:val="21"/>
        </w:rPr>
        <w:t>（2）定量分析</w:t>
      </w:r>
    </w:p>
    <w:p w:rsidR="00D5306E" w:rsidRDefault="006D76AB">
      <w:pPr>
        <w:spacing w:line="360" w:lineRule="auto"/>
        <w:ind w:firstLineChars="200" w:firstLine="420"/>
        <w:rPr>
          <w:rFonts w:ascii="宋体" w:hAnsi="宋体"/>
          <w:bCs/>
          <w:szCs w:val="21"/>
        </w:rPr>
      </w:pPr>
      <w:r>
        <w:rPr>
          <w:rFonts w:ascii="宋体" w:hAnsi="宋体" w:hint="eastAsia"/>
          <w:bCs/>
          <w:szCs w:val="21"/>
        </w:rPr>
        <w:t xml:space="preserve">本基金将公司分为三类，并采用相应的定量分析方法，以识别具备潜在盈利弹性或持续成长能力的个股进行投资。 </w:t>
      </w:r>
    </w:p>
    <w:p w:rsidR="00D5306E" w:rsidRDefault="006D76AB">
      <w:pPr>
        <w:spacing w:line="360" w:lineRule="auto"/>
        <w:ind w:firstLineChars="200" w:firstLine="420"/>
        <w:rPr>
          <w:rFonts w:ascii="宋体" w:hAnsi="宋体"/>
          <w:bCs/>
          <w:szCs w:val="21"/>
        </w:rPr>
      </w:pPr>
      <w:r>
        <w:rPr>
          <w:rFonts w:ascii="宋体" w:hAnsi="宋体" w:hint="eastAsia"/>
          <w:bCs/>
          <w:szCs w:val="21"/>
        </w:rPr>
        <w:t xml:space="preserve">1）初期成长阶段：上市公司具备核心商业模式/技术/产品/管理等优势，但由于处于行业成长初期，企业利润尚未体现。对这类公司，我们需要选取如下指标进行定量分析，识别相应投资价值。 </w:t>
      </w:r>
    </w:p>
    <w:p w:rsidR="00D5306E" w:rsidRDefault="006D76AB">
      <w:pPr>
        <w:spacing w:line="360" w:lineRule="auto"/>
        <w:ind w:firstLineChars="200" w:firstLine="420"/>
        <w:rPr>
          <w:rFonts w:ascii="宋体" w:hAnsi="宋体"/>
          <w:bCs/>
          <w:szCs w:val="21"/>
        </w:rPr>
      </w:pPr>
      <w:r>
        <w:rPr>
          <w:rFonts w:ascii="宋体" w:hAnsi="宋体" w:hint="eastAsia"/>
          <w:bCs/>
          <w:szCs w:val="21"/>
        </w:rPr>
        <w:t xml:space="preserve">A. 成长性指标：行业增速和潜在市场空间，产业潜在空间/公司市值比，收入增长率，息税折旧前利润（EBITDA）增长率，经营性活动现金流入增长率，自由现金流增长率； </w:t>
      </w:r>
    </w:p>
    <w:p w:rsidR="00D5306E" w:rsidRDefault="006D76AB">
      <w:pPr>
        <w:spacing w:line="360" w:lineRule="auto"/>
        <w:ind w:firstLineChars="200" w:firstLine="420"/>
        <w:rPr>
          <w:rFonts w:ascii="宋体" w:hAnsi="宋体"/>
          <w:bCs/>
          <w:szCs w:val="21"/>
        </w:rPr>
      </w:pPr>
      <w:r>
        <w:rPr>
          <w:rFonts w:ascii="宋体" w:hAnsi="宋体" w:hint="eastAsia"/>
          <w:bCs/>
          <w:szCs w:val="21"/>
        </w:rPr>
        <w:t>B. 财务指标：毛利率、营业利润率、净资产收益率、投入资本回报率、经营性活动现金净流量、自由现金流净额、研发费用/收入比，息税折旧前利润/收入比；</w:t>
      </w:r>
    </w:p>
    <w:p w:rsidR="00D5306E" w:rsidRDefault="006D76AB">
      <w:pPr>
        <w:spacing w:line="360" w:lineRule="auto"/>
        <w:ind w:firstLineChars="200" w:firstLine="420"/>
        <w:rPr>
          <w:rFonts w:ascii="宋体" w:hAnsi="宋体"/>
          <w:bCs/>
          <w:szCs w:val="21"/>
        </w:rPr>
      </w:pPr>
      <w:r>
        <w:rPr>
          <w:rFonts w:ascii="宋体" w:hAnsi="宋体" w:hint="eastAsia"/>
          <w:bCs/>
          <w:szCs w:val="21"/>
        </w:rPr>
        <w:t>C. 估值指标：市销率（P/S），市净率（P/B）、市现率（P/CF）和总市值；</w:t>
      </w:r>
    </w:p>
    <w:p w:rsidR="00D5306E" w:rsidRDefault="006D76AB">
      <w:pPr>
        <w:spacing w:line="360" w:lineRule="auto"/>
        <w:ind w:firstLineChars="200" w:firstLine="420"/>
        <w:rPr>
          <w:rFonts w:ascii="宋体" w:hAnsi="宋体"/>
          <w:bCs/>
          <w:szCs w:val="21"/>
        </w:rPr>
      </w:pPr>
      <w:r>
        <w:rPr>
          <w:rFonts w:ascii="宋体" w:hAnsi="宋体" w:hint="eastAsia"/>
          <w:bCs/>
          <w:szCs w:val="21"/>
        </w:rPr>
        <w:t xml:space="preserve">2）稳定成长阶段：上市公司的产品已经形成稳定销售，行业竞争格局开始趋于稳定，企业利润开始逐步体现。对这类公司，我们需要选取如下指标进行定量分析，判断公司合理价值。 </w:t>
      </w:r>
    </w:p>
    <w:p w:rsidR="00D5306E" w:rsidRDefault="006D76AB">
      <w:pPr>
        <w:spacing w:line="360" w:lineRule="auto"/>
        <w:ind w:firstLineChars="200" w:firstLine="420"/>
        <w:rPr>
          <w:rFonts w:ascii="宋体" w:hAnsi="宋体"/>
          <w:bCs/>
          <w:szCs w:val="21"/>
        </w:rPr>
      </w:pPr>
      <w:r>
        <w:rPr>
          <w:rFonts w:ascii="宋体" w:hAnsi="宋体" w:hint="eastAsia"/>
          <w:bCs/>
          <w:szCs w:val="21"/>
        </w:rPr>
        <w:t xml:space="preserve">A. 成长性指标：营业利润增长率、净利润增长率、收入增长率、经营性活动现金流入增长率； </w:t>
      </w:r>
    </w:p>
    <w:p w:rsidR="00D5306E" w:rsidRDefault="006D76AB">
      <w:pPr>
        <w:spacing w:line="360" w:lineRule="auto"/>
        <w:ind w:firstLineChars="200" w:firstLine="420"/>
        <w:rPr>
          <w:rFonts w:ascii="宋体" w:hAnsi="宋体"/>
          <w:bCs/>
          <w:szCs w:val="21"/>
        </w:rPr>
      </w:pPr>
      <w:r>
        <w:rPr>
          <w:rFonts w:ascii="宋体" w:hAnsi="宋体" w:hint="eastAsia"/>
          <w:bCs/>
          <w:szCs w:val="21"/>
        </w:rPr>
        <w:t xml:space="preserve">B. 财务指标：毛利率、营业利润率、净资产收益率、净利率、经营性活动现金净流入/利润总额等； </w:t>
      </w:r>
    </w:p>
    <w:p w:rsidR="00D5306E" w:rsidRDefault="006D76AB">
      <w:pPr>
        <w:spacing w:line="360" w:lineRule="auto"/>
        <w:ind w:firstLineChars="200" w:firstLine="420"/>
        <w:rPr>
          <w:rFonts w:ascii="宋体" w:hAnsi="宋体"/>
          <w:bCs/>
          <w:szCs w:val="21"/>
        </w:rPr>
      </w:pPr>
      <w:r>
        <w:rPr>
          <w:rFonts w:ascii="宋体" w:hAnsi="宋体" w:hint="eastAsia"/>
          <w:bCs/>
          <w:szCs w:val="21"/>
        </w:rPr>
        <w:t xml:space="preserve">C. 估值指标： 市盈率（P/E）、市盈率相对盈利增长比率（PEG）、市净率（P/B）、市销率（PS）和总市值； </w:t>
      </w:r>
    </w:p>
    <w:p w:rsidR="00D5306E" w:rsidRDefault="006D76AB">
      <w:pPr>
        <w:spacing w:line="360" w:lineRule="auto"/>
        <w:ind w:firstLineChars="200" w:firstLine="420"/>
        <w:rPr>
          <w:rFonts w:ascii="宋体" w:hAnsi="宋体"/>
          <w:bCs/>
          <w:szCs w:val="21"/>
        </w:rPr>
      </w:pPr>
      <w:r>
        <w:rPr>
          <w:rFonts w:ascii="宋体" w:hAnsi="宋体" w:hint="eastAsia"/>
          <w:bCs/>
          <w:szCs w:val="21"/>
        </w:rPr>
        <w:t xml:space="preserve">3）成熟阶段：上市公司所处行业为成熟行业，但上市公司仍能通过份额扩张、产品创新或管理挖潜等优势实现超越行业的增速。对这类公司，我们重点关注如下指标进行定量分析，判断公司合理价值。 </w:t>
      </w:r>
    </w:p>
    <w:p w:rsidR="00D5306E" w:rsidRDefault="006D76AB">
      <w:pPr>
        <w:spacing w:line="360" w:lineRule="auto"/>
        <w:ind w:firstLineChars="200" w:firstLine="420"/>
        <w:rPr>
          <w:rFonts w:ascii="宋体" w:hAnsi="宋体"/>
          <w:bCs/>
          <w:szCs w:val="21"/>
        </w:rPr>
      </w:pPr>
      <w:r>
        <w:rPr>
          <w:rFonts w:ascii="宋体" w:hAnsi="宋体" w:hint="eastAsia"/>
          <w:bCs/>
          <w:szCs w:val="21"/>
        </w:rPr>
        <w:t xml:space="preserve">A. 成长性指标：营业利润增长率、净利润增长率、收入增长率、经营性活动现金流入增长率； </w:t>
      </w:r>
    </w:p>
    <w:p w:rsidR="00D5306E" w:rsidRDefault="006D76AB">
      <w:pPr>
        <w:spacing w:line="360" w:lineRule="auto"/>
        <w:ind w:firstLineChars="200" w:firstLine="420"/>
        <w:rPr>
          <w:rFonts w:ascii="宋体" w:hAnsi="宋体"/>
          <w:bCs/>
          <w:szCs w:val="21"/>
        </w:rPr>
      </w:pPr>
      <w:r>
        <w:rPr>
          <w:rFonts w:ascii="宋体" w:hAnsi="宋体" w:hint="eastAsia"/>
          <w:bCs/>
          <w:szCs w:val="21"/>
        </w:rPr>
        <w:lastRenderedPageBreak/>
        <w:t xml:space="preserve">B. 财务指标：成本、毛利率、管理费用率、销售费用率、营业利润率、净资产收益率、净利率、经营性活动现金净流入/利润总额等； </w:t>
      </w:r>
    </w:p>
    <w:p w:rsidR="00D5306E" w:rsidRDefault="006D76AB">
      <w:pPr>
        <w:spacing w:line="360" w:lineRule="auto"/>
        <w:ind w:firstLineChars="200" w:firstLine="420"/>
        <w:rPr>
          <w:rFonts w:ascii="宋体" w:hAnsi="宋体"/>
          <w:bCs/>
          <w:szCs w:val="21"/>
        </w:rPr>
      </w:pPr>
      <w:r>
        <w:rPr>
          <w:rFonts w:ascii="宋体" w:hAnsi="宋体" w:hint="eastAsia"/>
          <w:bCs/>
          <w:szCs w:val="21"/>
        </w:rPr>
        <w:t xml:space="preserve">C. 估值指标： 市盈率（P/E）、市盈率相对盈利增长比率（PEG）、市净率（P/B）、市销率（PS）和总市值。 </w:t>
      </w:r>
    </w:p>
    <w:p w:rsidR="00D5306E" w:rsidRDefault="006D76AB">
      <w:pPr>
        <w:spacing w:line="360" w:lineRule="auto"/>
        <w:ind w:firstLineChars="200" w:firstLine="420"/>
        <w:rPr>
          <w:rFonts w:ascii="宋体" w:hAnsi="宋体"/>
          <w:bCs/>
          <w:szCs w:val="21"/>
        </w:rPr>
      </w:pPr>
      <w:r>
        <w:rPr>
          <w:rFonts w:ascii="宋体" w:hAnsi="宋体" w:hint="eastAsia"/>
          <w:bCs/>
          <w:szCs w:val="21"/>
        </w:rPr>
        <w:t xml:space="preserve">（3）组合股票的投资吸引力评估分析 </w:t>
      </w:r>
    </w:p>
    <w:p w:rsidR="00D5306E" w:rsidRDefault="006D76AB">
      <w:pPr>
        <w:spacing w:line="360" w:lineRule="auto"/>
        <w:ind w:firstLineChars="200" w:firstLine="420"/>
        <w:rPr>
          <w:rFonts w:ascii="宋体" w:hAnsi="宋体"/>
          <w:bCs/>
          <w:szCs w:val="21"/>
        </w:rPr>
      </w:pPr>
      <w:r>
        <w:rPr>
          <w:rFonts w:ascii="宋体" w:hAnsi="宋体" w:hint="eastAsia"/>
          <w:bCs/>
          <w:szCs w:val="21"/>
        </w:rPr>
        <w:t>本基金紧密对组合中股票进行动态评估，使用相对价值评估方法，形成最终股票组合进行投资。相对估值主要包括两个方面：</w:t>
      </w:r>
    </w:p>
    <w:p w:rsidR="00D5306E" w:rsidRDefault="006D76AB">
      <w:pPr>
        <w:spacing w:line="360" w:lineRule="auto"/>
        <w:ind w:firstLineChars="200" w:firstLine="420"/>
        <w:rPr>
          <w:rFonts w:ascii="宋体" w:hAnsi="宋体"/>
          <w:bCs/>
          <w:szCs w:val="21"/>
        </w:rPr>
      </w:pPr>
      <w:r>
        <w:rPr>
          <w:rFonts w:ascii="宋体" w:hAnsi="宋体" w:hint="eastAsia"/>
          <w:bCs/>
          <w:szCs w:val="21"/>
        </w:rPr>
        <w:t>1）纵向对比：采用专业估值模型，合理使用市盈率、市净率和市销率指标，评估并确定新经济类公司上市前历次融资中的估值走廊，确定二级市场公司估值中枢；</w:t>
      </w:r>
    </w:p>
    <w:p w:rsidR="00D5306E" w:rsidRDefault="006D76AB">
      <w:pPr>
        <w:spacing w:line="360" w:lineRule="auto"/>
        <w:ind w:firstLineChars="200" w:firstLine="420"/>
        <w:rPr>
          <w:rFonts w:ascii="宋体" w:hAnsi="宋体"/>
          <w:bCs/>
          <w:szCs w:val="21"/>
        </w:rPr>
      </w:pPr>
      <w:r>
        <w:rPr>
          <w:rFonts w:ascii="宋体" w:hAnsi="宋体" w:hint="eastAsia"/>
          <w:bCs/>
          <w:szCs w:val="21"/>
        </w:rPr>
        <w:t xml:space="preserve">2）横向对比：运用国际化视野，合理使用上述估值指标，评估并比较关注标的相对沪深市场/海外市场中类似业务公司的估值指标，选择其中价值被低估的公司。 </w:t>
      </w:r>
    </w:p>
    <w:p w:rsidR="00D5306E" w:rsidRDefault="006D76AB">
      <w:pPr>
        <w:spacing w:line="360" w:lineRule="auto"/>
        <w:ind w:firstLineChars="200" w:firstLine="420"/>
        <w:rPr>
          <w:rFonts w:ascii="宋体" w:hAnsi="宋体"/>
          <w:bCs/>
          <w:szCs w:val="21"/>
        </w:rPr>
      </w:pPr>
      <w:r>
        <w:rPr>
          <w:rFonts w:ascii="宋体" w:hAnsi="宋体" w:hint="eastAsia"/>
          <w:bCs/>
          <w:szCs w:val="21"/>
        </w:rPr>
        <w:t xml:space="preserve">本基金采用包括自由现金流贴现模型、股息贴现模型、市盈率法、市净率法、 PEG、EV/EBITDA、P/S、产业潜在空间/公司市值比等估值方法，选择最具投资价值的股票构建投资组合。 </w:t>
      </w:r>
    </w:p>
    <w:p w:rsidR="00D5306E" w:rsidRDefault="006D76AB">
      <w:pPr>
        <w:spacing w:line="360" w:lineRule="auto"/>
        <w:ind w:firstLineChars="200" w:firstLine="420"/>
        <w:rPr>
          <w:rFonts w:ascii="宋体" w:hAnsi="宋体"/>
          <w:bCs/>
          <w:szCs w:val="21"/>
        </w:rPr>
      </w:pPr>
      <w:r>
        <w:rPr>
          <w:rFonts w:ascii="宋体" w:hAnsi="宋体" w:hint="eastAsia"/>
          <w:bCs/>
          <w:szCs w:val="21"/>
        </w:rPr>
        <w:t xml:space="preserve">（4）投资组合构建与优化 </w:t>
      </w:r>
    </w:p>
    <w:p w:rsidR="00D5306E" w:rsidRDefault="006D76AB">
      <w:pPr>
        <w:spacing w:line="360" w:lineRule="auto"/>
        <w:ind w:firstLineChars="200" w:firstLine="420"/>
        <w:rPr>
          <w:rFonts w:ascii="宋体" w:hAnsi="宋体"/>
          <w:bCs/>
          <w:szCs w:val="21"/>
        </w:rPr>
      </w:pPr>
      <w:r>
        <w:rPr>
          <w:rFonts w:ascii="宋体" w:hAnsi="宋体" w:hint="eastAsia"/>
          <w:bCs/>
          <w:szCs w:val="21"/>
        </w:rPr>
        <w:t>分别按照初期成长/稳定成长/成熟阶段的标准划分，定期动态评估基金组合中单个证券的预期收益及风险特性，对组合持仓进行动态优化，在合理风险水平下追求基金收益最大化。同时监控组合中证券的估值水平和企业社会责任履行情况，在市场价格明显高于其内在合理价值、或者公司治理/企业社会责任出现重大风险时卖出证券。</w:t>
      </w:r>
    </w:p>
    <w:p w:rsidR="00D5306E" w:rsidRDefault="006D76AB">
      <w:pPr>
        <w:spacing w:line="360" w:lineRule="auto"/>
        <w:ind w:firstLineChars="200" w:firstLine="420"/>
        <w:rPr>
          <w:rFonts w:ascii="宋体" w:hAnsi="宋体"/>
          <w:bCs/>
          <w:szCs w:val="21"/>
        </w:rPr>
      </w:pPr>
      <w:r>
        <w:rPr>
          <w:rFonts w:ascii="宋体" w:hAnsi="宋体" w:hint="eastAsia"/>
          <w:bCs/>
          <w:szCs w:val="21"/>
        </w:rPr>
        <w:t>3、港股投资策略</w:t>
      </w:r>
    </w:p>
    <w:p w:rsidR="00D5306E" w:rsidRDefault="006D76AB">
      <w:pPr>
        <w:spacing w:line="360" w:lineRule="auto"/>
        <w:ind w:firstLineChars="200" w:firstLine="420"/>
        <w:rPr>
          <w:rFonts w:ascii="宋体" w:hAnsi="宋体"/>
          <w:bCs/>
          <w:szCs w:val="21"/>
        </w:rPr>
      </w:pPr>
      <w:r>
        <w:rPr>
          <w:rFonts w:ascii="宋体" w:hAnsi="宋体" w:hint="eastAsia"/>
          <w:bCs/>
          <w:szCs w:val="21"/>
        </w:rPr>
        <w:t>本基金将充分挖掘内地与香港股票市场交易互联互通、资金双向流动机制下A股市场和港股市场的投资机会。具体投资策略如下：</w:t>
      </w:r>
    </w:p>
    <w:p w:rsidR="00D5306E" w:rsidRDefault="006D76AB">
      <w:pPr>
        <w:spacing w:line="360" w:lineRule="auto"/>
        <w:ind w:firstLineChars="200" w:firstLine="420"/>
        <w:rPr>
          <w:rFonts w:ascii="宋体" w:hAnsi="宋体"/>
          <w:bCs/>
          <w:szCs w:val="21"/>
        </w:rPr>
      </w:pPr>
      <w:r>
        <w:rPr>
          <w:rFonts w:ascii="宋体" w:hAnsi="宋体" w:hint="eastAsia"/>
          <w:bCs/>
          <w:szCs w:val="21"/>
        </w:rPr>
        <w:t>（1）通过自主开发的针对港股的以基本面因子为主导的多因子量化模型，以港股通标的股票为选股池，根据市场流动性和产品规模等实际需求选择因子打分高的标的构建港股通量化优选组合。</w:t>
      </w:r>
    </w:p>
    <w:p w:rsidR="00D5306E" w:rsidRDefault="006D76AB">
      <w:pPr>
        <w:spacing w:line="360" w:lineRule="auto"/>
        <w:ind w:firstLineChars="200" w:firstLine="420"/>
        <w:rPr>
          <w:rFonts w:ascii="宋体" w:hAnsi="宋体"/>
          <w:bCs/>
          <w:szCs w:val="21"/>
        </w:rPr>
      </w:pPr>
      <w:r>
        <w:rPr>
          <w:rFonts w:ascii="宋体" w:hAnsi="宋体" w:hint="eastAsia"/>
          <w:bCs/>
          <w:szCs w:val="21"/>
        </w:rPr>
        <w:t>（2）对于两地同时上市的公司，考察其折溢价水平，寻找相对于A股有异常折价或估值和波动性相对于A股更加稳定的H股标的。</w:t>
      </w:r>
    </w:p>
    <w:p w:rsidR="00D5306E" w:rsidRDefault="006D76AB">
      <w:pPr>
        <w:spacing w:line="360" w:lineRule="auto"/>
        <w:ind w:firstLineChars="200" w:firstLine="420"/>
        <w:rPr>
          <w:rFonts w:ascii="宋体" w:hAnsi="宋体"/>
          <w:bCs/>
          <w:szCs w:val="21"/>
        </w:rPr>
      </w:pPr>
      <w:r>
        <w:rPr>
          <w:rFonts w:ascii="宋体" w:hAnsi="宋体" w:hint="eastAsia"/>
          <w:bCs/>
          <w:szCs w:val="21"/>
        </w:rPr>
        <w:t>（3）考察港股通标的股票的行业属性和商业模式，在A股暂时无相应标的的行业中寻找估值低且具有成长性的标的。</w:t>
      </w:r>
    </w:p>
    <w:p w:rsidR="00D5306E" w:rsidRDefault="006D76AB">
      <w:pPr>
        <w:spacing w:line="360" w:lineRule="auto"/>
        <w:ind w:firstLineChars="200" w:firstLine="420"/>
        <w:rPr>
          <w:rFonts w:ascii="宋体" w:hAnsi="宋体"/>
          <w:bCs/>
          <w:szCs w:val="21"/>
        </w:rPr>
      </w:pPr>
      <w:r>
        <w:rPr>
          <w:rFonts w:ascii="宋体" w:hAnsi="宋体" w:hint="eastAsia"/>
          <w:bCs/>
          <w:szCs w:val="21"/>
        </w:rPr>
        <w:t>本基金将持续追踪A股市场和港股市场的相对估值和市场情况，适时调整组合中港股通标的股票的投资比例。</w:t>
      </w:r>
    </w:p>
    <w:p w:rsidR="00D5306E" w:rsidRDefault="006D76AB">
      <w:pPr>
        <w:spacing w:line="360" w:lineRule="auto"/>
        <w:ind w:firstLineChars="200" w:firstLine="420"/>
        <w:rPr>
          <w:rFonts w:ascii="宋体" w:hAnsi="宋体"/>
          <w:bCs/>
          <w:szCs w:val="21"/>
        </w:rPr>
      </w:pPr>
      <w:r>
        <w:rPr>
          <w:rFonts w:ascii="宋体" w:hAnsi="宋体" w:hint="eastAsia"/>
          <w:bCs/>
          <w:szCs w:val="21"/>
        </w:rPr>
        <w:t>4、存托凭证投资策略</w:t>
      </w:r>
    </w:p>
    <w:p w:rsidR="00D5306E" w:rsidRDefault="006D76AB">
      <w:pPr>
        <w:spacing w:line="360" w:lineRule="auto"/>
        <w:ind w:firstLineChars="200" w:firstLine="420"/>
        <w:rPr>
          <w:rFonts w:ascii="宋体" w:hAnsi="宋体"/>
          <w:bCs/>
          <w:szCs w:val="21"/>
        </w:rPr>
      </w:pPr>
      <w:r>
        <w:rPr>
          <w:rFonts w:ascii="宋体" w:hAnsi="宋体" w:hint="eastAsia"/>
          <w:bCs/>
          <w:szCs w:val="21"/>
        </w:rPr>
        <w:t>本基金将根据本基金的投资目标和股票投资策略，基于对基础证券投资价值的深入研究判断，进行存托凭证的投资。</w:t>
      </w:r>
    </w:p>
    <w:p w:rsidR="00D5306E" w:rsidRDefault="006D76AB">
      <w:pPr>
        <w:spacing w:line="360" w:lineRule="auto"/>
        <w:ind w:firstLineChars="200" w:firstLine="420"/>
        <w:rPr>
          <w:rFonts w:ascii="宋体" w:hAnsi="宋体"/>
          <w:bCs/>
          <w:szCs w:val="21"/>
        </w:rPr>
      </w:pPr>
      <w:r>
        <w:rPr>
          <w:rFonts w:ascii="宋体" w:hAnsi="宋体" w:hint="eastAsia"/>
          <w:bCs/>
          <w:szCs w:val="21"/>
        </w:rPr>
        <w:lastRenderedPageBreak/>
        <w:t>（三）债券投资策略</w:t>
      </w:r>
    </w:p>
    <w:p w:rsidR="00D5306E" w:rsidRDefault="006D76AB">
      <w:pPr>
        <w:spacing w:line="360" w:lineRule="auto"/>
        <w:ind w:firstLineChars="200" w:firstLine="420"/>
        <w:rPr>
          <w:rFonts w:ascii="宋体" w:hAnsi="宋体"/>
          <w:bCs/>
          <w:szCs w:val="21"/>
        </w:rPr>
      </w:pPr>
      <w:r>
        <w:rPr>
          <w:rFonts w:ascii="宋体" w:hAnsi="宋体" w:hint="eastAsia"/>
          <w:bCs/>
          <w:szCs w:val="21"/>
        </w:rPr>
        <w:t>本基金采用的债券投资策略包括：期限结构策略、信用策略、互换策略、息差策略、可转债投资策略等。</w:t>
      </w:r>
    </w:p>
    <w:p w:rsidR="00D5306E" w:rsidRDefault="006D76AB">
      <w:pPr>
        <w:spacing w:line="360" w:lineRule="auto"/>
        <w:ind w:firstLineChars="200" w:firstLine="420"/>
        <w:rPr>
          <w:rFonts w:ascii="宋体" w:hAnsi="宋体"/>
          <w:bCs/>
          <w:szCs w:val="21"/>
        </w:rPr>
      </w:pPr>
      <w:r>
        <w:rPr>
          <w:rFonts w:ascii="宋体" w:hAnsi="宋体" w:hint="eastAsia"/>
          <w:bCs/>
          <w:szCs w:val="21"/>
        </w:rPr>
        <w:t>1、期限结构策略</w:t>
      </w:r>
    </w:p>
    <w:p w:rsidR="00D5306E" w:rsidRDefault="006D76AB">
      <w:pPr>
        <w:spacing w:line="360" w:lineRule="auto"/>
        <w:ind w:firstLineChars="200" w:firstLine="420"/>
        <w:rPr>
          <w:rFonts w:ascii="宋体" w:hAnsi="宋体"/>
          <w:bCs/>
          <w:szCs w:val="21"/>
        </w:rPr>
      </w:pPr>
      <w:r>
        <w:rPr>
          <w:rFonts w:ascii="宋体" w:hAnsi="宋体" w:hint="eastAsia"/>
          <w:bCs/>
          <w:szCs w:val="21"/>
        </w:rPr>
        <w:t>通过预测收益率曲线的形状和变化趋势，对各类型债券进行久期配置。具体策略又分为跟踪收益率曲线的骑乘策略和基于收益率曲线变化的子弹策略、杠铃策略及梯式策略。</w:t>
      </w:r>
    </w:p>
    <w:p w:rsidR="00D5306E" w:rsidRDefault="006D76AB">
      <w:pPr>
        <w:spacing w:line="360" w:lineRule="auto"/>
        <w:ind w:firstLineChars="200" w:firstLine="420"/>
        <w:rPr>
          <w:rFonts w:ascii="宋体" w:hAnsi="宋体"/>
          <w:bCs/>
          <w:szCs w:val="21"/>
        </w:rPr>
      </w:pPr>
      <w:r>
        <w:rPr>
          <w:rFonts w:ascii="宋体" w:hAnsi="宋体" w:hint="eastAsia"/>
          <w:bCs/>
          <w:szCs w:val="21"/>
        </w:rPr>
        <w:t>2、信用策略</w:t>
      </w:r>
    </w:p>
    <w:p w:rsidR="00D5306E" w:rsidRDefault="006D76AB">
      <w:pPr>
        <w:spacing w:line="360" w:lineRule="auto"/>
        <w:ind w:firstLineChars="200" w:firstLine="420"/>
        <w:rPr>
          <w:rFonts w:ascii="宋体" w:hAnsi="宋体"/>
          <w:bCs/>
          <w:szCs w:val="21"/>
        </w:rPr>
      </w:pPr>
      <w:r>
        <w:rPr>
          <w:rFonts w:ascii="宋体" w:hAnsi="宋体" w:hint="eastAsia"/>
          <w:bCs/>
          <w:szCs w:val="21"/>
        </w:rPr>
        <w:t>信用债收益率等于基准收益率加信用利差，信用利差收益主要受两个方面的影响，一是该信用债对应信用水平的市场平均信用利差曲线走势；二是该信用债本身的信用变化。基于这两方面的因素，本基金管理人分别采用（1）基于信用利差曲线变化策略和（2）基于信用债信用变化策略。</w:t>
      </w:r>
    </w:p>
    <w:p w:rsidR="00D5306E" w:rsidRDefault="006D76AB">
      <w:pPr>
        <w:spacing w:line="360" w:lineRule="auto"/>
        <w:ind w:firstLineChars="200" w:firstLine="420"/>
        <w:rPr>
          <w:rFonts w:ascii="宋体" w:hAnsi="宋体"/>
          <w:bCs/>
          <w:szCs w:val="21"/>
        </w:rPr>
      </w:pPr>
      <w:r>
        <w:rPr>
          <w:rFonts w:ascii="宋体" w:hAnsi="宋体" w:hint="eastAsia"/>
          <w:bCs/>
          <w:szCs w:val="21"/>
        </w:rPr>
        <w:t>3、互换策略</w:t>
      </w:r>
    </w:p>
    <w:p w:rsidR="00D5306E" w:rsidRDefault="006D76AB">
      <w:pPr>
        <w:spacing w:line="360" w:lineRule="auto"/>
        <w:ind w:firstLineChars="200" w:firstLine="420"/>
        <w:rPr>
          <w:rFonts w:ascii="宋体" w:hAnsi="宋体"/>
          <w:bCs/>
          <w:szCs w:val="21"/>
        </w:rPr>
      </w:pPr>
      <w:r>
        <w:rPr>
          <w:rFonts w:ascii="宋体" w:hAnsi="宋体" w:hint="eastAsia"/>
          <w:bCs/>
          <w:szCs w:val="21"/>
        </w:rPr>
        <w:t>不同券种在利息、违约风险、久期、流动性、税收和衍生条款等方面存在差别，基金管理人可以同时买入和卖出具有相近特性的两个或两个以上券种，赚取收益级差。</w:t>
      </w:r>
    </w:p>
    <w:p w:rsidR="00D5306E" w:rsidRDefault="006D76AB">
      <w:pPr>
        <w:spacing w:line="360" w:lineRule="auto"/>
        <w:ind w:firstLineChars="200" w:firstLine="420"/>
        <w:rPr>
          <w:rFonts w:ascii="宋体" w:hAnsi="宋体"/>
          <w:bCs/>
          <w:szCs w:val="21"/>
        </w:rPr>
      </w:pPr>
      <w:r>
        <w:rPr>
          <w:rFonts w:ascii="宋体" w:hAnsi="宋体" w:hint="eastAsia"/>
          <w:bCs/>
          <w:szCs w:val="21"/>
        </w:rPr>
        <w:t>4、息差策略</w:t>
      </w:r>
    </w:p>
    <w:p w:rsidR="00D5306E" w:rsidRDefault="006D76AB">
      <w:pPr>
        <w:spacing w:line="360" w:lineRule="auto"/>
        <w:ind w:firstLineChars="200" w:firstLine="420"/>
        <w:rPr>
          <w:rFonts w:ascii="宋体" w:hAnsi="宋体"/>
          <w:bCs/>
          <w:szCs w:val="21"/>
        </w:rPr>
      </w:pPr>
      <w:r>
        <w:rPr>
          <w:rFonts w:ascii="宋体" w:hAnsi="宋体" w:hint="eastAsia"/>
          <w:bCs/>
          <w:szCs w:val="21"/>
        </w:rPr>
        <w:t>通过正回购，融资买入收益率高于回购成本的债券，从而获得杠杆放大收益。</w:t>
      </w:r>
    </w:p>
    <w:p w:rsidR="00D5306E" w:rsidRDefault="006D76AB">
      <w:pPr>
        <w:spacing w:line="360" w:lineRule="auto"/>
        <w:ind w:firstLineChars="200" w:firstLine="420"/>
        <w:rPr>
          <w:rFonts w:ascii="宋体" w:hAnsi="宋体"/>
          <w:bCs/>
          <w:szCs w:val="21"/>
        </w:rPr>
      </w:pPr>
      <w:r>
        <w:rPr>
          <w:rFonts w:ascii="宋体" w:hAnsi="宋体" w:hint="eastAsia"/>
          <w:bCs/>
          <w:szCs w:val="21"/>
        </w:rPr>
        <w:t>5、可转换债券投资策略</w:t>
      </w:r>
    </w:p>
    <w:p w:rsidR="00D5306E" w:rsidRDefault="006D76AB">
      <w:pPr>
        <w:spacing w:line="360" w:lineRule="auto"/>
        <w:ind w:firstLineChars="200" w:firstLine="420"/>
        <w:rPr>
          <w:rFonts w:ascii="宋体" w:hAnsi="宋体"/>
          <w:bCs/>
          <w:szCs w:val="21"/>
        </w:rPr>
      </w:pPr>
      <w:r>
        <w:rPr>
          <w:rFonts w:ascii="宋体" w:hAnsi="宋体" w:hint="eastAsia"/>
          <w:bCs/>
          <w:szCs w:val="21"/>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选择股性强的品种，获取超额收益。</w:t>
      </w:r>
    </w:p>
    <w:p w:rsidR="00D5306E" w:rsidRDefault="006D76AB">
      <w:pPr>
        <w:spacing w:line="360" w:lineRule="auto"/>
        <w:ind w:firstLineChars="200" w:firstLine="420"/>
        <w:rPr>
          <w:rFonts w:ascii="宋体" w:hAnsi="宋体"/>
          <w:bCs/>
          <w:szCs w:val="21"/>
        </w:rPr>
      </w:pPr>
      <w:r>
        <w:rPr>
          <w:rFonts w:ascii="宋体" w:hAnsi="宋体" w:hint="eastAsia"/>
          <w:bCs/>
          <w:szCs w:val="21"/>
        </w:rPr>
        <w:t>（四）资产支持证券投资策略</w:t>
      </w:r>
    </w:p>
    <w:p w:rsidR="00D5306E" w:rsidRDefault="006D76AB">
      <w:pPr>
        <w:spacing w:line="360" w:lineRule="auto"/>
        <w:ind w:firstLineChars="200" w:firstLine="420"/>
        <w:rPr>
          <w:rFonts w:ascii="宋体" w:hAnsi="宋体"/>
          <w:bCs/>
          <w:szCs w:val="21"/>
        </w:rPr>
      </w:pPr>
      <w:r>
        <w:rPr>
          <w:rFonts w:ascii="宋体" w:hAnsi="宋体" w:hint="eastAsia"/>
          <w:bCs/>
          <w:szCs w:val="21"/>
        </w:rPr>
        <w:t>本基金将通过对资产支持证券基础资产及结构设计的研究，结合多种定价模型，根据基金资产组合情况适度进行资产支持证券的投资。未来随着证券市场投资工具的发展和丰富，在符合有关法律法规规定的前提下，本基金可相应调整和更新相关投资策略。</w:t>
      </w:r>
    </w:p>
    <w:p w:rsidR="00D5306E" w:rsidRDefault="006D76AB">
      <w:pPr>
        <w:spacing w:line="360" w:lineRule="auto"/>
        <w:ind w:firstLineChars="200" w:firstLine="420"/>
        <w:rPr>
          <w:rFonts w:ascii="宋体" w:hAnsi="宋体"/>
          <w:bCs/>
          <w:szCs w:val="21"/>
        </w:rPr>
      </w:pPr>
      <w:r>
        <w:rPr>
          <w:rFonts w:ascii="宋体" w:hAnsi="宋体" w:hint="eastAsia"/>
          <w:bCs/>
          <w:szCs w:val="21"/>
        </w:rPr>
        <w:t>（五）衍生产品投资策略</w:t>
      </w:r>
    </w:p>
    <w:p w:rsidR="00D5306E" w:rsidRDefault="006D76AB">
      <w:pPr>
        <w:spacing w:line="360" w:lineRule="auto"/>
        <w:ind w:firstLineChars="200" w:firstLine="420"/>
        <w:rPr>
          <w:rFonts w:ascii="宋体" w:hAnsi="宋体"/>
          <w:bCs/>
          <w:szCs w:val="21"/>
        </w:rPr>
      </w:pPr>
      <w:r>
        <w:rPr>
          <w:rFonts w:ascii="宋体" w:hAnsi="宋体" w:hint="eastAsia"/>
          <w:bCs/>
          <w:szCs w:val="21"/>
        </w:rPr>
        <w:t>1、股指期货投资策略</w:t>
      </w:r>
    </w:p>
    <w:p w:rsidR="00D5306E" w:rsidRDefault="006D76AB">
      <w:pPr>
        <w:spacing w:line="360" w:lineRule="auto"/>
        <w:ind w:firstLineChars="200" w:firstLine="420"/>
        <w:rPr>
          <w:rFonts w:ascii="宋体" w:hAnsi="宋体"/>
          <w:bCs/>
          <w:szCs w:val="21"/>
        </w:rPr>
      </w:pPr>
      <w:r>
        <w:rPr>
          <w:rFonts w:ascii="宋体" w:hAnsi="宋体" w:hint="eastAsia"/>
          <w:bCs/>
          <w:szCs w:val="21"/>
        </w:rPr>
        <w:t>本基金可以参与股指期货交易，但必须根据风险管理的原则，以套期保值为目的。本基金将根据对现货和期货市场的分析，采取多头或空头套期保值等策略进行套期保值操作。股指期货的具体投资策略包括：（1）对冲投资组合的系统性风险；（2）有效管理现金流量、降低建仓或调仓过程中的冲击成本等。</w:t>
      </w:r>
    </w:p>
    <w:p w:rsidR="00D5306E" w:rsidRDefault="006D76AB">
      <w:pPr>
        <w:spacing w:line="360" w:lineRule="auto"/>
        <w:ind w:firstLineChars="200" w:firstLine="420"/>
        <w:rPr>
          <w:rFonts w:ascii="宋体" w:hAnsi="宋体"/>
          <w:bCs/>
          <w:szCs w:val="21"/>
        </w:rPr>
      </w:pPr>
      <w:r>
        <w:rPr>
          <w:rFonts w:ascii="宋体" w:hAnsi="宋体" w:hint="eastAsia"/>
          <w:bCs/>
          <w:szCs w:val="21"/>
        </w:rPr>
        <w:t>2、国债期货投资策略</w:t>
      </w:r>
    </w:p>
    <w:p w:rsidR="00D5306E" w:rsidRDefault="006D76AB">
      <w:pPr>
        <w:spacing w:line="360" w:lineRule="auto"/>
        <w:ind w:firstLineChars="200" w:firstLine="420"/>
        <w:rPr>
          <w:rFonts w:ascii="宋体" w:hAnsi="宋体"/>
          <w:bCs/>
          <w:szCs w:val="21"/>
        </w:rPr>
      </w:pPr>
      <w:r>
        <w:rPr>
          <w:rFonts w:ascii="宋体" w:hAnsi="宋体" w:hint="eastAsia"/>
          <w:bCs/>
          <w:szCs w:val="21"/>
        </w:rPr>
        <w:t>本基金将根据风险管理的原则，以套期保值为目的，在风险可控的前提下，本着谨慎原则，参与国债期货的投资，以管理投资组合的系统性风险，改善组合的风险收益特性。</w:t>
      </w:r>
    </w:p>
    <w:p w:rsidR="00D5306E" w:rsidRDefault="006D76AB">
      <w:pPr>
        <w:spacing w:line="360" w:lineRule="auto"/>
        <w:ind w:firstLineChars="200" w:firstLine="420"/>
        <w:rPr>
          <w:rFonts w:ascii="宋体" w:hAnsi="宋体"/>
          <w:bCs/>
          <w:szCs w:val="21"/>
        </w:rPr>
      </w:pPr>
      <w:r>
        <w:rPr>
          <w:rFonts w:ascii="宋体" w:hAnsi="宋体" w:hint="eastAsia"/>
          <w:bCs/>
          <w:szCs w:val="21"/>
        </w:rPr>
        <w:lastRenderedPageBreak/>
        <w:t>3、股票期权投资策略</w:t>
      </w:r>
    </w:p>
    <w:p w:rsidR="00D5306E" w:rsidRDefault="006D76AB">
      <w:pPr>
        <w:spacing w:line="360" w:lineRule="auto"/>
        <w:ind w:firstLineChars="200" w:firstLine="420"/>
        <w:rPr>
          <w:rFonts w:ascii="宋体" w:hAnsi="宋体"/>
          <w:bCs/>
          <w:szCs w:val="21"/>
        </w:rPr>
      </w:pPr>
      <w:r>
        <w:rPr>
          <w:rFonts w:ascii="宋体" w:hAnsi="宋体" w:hint="eastAsia"/>
          <w:bCs/>
          <w:szCs w:val="21"/>
        </w:rPr>
        <w:t>股票期权为本基金辅助性投资工具。股票期权的投资原则为有利于基金资产增值、控制下跌风险、实现保值和锁定收益。</w:t>
      </w:r>
    </w:p>
    <w:p w:rsidR="00D5306E" w:rsidRDefault="006D76AB">
      <w:pPr>
        <w:spacing w:line="360" w:lineRule="auto"/>
        <w:ind w:firstLineChars="200" w:firstLine="420"/>
        <w:rPr>
          <w:rFonts w:ascii="宋体" w:hAnsi="宋体"/>
          <w:bCs/>
          <w:szCs w:val="21"/>
        </w:rPr>
      </w:pPr>
      <w:r>
        <w:rPr>
          <w:rFonts w:ascii="宋体" w:hAnsi="宋体" w:hint="eastAsia"/>
          <w:bCs/>
          <w:szCs w:val="21"/>
        </w:rPr>
        <w:t>4、信用衍生品投资策略</w:t>
      </w:r>
    </w:p>
    <w:p w:rsidR="00D5306E" w:rsidRDefault="006D76AB">
      <w:pPr>
        <w:spacing w:line="360" w:lineRule="auto"/>
        <w:ind w:firstLineChars="200" w:firstLine="420"/>
        <w:rPr>
          <w:rFonts w:ascii="宋体" w:hAnsi="宋体"/>
          <w:bCs/>
          <w:szCs w:val="21"/>
        </w:rPr>
      </w:pPr>
      <w:r>
        <w:rPr>
          <w:rFonts w:ascii="宋体" w:hAnsi="宋体" w:hint="eastAsia"/>
          <w:bCs/>
          <w:szCs w:val="21"/>
        </w:rPr>
        <w:t>依托于公司整体的信用研究团队，当预期某只债券有较高的违约风险时，可以购买对应债券的信用衍生品来控制标的债券的信用风险冲击。</w:t>
      </w:r>
    </w:p>
    <w:p w:rsidR="00D5306E" w:rsidRDefault="006D76AB">
      <w:pPr>
        <w:spacing w:line="360" w:lineRule="auto"/>
        <w:ind w:firstLineChars="200" w:firstLine="420"/>
        <w:rPr>
          <w:rFonts w:ascii="宋体" w:hAnsi="宋体"/>
          <w:bCs/>
          <w:szCs w:val="21"/>
        </w:rPr>
      </w:pPr>
      <w:r>
        <w:rPr>
          <w:rFonts w:ascii="宋体" w:hAnsi="宋体" w:hint="eastAsia"/>
          <w:bCs/>
          <w:szCs w:val="21"/>
        </w:rPr>
        <w:t>本基金按风险管理的原则，以风险对冲为目的参与信用衍生品交易，同时会根据实际情况尽量保持信用衍生品的名义本金与对应标的债券的面值相一致。</w:t>
      </w:r>
    </w:p>
    <w:p w:rsidR="00D5306E" w:rsidRDefault="006D76AB">
      <w:pPr>
        <w:spacing w:line="360" w:lineRule="auto"/>
        <w:ind w:firstLineChars="200" w:firstLine="420"/>
        <w:rPr>
          <w:rFonts w:ascii="宋体" w:hAnsi="宋体"/>
          <w:bCs/>
          <w:szCs w:val="21"/>
        </w:rPr>
      </w:pPr>
      <w:r>
        <w:rPr>
          <w:rFonts w:ascii="宋体" w:hAnsi="宋体" w:hint="eastAsia"/>
          <w:bCs/>
          <w:szCs w:val="21"/>
        </w:rPr>
        <w:t>（六）流通受限证券投资策略</w:t>
      </w:r>
    </w:p>
    <w:p w:rsidR="00D5306E" w:rsidRDefault="006D76AB">
      <w:pPr>
        <w:spacing w:line="360" w:lineRule="auto"/>
        <w:ind w:firstLineChars="200" w:firstLine="420"/>
        <w:rPr>
          <w:rFonts w:ascii="宋体" w:hAnsi="宋体"/>
          <w:bCs/>
          <w:szCs w:val="21"/>
        </w:rPr>
      </w:pPr>
      <w:r>
        <w:rPr>
          <w:rFonts w:ascii="宋体" w:hAnsi="宋体" w:hint="eastAsia"/>
          <w:bCs/>
          <w:szCs w:val="21"/>
        </w:rPr>
        <w:t>本基金将根据基金管理人的净资本规模，以及本基金的投资风格和流动性特点，兼顾基金投资的安全性、流动性和收益性，合理控制基金投资流通受限证券的比例。</w:t>
      </w:r>
    </w:p>
    <w:p w:rsidR="00D5306E" w:rsidRDefault="006D76AB">
      <w:pPr>
        <w:spacing w:line="360" w:lineRule="auto"/>
        <w:ind w:firstLineChars="200" w:firstLine="420"/>
        <w:rPr>
          <w:rFonts w:ascii="宋体" w:hAnsi="宋体"/>
          <w:bCs/>
          <w:szCs w:val="21"/>
        </w:rPr>
      </w:pPr>
      <w:r>
        <w:rPr>
          <w:rFonts w:ascii="宋体" w:hAnsi="宋体" w:hint="eastAsia"/>
          <w:bCs/>
          <w:szCs w:val="21"/>
        </w:rPr>
        <w:t>（七）参与融资业务的投资策略</w:t>
      </w:r>
    </w:p>
    <w:p w:rsidR="00D5306E" w:rsidRDefault="006D76AB">
      <w:pPr>
        <w:spacing w:line="360" w:lineRule="auto"/>
        <w:ind w:firstLineChars="200" w:firstLine="420"/>
        <w:rPr>
          <w:rFonts w:ascii="宋体" w:hAnsi="宋体"/>
          <w:bCs/>
          <w:szCs w:val="21"/>
        </w:rPr>
      </w:pPr>
      <w:r>
        <w:rPr>
          <w:rFonts w:ascii="宋体" w:hAnsi="宋体" w:hint="eastAsia"/>
          <w:bCs/>
          <w:szCs w:val="21"/>
        </w:rPr>
        <w:t>为了更好地实现投资目标，在综合考虑预期风险、收益、流动性等因素的基础上，本基金可参与融资业务。</w:t>
      </w:r>
    </w:p>
    <w:p w:rsidR="00D5306E" w:rsidRDefault="006D76AB">
      <w:pPr>
        <w:spacing w:line="360" w:lineRule="auto"/>
        <w:ind w:firstLineChars="200" w:firstLine="420"/>
        <w:rPr>
          <w:rFonts w:ascii="宋体" w:hAnsi="宋体"/>
          <w:bCs/>
          <w:szCs w:val="21"/>
        </w:rPr>
      </w:pPr>
      <w:r>
        <w:rPr>
          <w:rFonts w:ascii="宋体" w:hAnsi="宋体"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D5306E" w:rsidRDefault="006D76AB">
      <w:pPr>
        <w:spacing w:line="360" w:lineRule="auto"/>
        <w:ind w:firstLineChars="200" w:firstLine="422"/>
        <w:rPr>
          <w:rFonts w:ascii="Arial Unicode MS" w:hAnsi="Arial Unicode MS" w:cs="Arial"/>
          <w:szCs w:val="21"/>
        </w:rPr>
      </w:pPr>
      <w:r>
        <w:rPr>
          <w:rFonts w:ascii="Arial Unicode MS" w:hAnsi="Arial Unicode MS" w:cs="Arial" w:hint="eastAsia"/>
          <w:b/>
          <w:szCs w:val="21"/>
        </w:rPr>
        <w:t>四、</w:t>
      </w:r>
      <w:bookmarkEnd w:id="79"/>
      <w:bookmarkEnd w:id="80"/>
      <w:bookmarkEnd w:id="81"/>
      <w:r>
        <w:rPr>
          <w:rFonts w:ascii="Arial Unicode MS" w:hAnsi="Arial Unicode MS" w:cs="Arial"/>
          <w:b/>
          <w:bCs/>
          <w:szCs w:val="21"/>
        </w:rPr>
        <w:t>投资限制</w:t>
      </w:r>
    </w:p>
    <w:p w:rsidR="00D5306E" w:rsidRDefault="006D76AB">
      <w:pPr>
        <w:spacing w:line="360" w:lineRule="auto"/>
        <w:ind w:firstLineChars="200" w:firstLine="420"/>
        <w:rPr>
          <w:rFonts w:ascii="宋体" w:hAnsi="宋体"/>
          <w:bCs/>
          <w:szCs w:val="21"/>
        </w:rPr>
      </w:pPr>
      <w:r>
        <w:rPr>
          <w:rFonts w:ascii="宋体" w:hAnsi="宋体" w:hint="eastAsia"/>
          <w:bCs/>
          <w:szCs w:val="21"/>
        </w:rPr>
        <w:t>1、组合限制</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基金的投资组合应遵循以下限制：</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（1）股票资产（含存托凭证）占基金资产的比例为0%—95%，港股通标的股票的投资比例为股票资产的0%-50%；</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2）每个交易日日终在扣除股指期货合约、股票期权合约、国债期货合约所需缴纳的交易保证金后，现金或到期日在一年以内的政府债券不低于基金资产净值的5%。前述现金不包括结算备付金、存出保证金、应收申购款等；</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（3）本基金投资于同业存单的比例不超过基金资产的20%；</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（4）本基金持有一家公司发行的证券（含存托凭证），其市值（若同时持有一家公司发行的A股和H股，则为A股与H股合计市值）不超过基金资产净值的10％；</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（5）本基金管理人管理的全部基金持有一家公司发行的证券（含存托凭证），不超过该证券（若同时持有一家公司发行的A股和H股，则为A股与H股合计）的10％；</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（6）本基金投资于同一原始权益人的各类资产支持证券的比例，不得超过基金资产净值的10％；</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（7）本基金持有的全部资产支持证券，其市值不得超过基金资产净值的20％；</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（8）本基金持有的同一(指同一信用级别)资产支持证券的比例，不得超过该资产支持</w:t>
      </w:r>
      <w:r>
        <w:rPr>
          <w:rFonts w:ascii="宋体" w:hAnsi="宋体" w:hint="eastAsia"/>
          <w:bCs/>
          <w:szCs w:val="21"/>
        </w:rPr>
        <w:lastRenderedPageBreak/>
        <w:t>证券规模的10％；</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（9）本基金管理人管理的全部基金投资于同一原始权益人的各类资产支持证券，不得超过其各类资产支持证券合计规模的10％；</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（10）本基金应投资于信用级别评级为BBB以上(含BBB)的资产支持证券。基金持有资产支持证券期间，如果其信用等级下降、不再符合投资标准，应在评级报告发布之日起3个月内予以全部卖出；</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（11）基金财产参与股票发行申购，本基金所申报的金额不超过本基金的总资产，本基金所申报的股票数量不超过拟发行股票公司本次发行股票的总量；</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（12）本基金进入全国银行间同业市场进行债券回购的资金余额不得超过基金资产净值的40%，进入全国银行间同业市场进行债券回购的最长期限为1年，债券回购到期后不得展期；</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（13）本基金参与股指期货、国债期货投资的，应遵循下列限制：</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1）本基金在任何交易日日终，持有的买入股指期货合约价值，不得超过基金资产净值的10%；</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2）每个交易日日终，本基金持有的买入股指期货和国债期货合约价值和有价证券市值之和，不得超过基金资产净值的95%；其中，有价证券指股票、债券（不含到期日在一年以内的政府债券）、资产支持证券、买入返售金融资产（不含质押式回购）等；</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3）本基金在任何交易日日终，持有的卖出股指期货合约价值不得超过基金持有的股票总市值的20%；</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4）本基金在任何交易日内交易（不包括平仓）的股指期货合约的成交金额不得超过上一交易日基金资产净值的20%；</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 xml:space="preserve">5）本基金所持有的股票市值和买入、卖出股指期货合约价值，合计（轧差计算）应当符合基金合同关于股票投资比例的有关规定； </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6）本基金在任何交易日日终，持有的买入国债期货合约价值，不得超过基金资产净值的15%；</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7）本基金在任何交易日日终，持有的卖出国债期货合约价值不得超过基金持有的债券总市值的30%；</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8）本基金在任何交易日内交易（不包括平仓）的国债期货合约的成交金额不得超过上一交易日基金资产净值的30%；</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9）本基金所持有的债券（不含到期日在一年以内的政府债券）市值和买入、卖出国债期货合约价值，合计（轧差计算）应当符合基金合同关于债券投资比例的有关约定；</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（14）本基金参与股票期权交易的，需遵守下列规定：</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1）因未平仓的股票期权合约支付和收取的权利金总额不得超过基金资产净值的10%；</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2）开仓卖出认购股票期权的，应持有足额标的证券；开仓卖出认沽股票期权的，应持</w:t>
      </w:r>
      <w:r>
        <w:rPr>
          <w:rFonts w:ascii="宋体" w:hAnsi="宋体" w:hint="eastAsia"/>
          <w:bCs/>
          <w:szCs w:val="21"/>
        </w:rPr>
        <w:lastRenderedPageBreak/>
        <w:t>有合约行权所需的全额现金或交易所规则认可的可冲抵股票期权保证金的现金等价物；</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3）未平仓的股票期权合约面值不得超过基金资产净值的 20%。其中，合约面值按照行权价乘以合约乘数计算；</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（15）本基金资产总值不得超过基金资产净值的140%；</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16）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17）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（18）本基金与私募类证券资管产品及中国证监会认定的其他主体为交易对手开展逆回购交易的，可接受质押品的资质要求应当与基金合同约定的投资范围保持一致；</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（19）本基金参与融资的，每个交易日日终，本基金持有的融资买入股票与其他有价证券市值之和，不得超过基金资产净值的95%；</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（20）本基金不持有具有信用保护卖方属性的信用衍生品，不持有合约类信用衍生品，本基金持有的信用衍生品名义本金不得超过本基金中所对应受保护债券面值的100%；</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21）本基金投资于同一信用保护卖方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（22）法律法规及中国证监会规定的和《基金合同》约定的其他投资限制。</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除上述（2）、（10）、（17）、（18）、（21）情形之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D5306E" w:rsidRDefault="006D76AB">
      <w:pPr>
        <w:snapToGrid w:val="0"/>
        <w:spacing w:line="360" w:lineRule="auto"/>
        <w:ind w:firstLineChars="200" w:firstLine="420"/>
        <w:rPr>
          <w:rFonts w:ascii="宋体" w:hAnsi="宋体"/>
          <w:bCs/>
          <w:szCs w:val="21"/>
        </w:rPr>
      </w:pPr>
      <w:r>
        <w:rPr>
          <w:rFonts w:ascii="宋体" w:hAnsi="宋体" w:hint="eastAsia"/>
          <w:bCs/>
          <w:szCs w:val="21"/>
        </w:rPr>
        <w:t>法律法规或监管部门取消或变更上述限制，如适用于本基金，基金管理人在履行适当程序后，则本基金投资不再受相关限制，或以变更后的规定为准。</w:t>
      </w:r>
    </w:p>
    <w:p w:rsidR="00D5306E" w:rsidRDefault="006D76AB">
      <w:pPr>
        <w:snapToGrid w:val="0"/>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、禁止行为</w:t>
      </w:r>
    </w:p>
    <w:p w:rsidR="00D5306E" w:rsidRDefault="006D76AB">
      <w:pPr>
        <w:spacing w:line="360" w:lineRule="auto"/>
        <w:ind w:firstLineChars="200" w:firstLine="420"/>
        <w:rPr>
          <w:rFonts w:ascii="Arial Unicode MS" w:hAnsi="Arial Unicode MS"/>
          <w:szCs w:val="21"/>
        </w:rPr>
      </w:pPr>
      <w:r>
        <w:rPr>
          <w:rFonts w:ascii="Arial Unicode MS" w:hAnsi="Arial Unicode MS" w:hint="eastAsia"/>
          <w:szCs w:val="21"/>
        </w:rPr>
        <w:t>为维护基金份额持有人的合法权益，基金财产不得用于下列投资或者活动：</w:t>
      </w:r>
    </w:p>
    <w:p w:rsidR="00D5306E" w:rsidRDefault="006D76AB">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）承销证券；</w:t>
      </w:r>
    </w:p>
    <w:p w:rsidR="00D5306E" w:rsidRDefault="006D76AB">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）违反规定向他人贷款或者提供担保；</w:t>
      </w:r>
    </w:p>
    <w:p w:rsidR="00D5306E" w:rsidRDefault="006D76AB">
      <w:pPr>
        <w:spacing w:line="360" w:lineRule="auto"/>
        <w:ind w:firstLineChars="200" w:firstLine="420"/>
        <w:rPr>
          <w:rFonts w:ascii="Arial Unicode MS" w:hAnsi="Arial Unicode MS"/>
          <w:szCs w:val="21"/>
        </w:rPr>
      </w:pPr>
      <w:r>
        <w:rPr>
          <w:rFonts w:ascii="Arial Unicode MS" w:hAnsi="Arial Unicode MS" w:hint="eastAsia"/>
          <w:szCs w:val="21"/>
        </w:rPr>
        <w:lastRenderedPageBreak/>
        <w:t>（</w:t>
      </w:r>
      <w:r>
        <w:rPr>
          <w:rFonts w:ascii="Arial Unicode MS" w:hAnsi="Arial Unicode MS" w:hint="eastAsia"/>
          <w:szCs w:val="21"/>
        </w:rPr>
        <w:t>3</w:t>
      </w:r>
      <w:r>
        <w:rPr>
          <w:rFonts w:ascii="Arial Unicode MS" w:hAnsi="Arial Unicode MS" w:hint="eastAsia"/>
          <w:szCs w:val="21"/>
        </w:rPr>
        <w:t>）从事承担无限责任的投资；</w:t>
      </w:r>
    </w:p>
    <w:p w:rsidR="00D5306E" w:rsidRDefault="006D76AB">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4</w:t>
      </w:r>
      <w:r>
        <w:rPr>
          <w:rFonts w:ascii="Arial Unicode MS" w:hAnsi="Arial Unicode MS" w:hint="eastAsia"/>
          <w:szCs w:val="21"/>
        </w:rPr>
        <w:t>）买卖其他基金份额，但是中国证监会另有规定的除外；</w:t>
      </w:r>
    </w:p>
    <w:p w:rsidR="00D5306E" w:rsidRDefault="006D76AB">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5</w:t>
      </w:r>
      <w:r>
        <w:rPr>
          <w:rFonts w:ascii="Arial Unicode MS" w:hAnsi="Arial Unicode MS" w:hint="eastAsia"/>
          <w:szCs w:val="21"/>
        </w:rPr>
        <w:t>）向其基金管理人、基金托管人出资；</w:t>
      </w:r>
    </w:p>
    <w:p w:rsidR="00D5306E" w:rsidRDefault="006D76AB">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6</w:t>
      </w:r>
      <w:r>
        <w:rPr>
          <w:rFonts w:ascii="Arial Unicode MS" w:hAnsi="Arial Unicode MS" w:hint="eastAsia"/>
          <w:szCs w:val="21"/>
        </w:rPr>
        <w:t>）从事内幕交易、操纵证券交易价格及其他不正当的证券交易活动；</w:t>
      </w:r>
    </w:p>
    <w:p w:rsidR="00D5306E" w:rsidRDefault="006D76AB">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7</w:t>
      </w:r>
      <w:r>
        <w:rPr>
          <w:rFonts w:ascii="Arial Unicode MS" w:hAnsi="Arial Unicode MS" w:hint="eastAsia"/>
          <w:szCs w:val="21"/>
        </w:rPr>
        <w:t>）法律、行政法规和中国证监会规定禁止的其他活动。</w:t>
      </w:r>
    </w:p>
    <w:p w:rsidR="00D5306E" w:rsidRDefault="006D76AB">
      <w:pPr>
        <w:spacing w:line="360" w:lineRule="auto"/>
        <w:ind w:firstLineChars="200" w:firstLine="420"/>
        <w:rPr>
          <w:rFonts w:ascii="Arial Unicode MS" w:hAnsi="Arial Unicode MS"/>
          <w:szCs w:val="21"/>
        </w:rPr>
      </w:pPr>
      <w:r>
        <w:rPr>
          <w:rFonts w:ascii="Arial Unicode MS" w:hAnsi="Arial Unicode M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5306E" w:rsidRDefault="006D76AB">
      <w:pPr>
        <w:spacing w:line="360" w:lineRule="auto"/>
        <w:ind w:firstLineChars="200" w:firstLine="420"/>
        <w:rPr>
          <w:rFonts w:ascii="Arial Unicode MS" w:hAnsi="Arial Unicode MS"/>
          <w:szCs w:val="21"/>
        </w:rPr>
      </w:pPr>
      <w:r>
        <w:rPr>
          <w:rFonts w:ascii="Arial Unicode MS" w:hAnsi="Arial Unicode MS" w:hint="eastAsia"/>
          <w:szCs w:val="21"/>
        </w:rPr>
        <w:t>法律、行政法规或监管部门取消或变更上述禁止性规定，如适用于本基金，基金管理人在履行适当程序后，则本基金投资不再受相关限制或以变更后的规定为准。</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、业绩比较基准</w:t>
      </w:r>
    </w:p>
    <w:p w:rsidR="00D5306E" w:rsidRDefault="006D76AB">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本基金的业绩比较基准为：中证</w:t>
      </w:r>
      <w:r>
        <w:rPr>
          <w:rFonts w:ascii="Arial Unicode MS" w:hAnsi="Arial Unicode MS" w:hint="eastAsia"/>
          <w:szCs w:val="21"/>
        </w:rPr>
        <w:t>800</w:t>
      </w:r>
      <w:r>
        <w:rPr>
          <w:rFonts w:ascii="Arial Unicode MS" w:hAnsi="Arial Unicode MS" w:hint="eastAsia"/>
          <w:szCs w:val="21"/>
        </w:rPr>
        <w:t>指数收益率×</w:t>
      </w:r>
      <w:r>
        <w:rPr>
          <w:rFonts w:ascii="Arial Unicode MS" w:hAnsi="Arial Unicode MS" w:hint="eastAsia"/>
          <w:szCs w:val="21"/>
        </w:rPr>
        <w:t>50%+</w:t>
      </w:r>
      <w:r>
        <w:rPr>
          <w:rFonts w:ascii="Arial Unicode MS" w:hAnsi="Arial Unicode MS" w:hint="eastAsia"/>
          <w:szCs w:val="21"/>
        </w:rPr>
        <w:t>中证港股通综合指数收益率×</w:t>
      </w:r>
      <w:r>
        <w:rPr>
          <w:rFonts w:ascii="Arial Unicode MS" w:hAnsi="Arial Unicode MS" w:hint="eastAsia"/>
          <w:szCs w:val="21"/>
        </w:rPr>
        <w:t>1</w:t>
      </w:r>
      <w:r>
        <w:rPr>
          <w:rFonts w:ascii="Arial Unicode MS" w:hAnsi="Arial Unicode MS"/>
          <w:szCs w:val="21"/>
        </w:rPr>
        <w:t>5</w:t>
      </w:r>
      <w:r>
        <w:rPr>
          <w:rFonts w:ascii="Arial Unicode MS" w:hAnsi="Arial Unicode MS" w:hint="eastAsia"/>
          <w:szCs w:val="21"/>
        </w:rPr>
        <w:t>%+</w:t>
      </w:r>
      <w:r>
        <w:rPr>
          <w:rFonts w:ascii="Arial Unicode MS" w:hAnsi="Arial Unicode MS" w:hint="eastAsia"/>
          <w:szCs w:val="21"/>
        </w:rPr>
        <w:t>中债综合财富</w:t>
      </w:r>
      <w:r>
        <w:rPr>
          <w:rFonts w:ascii="Arial Unicode MS" w:hAnsi="Arial Unicode MS" w:hint="eastAsia"/>
          <w:szCs w:val="21"/>
        </w:rPr>
        <w:t>(</w:t>
      </w:r>
      <w:r>
        <w:rPr>
          <w:rFonts w:ascii="Arial Unicode MS" w:hAnsi="Arial Unicode MS" w:hint="eastAsia"/>
          <w:szCs w:val="21"/>
        </w:rPr>
        <w:t>总值</w:t>
      </w:r>
      <w:r>
        <w:rPr>
          <w:rFonts w:ascii="Arial Unicode MS" w:hAnsi="Arial Unicode MS" w:hint="eastAsia"/>
          <w:szCs w:val="21"/>
        </w:rPr>
        <w:t>)</w:t>
      </w:r>
      <w:r>
        <w:rPr>
          <w:rFonts w:ascii="Arial Unicode MS" w:hAnsi="Arial Unicode MS" w:hint="eastAsia"/>
          <w:szCs w:val="21"/>
        </w:rPr>
        <w:t>指数收益率×</w:t>
      </w:r>
      <w:r>
        <w:rPr>
          <w:rFonts w:ascii="Arial Unicode MS" w:hAnsi="Arial Unicode MS"/>
          <w:szCs w:val="21"/>
        </w:rPr>
        <w:t>35</w:t>
      </w:r>
      <w:r>
        <w:rPr>
          <w:rFonts w:ascii="Arial Unicode MS" w:hAnsi="Arial Unicode MS" w:hint="eastAsia"/>
          <w:szCs w:val="21"/>
        </w:rPr>
        <w:t>%</w:t>
      </w:r>
    </w:p>
    <w:p w:rsidR="00D5306E" w:rsidRDefault="006D76AB">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其中，中证</w:t>
      </w:r>
      <w:r>
        <w:rPr>
          <w:rFonts w:ascii="Arial Unicode MS" w:hAnsi="Arial Unicode MS" w:hint="eastAsia"/>
          <w:szCs w:val="21"/>
        </w:rPr>
        <w:t>800</w:t>
      </w:r>
      <w:r>
        <w:rPr>
          <w:rFonts w:ascii="Arial Unicode MS" w:hAnsi="Arial Unicode MS" w:hint="eastAsia"/>
          <w:szCs w:val="21"/>
        </w:rPr>
        <w:t>指数是由中证指数有限公司编制，其成份股是由中证</w:t>
      </w:r>
      <w:r>
        <w:rPr>
          <w:rFonts w:ascii="Arial Unicode MS" w:hAnsi="Arial Unicode MS" w:hint="eastAsia"/>
          <w:szCs w:val="21"/>
        </w:rPr>
        <w:t>500</w:t>
      </w:r>
      <w:r>
        <w:rPr>
          <w:rFonts w:ascii="Arial Unicode MS" w:hAnsi="Arial Unicode MS" w:hint="eastAsia"/>
          <w:szCs w:val="21"/>
        </w:rPr>
        <w:t>和沪深</w:t>
      </w:r>
      <w:r>
        <w:rPr>
          <w:rFonts w:ascii="Arial Unicode MS" w:hAnsi="Arial Unicode MS" w:hint="eastAsia"/>
          <w:szCs w:val="21"/>
        </w:rPr>
        <w:t>300</w:t>
      </w:r>
      <w:r>
        <w:rPr>
          <w:rFonts w:ascii="Arial Unicode MS" w:hAnsi="Arial Unicode MS" w:hint="eastAsia"/>
          <w:szCs w:val="21"/>
        </w:rPr>
        <w:t>成份股一起构成，可以综合反映沪深证券市场内大中小市值公司的整体状况，具有良好的市场代表性和市场影响力。中证港股通综合指数选取符合港股通资格的普通股作为样本股，采用自由流通市值加权计算，以反映港股通范围内上市公司的整体状况和走势，适合作为本基金港股股票组合的业绩比较基准。中债综合财富（总值）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w:t>
      </w:r>
    </w:p>
    <w:p w:rsidR="00D5306E" w:rsidRDefault="006D76AB">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如果指数编制单位停止计算编制以上指数或更改指数名称、或今后法律法规发生变化、或有更适当的、更能为市场普遍接受的业绩比较基准推出，本基金管理人可以根据本基金的投资范围和投资策略，调整基金的业绩比较基准，但应在取得基金托管人同意后报中国证监会备案，并及时公告，无须召开基金份额持有人大会审议。</w:t>
      </w:r>
    </w:p>
    <w:p w:rsidR="00D5306E" w:rsidRDefault="006D76AB">
      <w:pPr>
        <w:widowControl/>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w:t>
      </w:r>
      <w:r>
        <w:rPr>
          <w:rFonts w:ascii="Arial Unicode MS" w:hAnsi="Arial Unicode MS" w:cs="Arial"/>
          <w:b/>
          <w:szCs w:val="21"/>
        </w:rPr>
        <w:t>、风险收益特征</w:t>
      </w:r>
    </w:p>
    <w:p w:rsidR="00D5306E" w:rsidRDefault="006D76AB">
      <w:pPr>
        <w:spacing w:line="360" w:lineRule="auto"/>
        <w:ind w:firstLineChars="200" w:firstLine="420"/>
        <w:rPr>
          <w:bCs/>
          <w:szCs w:val="21"/>
        </w:rPr>
      </w:pPr>
      <w:r>
        <w:rPr>
          <w:rFonts w:hint="eastAsia"/>
          <w:bCs/>
          <w:szCs w:val="21"/>
        </w:rPr>
        <w:t>本基金是混合型证券投资基金，其预期收益和预期风险水平高于债券型基金和货币市场</w:t>
      </w:r>
      <w:r>
        <w:rPr>
          <w:rFonts w:hint="eastAsia"/>
          <w:bCs/>
          <w:szCs w:val="21"/>
        </w:rPr>
        <w:lastRenderedPageBreak/>
        <w:t>基金，低于股票型基金。本基金如果投资港股通标的股票，需承担汇率风险以及境外市场的风险。</w:t>
      </w:r>
    </w:p>
    <w:p w:rsidR="00D5306E" w:rsidRDefault="006D76AB">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七、基金管理人代表基金行使股东或债权人权利的处理原则及方法</w:t>
      </w:r>
    </w:p>
    <w:p w:rsidR="00D5306E" w:rsidRDefault="006D76AB">
      <w:pPr>
        <w:spacing w:line="360" w:lineRule="auto"/>
        <w:ind w:firstLineChars="200" w:firstLine="420"/>
        <w:rPr>
          <w:rFonts w:ascii="Arial Unicode MS" w:hAnsi="Arial Unicode MS"/>
          <w:szCs w:val="21"/>
        </w:rPr>
      </w:pPr>
      <w:bookmarkStart w:id="82" w:name="_Toc79392634"/>
      <w:r>
        <w:rPr>
          <w:rFonts w:ascii="Arial Unicode MS" w:hAnsi="Arial Unicode MS" w:hint="eastAsia"/>
          <w:szCs w:val="21"/>
        </w:rPr>
        <w:t>1</w:t>
      </w:r>
      <w:r>
        <w:rPr>
          <w:rFonts w:ascii="Arial Unicode MS" w:hAnsi="Arial Unicode MS" w:hint="eastAsia"/>
          <w:szCs w:val="21"/>
        </w:rPr>
        <w:t>、基金管理人按照国家有关规定代表基金独立行使股东或债权人权利，保护基金份额持有人的利益；</w:t>
      </w:r>
      <w:r>
        <w:rPr>
          <w:rFonts w:ascii="Arial Unicode MS" w:hAnsi="Arial Unicode MS" w:hint="eastAsia"/>
          <w:szCs w:val="21"/>
        </w:rPr>
        <w:t xml:space="preserve"> </w:t>
      </w:r>
    </w:p>
    <w:p w:rsidR="00D5306E" w:rsidRDefault="006D76AB">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、不谋求对上市公司的控股；</w:t>
      </w:r>
    </w:p>
    <w:p w:rsidR="00D5306E" w:rsidRDefault="006D76AB">
      <w:pPr>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、有利于基金财产的安全与增值；</w:t>
      </w:r>
    </w:p>
    <w:p w:rsidR="00D5306E" w:rsidRDefault="006D76AB">
      <w:pPr>
        <w:spacing w:line="360" w:lineRule="auto"/>
        <w:ind w:firstLineChars="200" w:firstLine="420"/>
        <w:rPr>
          <w:rFonts w:ascii="Arial Unicode MS" w:hAnsi="Arial Unicode MS"/>
          <w:szCs w:val="21"/>
        </w:rPr>
      </w:pPr>
      <w:r>
        <w:rPr>
          <w:rFonts w:ascii="Arial Unicode MS" w:hAnsi="Arial Unicode MS" w:hint="eastAsia"/>
          <w:szCs w:val="21"/>
        </w:rPr>
        <w:t>4</w:t>
      </w:r>
      <w:r>
        <w:rPr>
          <w:rFonts w:ascii="Arial Unicode MS" w:hAnsi="Arial Unicode MS" w:hint="eastAsia"/>
          <w:szCs w:val="21"/>
        </w:rPr>
        <w:t>、不通过关联交易为自身、雇员、授权代理人或任何存在利害关系的第三人牟取任何不当利益。</w:t>
      </w:r>
    </w:p>
    <w:p w:rsidR="00D5306E" w:rsidRDefault="006D76AB">
      <w:pPr>
        <w:spacing w:line="360" w:lineRule="auto"/>
        <w:ind w:firstLineChars="200" w:firstLine="422"/>
        <w:rPr>
          <w:rFonts w:ascii="Arial Unicode MS" w:hAnsi="Arial Unicode MS"/>
          <w:b/>
          <w:szCs w:val="21"/>
        </w:rPr>
      </w:pPr>
      <w:r>
        <w:rPr>
          <w:rFonts w:ascii="Arial Unicode MS" w:hAnsi="Arial Unicode MS" w:hint="eastAsia"/>
          <w:b/>
          <w:szCs w:val="21"/>
        </w:rPr>
        <w:t>八、侧袋机制的实施和投资运作安排</w:t>
      </w:r>
    </w:p>
    <w:p w:rsidR="00D5306E" w:rsidRDefault="006D76AB">
      <w:pPr>
        <w:spacing w:line="360" w:lineRule="auto"/>
        <w:ind w:firstLineChars="200" w:firstLine="420"/>
        <w:rPr>
          <w:bCs/>
          <w:szCs w:val="21"/>
        </w:rPr>
      </w:pPr>
      <w:bookmarkStart w:id="83" w:name="_Toc47622422"/>
      <w:bookmarkStart w:id="84" w:name="_Toc320887649"/>
      <w:bookmarkStart w:id="85" w:name="_Toc47604314"/>
      <w:bookmarkStart w:id="86" w:name="_Toc429490287"/>
      <w:bookmarkStart w:id="87" w:name="_Toc317088544"/>
      <w:bookmarkStart w:id="88" w:name="_Toc214873599"/>
      <w:bookmarkStart w:id="89" w:name="_Toc335232698"/>
      <w:bookmarkStart w:id="90" w:name="_Toc317088147"/>
      <w:bookmarkEnd w:id="82"/>
      <w:r>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D5306E" w:rsidRDefault="006D76AB">
      <w:pPr>
        <w:spacing w:line="360" w:lineRule="auto"/>
        <w:ind w:firstLineChars="200" w:firstLine="420"/>
        <w:rPr>
          <w:bCs/>
          <w:szCs w:val="21"/>
        </w:rPr>
      </w:pPr>
      <w:r>
        <w:rPr>
          <w:rFonts w:hint="eastAsia"/>
          <w:bCs/>
          <w:szCs w:val="21"/>
        </w:rPr>
        <w:t>侧袋机制实施期间，本部分约定的投资组合比例、投资策略、组合限制、业绩比较基准、风险收益特征等约定仅适用于主袋账户。</w:t>
      </w:r>
    </w:p>
    <w:p w:rsidR="00D5306E" w:rsidRDefault="006D76AB">
      <w:pPr>
        <w:autoSpaceDE w:val="0"/>
        <w:autoSpaceDN w:val="0"/>
        <w:adjustRightInd w:val="0"/>
        <w:spacing w:line="360" w:lineRule="auto"/>
        <w:ind w:firstLine="420"/>
        <w:jc w:val="left"/>
        <w:rPr>
          <w:rFonts w:ascii="Arial Unicode MS" w:hAnsi="Arial Unicode MS"/>
          <w:b/>
          <w:bCs/>
          <w:szCs w:val="21"/>
        </w:rPr>
        <w:sectPr w:rsidR="00D5306E">
          <w:footerReference w:type="default" r:id="rId34"/>
          <w:footerReference w:type="first" r:id="rId35"/>
          <w:pgSz w:w="11906" w:h="16838"/>
          <w:pgMar w:top="1440" w:right="1800" w:bottom="1440" w:left="1800" w:header="851" w:footer="992" w:gutter="0"/>
          <w:pgNumType w:start="1"/>
          <w:cols w:space="720"/>
          <w:docGrid w:linePitch="312"/>
        </w:sectPr>
      </w:pPr>
      <w:r>
        <w:rPr>
          <w:rFonts w:hint="eastAsia"/>
          <w:bCs/>
          <w:szCs w:val="21"/>
        </w:rPr>
        <w:t>侧袋账户的实施条件、实施程序、运作安排、投资安排、特定资产的处置变现和支付等对投资者权益有重大影响的事项详见本招募说明书“侧袋机制”章节的规定。</w:t>
      </w:r>
    </w:p>
    <w:p w:rsidR="00D5306E" w:rsidRDefault="006D76AB">
      <w:pPr>
        <w:pStyle w:val="11"/>
        <w:snapToGrid w:val="0"/>
        <w:spacing w:before="0" w:after="0" w:line="360" w:lineRule="auto"/>
        <w:rPr>
          <w:rFonts w:ascii="Arial Unicode MS" w:eastAsia="宋体" w:hAnsi="Arial Unicode MS" w:cs="Arial"/>
          <w:b/>
          <w:bCs/>
          <w:sz w:val="28"/>
          <w:szCs w:val="28"/>
        </w:rPr>
      </w:pPr>
      <w:r>
        <w:rPr>
          <w:rFonts w:ascii="Arial Unicode MS" w:eastAsia="宋体" w:hAnsi="Arial Unicode MS" w:cs="Arial"/>
          <w:b/>
          <w:bCs/>
          <w:sz w:val="28"/>
          <w:szCs w:val="28"/>
        </w:rPr>
        <w:lastRenderedPageBreak/>
        <w:t>第十部分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基金的财产</w:t>
      </w:r>
      <w:bookmarkEnd w:id="83"/>
      <w:bookmarkEnd w:id="84"/>
      <w:bookmarkEnd w:id="85"/>
      <w:bookmarkEnd w:id="86"/>
      <w:bookmarkEnd w:id="87"/>
      <w:bookmarkEnd w:id="88"/>
      <w:bookmarkEnd w:id="89"/>
      <w:bookmarkEnd w:id="90"/>
    </w:p>
    <w:p w:rsidR="00D5306E" w:rsidRDefault="00D5306E">
      <w:pPr>
        <w:spacing w:line="360" w:lineRule="auto"/>
        <w:rPr>
          <w:rFonts w:ascii="Arial Unicode MS" w:hAnsi="Arial Unicode MS"/>
        </w:rPr>
      </w:pP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一、基金资产总值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基金资产总值是指基金拥有的各类有价证券、银行存款本息、基金应收款项及其他资产的价值总和。</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二、基金资产净值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基金资产净值是指基金资产总值减去基金负债后的价值。</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三、基金财产的账户</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四、基金财产的保管和处分</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D5306E" w:rsidRDefault="00D5306E">
      <w:pPr>
        <w:spacing w:line="360" w:lineRule="auto"/>
        <w:ind w:firstLineChars="200" w:firstLine="422"/>
        <w:rPr>
          <w:rFonts w:ascii="Arial Unicode MS" w:hAnsi="Arial Unicode MS" w:cs="Arial"/>
          <w:b/>
          <w:szCs w:val="21"/>
        </w:rPr>
      </w:pPr>
    </w:p>
    <w:p w:rsidR="00D5306E" w:rsidRDefault="00D5306E">
      <w:pPr>
        <w:spacing w:line="360" w:lineRule="auto"/>
        <w:ind w:firstLineChars="200" w:firstLine="420"/>
        <w:rPr>
          <w:rFonts w:ascii="Arial Unicode MS" w:hAnsi="Arial Unicode MS" w:cs="Arial"/>
          <w:bCs/>
          <w:szCs w:val="21"/>
        </w:rPr>
      </w:pPr>
    </w:p>
    <w:p w:rsidR="00D5306E" w:rsidRDefault="00D5306E">
      <w:pPr>
        <w:spacing w:line="360" w:lineRule="auto"/>
        <w:ind w:firstLineChars="200" w:firstLine="420"/>
        <w:rPr>
          <w:rFonts w:ascii="Arial Unicode MS" w:hAnsi="Arial Unicode MS" w:cs="Arial"/>
          <w:szCs w:val="21"/>
        </w:rPr>
        <w:sectPr w:rsidR="00D5306E">
          <w:footerReference w:type="default" r:id="rId36"/>
          <w:footerReference w:type="first" r:id="rId37"/>
          <w:pgSz w:w="11906" w:h="16838"/>
          <w:pgMar w:top="1440" w:right="1800" w:bottom="1440" w:left="1800" w:header="851" w:footer="992" w:gutter="0"/>
          <w:pgNumType w:start="1"/>
          <w:cols w:space="720"/>
          <w:docGrid w:linePitch="312"/>
        </w:sectPr>
      </w:pPr>
    </w:p>
    <w:p w:rsidR="00D5306E" w:rsidRDefault="006D76AB">
      <w:pPr>
        <w:pStyle w:val="11"/>
        <w:snapToGrid w:val="0"/>
        <w:spacing w:before="0" w:after="0" w:line="360" w:lineRule="auto"/>
        <w:ind w:firstLineChars="150" w:firstLine="422"/>
        <w:rPr>
          <w:rFonts w:ascii="Arial Unicode MS" w:eastAsia="宋体" w:hAnsi="Arial Unicode MS" w:cs="Arial"/>
          <w:b/>
          <w:bCs/>
          <w:sz w:val="28"/>
          <w:szCs w:val="28"/>
        </w:rPr>
      </w:pPr>
      <w:bookmarkStart w:id="91" w:name="_Toc47604315"/>
      <w:bookmarkStart w:id="92" w:name="_Toc214873600"/>
      <w:bookmarkStart w:id="93" w:name="_Toc317088148"/>
      <w:bookmarkStart w:id="94" w:name="_Toc429490288"/>
      <w:bookmarkStart w:id="95" w:name="_Toc47622423"/>
      <w:bookmarkStart w:id="96" w:name="_Toc335232699"/>
      <w:bookmarkStart w:id="97" w:name="_Toc317088545"/>
      <w:bookmarkStart w:id="98" w:name="_Toc320887650"/>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基金资产的估值</w:t>
      </w:r>
      <w:bookmarkEnd w:id="91"/>
      <w:bookmarkEnd w:id="92"/>
      <w:bookmarkEnd w:id="93"/>
      <w:bookmarkEnd w:id="94"/>
      <w:bookmarkEnd w:id="95"/>
      <w:bookmarkEnd w:id="96"/>
      <w:bookmarkEnd w:id="97"/>
      <w:bookmarkEnd w:id="98"/>
    </w:p>
    <w:p w:rsidR="00D5306E" w:rsidRDefault="00D5306E">
      <w:pPr>
        <w:spacing w:line="360" w:lineRule="auto"/>
        <w:rPr>
          <w:rFonts w:ascii="Arial Unicode MS" w:hAnsi="Arial Unicode MS"/>
        </w:rPr>
      </w:pPr>
    </w:p>
    <w:p w:rsidR="00D5306E" w:rsidRDefault="006D76AB">
      <w:pPr>
        <w:spacing w:line="360" w:lineRule="auto"/>
        <w:ind w:firstLineChars="200" w:firstLine="422"/>
        <w:rPr>
          <w:rFonts w:ascii="Arial Unicode MS" w:hAnsi="Arial Unicode MS" w:cs="Arial"/>
          <w:b/>
          <w:szCs w:val="21"/>
        </w:rPr>
      </w:pPr>
      <w:bookmarkStart w:id="99" w:name="_Toc530223193"/>
      <w:bookmarkStart w:id="100" w:name="_Toc317088546"/>
      <w:bookmarkStart w:id="101" w:name="_Toc317088149"/>
      <w:bookmarkStart w:id="102" w:name="_Toc320887651"/>
      <w:bookmarkStart w:id="103" w:name="_Toc214873601"/>
      <w:bookmarkStart w:id="104" w:name="_Toc335232700"/>
      <w:r>
        <w:rPr>
          <w:rFonts w:ascii="Arial Unicode MS" w:hAnsi="Arial Unicode MS" w:cs="Arial" w:hint="eastAsia"/>
          <w:b/>
          <w:szCs w:val="21"/>
        </w:rPr>
        <w:t>一、估值日</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本基金的估值日为本基金相关的证券交易场所的交易日以及国家法律法规规定需要对外披露基金净值的非交易日。</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二、估值对象</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基金所拥有的股票、股指期货合约、国债期货合约、股票期权合约、信用衍生品、债券和银行存款本息、应收款项、资产支持证券、其它投资等资产及负债。</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三、估值原则</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基金管理人在确定相关金融资产和金融负债的公允价值时，应符合《企业会计准则》、监管部门有关规定。</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（三）如经济环境发生重大变化或证券发行人发生影响证券价格的重大事件，使潜在估值调整对前一估值日的基金资产净值的影响在</w:t>
      </w:r>
      <w:r>
        <w:rPr>
          <w:rFonts w:ascii="Arial Unicode MS" w:hAnsi="Arial Unicode MS" w:cs="Arial" w:hint="eastAsia"/>
          <w:szCs w:val="21"/>
        </w:rPr>
        <w:t>0.25%</w:t>
      </w:r>
      <w:r>
        <w:rPr>
          <w:rFonts w:ascii="Arial Unicode MS" w:hAnsi="Arial Unicode MS" w:cs="Arial" w:hint="eastAsia"/>
          <w:szCs w:val="21"/>
        </w:rPr>
        <w:t>以上的，应对估值进行调整并确定公允价值。</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四、估值方法</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、证券交易所上市的有价证券的估值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）交易所上市的有价证券（包括股票等），以其估值日在证券交易所挂牌的市价（收盘价）估值；估值日无交易的，最近交易日后经济环境未发生重大变化且证券发行机构未发生影</w:t>
      </w:r>
      <w:r>
        <w:rPr>
          <w:rFonts w:ascii="Arial Unicode MS" w:hAnsi="Arial Unicode MS" w:cs="Arial" w:hint="eastAsia"/>
          <w:szCs w:val="21"/>
        </w:rPr>
        <w:lastRenderedPageBreak/>
        <w:t>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）交易所上市交易或挂牌转让的固定收益品种（基金合同另有规定的除外），选取估值日第三方估值机构提供的相应品种对应的估值净价估值，具体估值机构由基金管理人与基金托管人另行协商约定；</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交易所上市交易的可转换债券按估值日收盘价减去债券收盘价中所含的债券应收利息得到的净价进行估值；估值日没有交易的，且最近交易日后经济环境未发生重大变化，按最近交易日固定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交易所上市实行全价交易的固定收益品种（可转换债券除外），选取第三方估值机构提供的估值全价减去估值全价中所含的固定收益品种（税后）应收利息得到的净价进行估值；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）交易所上市不存在活跃市场的有价证券，采用估值技术确定公允价值。交易所上市的资产支持证券，采用估值技术确定公允价值，在估值技术难以可靠计量公允价值的情况下，按成本估值。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、处于未上市期间的有价证券应区分如下情况处理：</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）送股、转增股、配股和公开增发的新股，按估值日在证券交易所挂牌的同一股票的估值方法估值；该日无交易的，以最近一日的市价（收盘价）估值；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）首次公开发行未上市的股票和债券，采用估值技术确定公允价值，在估值技术难以可靠计量公允价值的情况下，按成本估值；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、全国银行间债券市场交易的债券、资产支持证券等固定收益品种，采用估值技术确定公允价值。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、同一证券同时在两个或两个以上市场交易的，按证券所处的市场分别估值。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5</w:t>
      </w:r>
      <w:r>
        <w:rPr>
          <w:rFonts w:ascii="Arial Unicode MS" w:hAnsi="Arial Unicode MS" w:cs="Arial" w:hint="eastAsia"/>
          <w:szCs w:val="21"/>
        </w:rPr>
        <w:t>、本基金投资股指期货合约、国债期货合约，一般以估值当日结算价进行估值，估值当日无结算价的，且最近交易日后经济环境未发生重大变化的，采用最近交易日结算价估值。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、本基金投资股票期权，根据相关法律法规以及监管部门的规定估值。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、本基金投资信用衍生品，根据相关法律法规以及监管部门的规定估值。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8</w:t>
      </w:r>
      <w:r>
        <w:rPr>
          <w:rFonts w:ascii="Arial Unicode MS" w:hAnsi="Arial Unicode MS" w:cs="Arial" w:hint="eastAsia"/>
          <w:szCs w:val="21"/>
        </w:rPr>
        <w:t>、汇率</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9</w:t>
      </w:r>
      <w:r>
        <w:rPr>
          <w:rFonts w:ascii="Arial Unicode MS" w:hAnsi="Arial Unicode MS" w:cs="Arial" w:hint="eastAsia"/>
          <w:szCs w:val="21"/>
        </w:rPr>
        <w:t>、当发生大额申购或赎回情形时，基金管理人可以采用摆动定价机制，以确保基金估值的公平性。具体处理原则与操作规范遵循相关法律法规以及监管部门、自律规则的规定。</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10</w:t>
      </w:r>
      <w:r>
        <w:rPr>
          <w:rFonts w:ascii="Arial Unicode MS" w:hAnsi="Arial Unicode MS" w:cs="Arial" w:hint="eastAsia"/>
          <w:szCs w:val="21"/>
        </w:rPr>
        <w:t>、本基金参与融资业务，按照相关法律法规和行业协会的相关规定进行估值。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11</w:t>
      </w:r>
      <w:r>
        <w:rPr>
          <w:rFonts w:ascii="Arial Unicode MS" w:hAnsi="Arial Unicode MS" w:cs="Arial" w:hint="eastAsia"/>
          <w:szCs w:val="21"/>
        </w:rPr>
        <w:t>、本基金投资存托凭证的估值核算，依照境内上市交易的股票执行。</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szCs w:val="21"/>
        </w:rPr>
        <w:t>2</w:t>
      </w:r>
      <w:r>
        <w:rPr>
          <w:rFonts w:ascii="Arial Unicode MS" w:hAnsi="Arial Unicode MS" w:cs="Arial" w:hint="eastAsia"/>
          <w:szCs w:val="21"/>
        </w:rPr>
        <w:t>、如有确凿证据表明按上述方法进行估值不能客观反映其公允价值的，基金管理人可根据具体情况与基金托管人商定后，按最能反映公允价值的价格估值。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szCs w:val="21"/>
        </w:rPr>
        <w:t>3</w:t>
      </w:r>
      <w:r>
        <w:rPr>
          <w:rFonts w:ascii="Arial Unicode MS" w:hAnsi="Arial Unicode MS" w:cs="Arial" w:hint="eastAsia"/>
          <w:szCs w:val="21"/>
        </w:rPr>
        <w:t>、相关法律法规以及监管部门有强制规定的，从其规定。如有新增事项，按国家最新规定估值。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五、估值程序</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、各类基金份额净值是按照每个工作日闭市后，该类基金资产净值除以当日该类基金份额的余额数量计算，均精确到</w:t>
      </w:r>
      <w:r>
        <w:rPr>
          <w:rFonts w:ascii="Arial Unicode MS" w:hAnsi="Arial Unicode MS" w:cs="Arial" w:hint="eastAsia"/>
          <w:szCs w:val="21"/>
        </w:rPr>
        <w:t>0.0001</w:t>
      </w:r>
      <w:r>
        <w:rPr>
          <w:rFonts w:ascii="Arial Unicode MS" w:hAnsi="Arial Unicode MS" w:cs="Arial" w:hint="eastAsia"/>
          <w:szCs w:val="21"/>
        </w:rPr>
        <w:t>元，小数点后第</w:t>
      </w:r>
      <w:r>
        <w:rPr>
          <w:rFonts w:ascii="Arial Unicode MS" w:hAnsi="Arial Unicode MS" w:cs="Arial" w:hint="eastAsia"/>
          <w:szCs w:val="21"/>
        </w:rPr>
        <w:t>5</w:t>
      </w:r>
      <w:r>
        <w:rPr>
          <w:rFonts w:ascii="Arial Unicode MS" w:hAnsi="Arial Unicode MS" w:cs="Arial" w:hint="eastAsia"/>
          <w:szCs w:val="21"/>
        </w:rPr>
        <w:t>位四舍五入。基金管理人可以设立大额赎回情形下的净值精度应急调整机制。国家另有规定的，从其规定。</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基金管理人于每个工作日计算基金资产净值及各类基金份额净值，并按规定公告。</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2</w:t>
      </w:r>
      <w:r>
        <w:rPr>
          <w:rFonts w:ascii="Arial Unicode MS" w:hAnsi="Arial Unicode MS" w:cs="Arial" w:hint="eastAsia"/>
          <w:szCs w:val="21"/>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六、估值错误的处理</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基金管理人和基金托管人将采取必要、适当、合理的措施确保基金资产估值的准确性、及时性。当任一类基金份额净值小数点后</w:t>
      </w:r>
      <w:r>
        <w:rPr>
          <w:rFonts w:ascii="Arial Unicode MS" w:hAnsi="Arial Unicode MS" w:cs="Arial" w:hint="eastAsia"/>
          <w:szCs w:val="21"/>
        </w:rPr>
        <w:t>4</w:t>
      </w:r>
      <w:r>
        <w:rPr>
          <w:rFonts w:ascii="Arial Unicode MS" w:hAnsi="Arial Unicode MS" w:cs="Arial" w:hint="eastAsia"/>
          <w:szCs w:val="21"/>
        </w:rPr>
        <w:t>位以内</w:t>
      </w:r>
      <w:r>
        <w:rPr>
          <w:rFonts w:ascii="Arial Unicode MS" w:hAnsi="Arial Unicode MS" w:cs="Arial" w:hint="eastAsia"/>
          <w:szCs w:val="21"/>
        </w:rPr>
        <w:t>(</w:t>
      </w:r>
      <w:r>
        <w:rPr>
          <w:rFonts w:ascii="Arial Unicode MS" w:hAnsi="Arial Unicode MS" w:cs="Arial" w:hint="eastAsia"/>
          <w:szCs w:val="21"/>
        </w:rPr>
        <w:t>含第</w:t>
      </w:r>
      <w:r>
        <w:rPr>
          <w:rFonts w:ascii="Arial Unicode MS" w:hAnsi="Arial Unicode MS" w:cs="Arial" w:hint="eastAsia"/>
          <w:szCs w:val="21"/>
        </w:rPr>
        <w:t>4</w:t>
      </w:r>
      <w:r>
        <w:rPr>
          <w:rFonts w:ascii="Arial Unicode MS" w:hAnsi="Arial Unicode MS" w:cs="Arial" w:hint="eastAsia"/>
          <w:szCs w:val="21"/>
        </w:rPr>
        <w:t>位</w:t>
      </w:r>
      <w:r>
        <w:rPr>
          <w:rFonts w:ascii="Arial Unicode MS" w:hAnsi="Arial Unicode MS" w:cs="Arial" w:hint="eastAsia"/>
          <w:szCs w:val="21"/>
        </w:rPr>
        <w:t>)</w:t>
      </w:r>
      <w:r>
        <w:rPr>
          <w:rFonts w:ascii="Arial Unicode MS" w:hAnsi="Arial Unicode MS" w:cs="Arial" w:hint="eastAsia"/>
          <w:szCs w:val="21"/>
        </w:rPr>
        <w:t>发生估值错误时，视为该类基金份额净值错误。</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基金合同的当事人应按照以下约定处理：</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、估值错误类型</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Arial Unicode MS" w:hAnsi="Arial Unicode MS" w:cs="Arial" w:hint="eastAsia"/>
          <w:szCs w:val="21"/>
        </w:rPr>
        <w:t>(</w:t>
      </w:r>
      <w:r>
        <w:rPr>
          <w:rFonts w:ascii="Arial Unicode MS" w:hAnsi="Arial Unicode MS" w:cs="Arial" w:hint="eastAsia"/>
          <w:szCs w:val="21"/>
        </w:rPr>
        <w:t>“受损方”</w:t>
      </w:r>
      <w:r>
        <w:rPr>
          <w:rFonts w:ascii="Arial Unicode MS" w:hAnsi="Arial Unicode MS" w:cs="Arial" w:hint="eastAsia"/>
          <w:szCs w:val="21"/>
        </w:rPr>
        <w:t>)</w:t>
      </w:r>
      <w:r>
        <w:rPr>
          <w:rFonts w:ascii="Arial Unicode MS" w:hAnsi="Arial Unicode MS" w:cs="Arial" w:hint="eastAsia"/>
          <w:szCs w:val="21"/>
        </w:rPr>
        <w:t>的直接损失按下述“估值错误处理原则”给予赔偿，承担赔偿责任。</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上述估值错误的主要类型包括但不限于：资料申报差错、数据传输差错、数据计算差错、系统故障差错、下达指令差错等。</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、估值错误处理原则</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）估值错误的责任方对有关当事人的直接损失负责，不对间接损失负责，并且仅对估值错误的有关直接当事人负责，不对第三方负责。</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Arial Unicode MS" w:hAnsi="Arial Unicode MS" w:cs="Arial" w:hint="eastAsia"/>
          <w:szCs w:val="21"/>
        </w:rPr>
        <w:t>(</w:t>
      </w:r>
      <w:r>
        <w:rPr>
          <w:rFonts w:ascii="Arial Unicode MS" w:hAnsi="Arial Unicode MS" w:cs="Arial" w:hint="eastAsia"/>
          <w:szCs w:val="21"/>
        </w:rPr>
        <w:t>“受损方”</w:t>
      </w:r>
      <w:r>
        <w:rPr>
          <w:rFonts w:ascii="Arial Unicode MS" w:hAnsi="Arial Unicode MS" w:cs="Arial" w:hint="eastAsia"/>
          <w:szCs w:val="21"/>
        </w:rPr>
        <w:t>)</w:t>
      </w:r>
      <w:r>
        <w:rPr>
          <w:rFonts w:ascii="Arial Unicode MS" w:hAnsi="Arial Unicode MS" w:cs="Arial" w:hint="eastAsia"/>
          <w:szCs w:val="21"/>
        </w:rPr>
        <w:t>，则估值错误责任方应赔偿受损方的损失，并在其支付的赔偿金额的范围内对获得不当得利的当事人享有要求交付不当得利的权利；如果获得不当得利的</w:t>
      </w:r>
      <w:r>
        <w:rPr>
          <w:rFonts w:ascii="Arial Unicode MS" w:hAnsi="Arial Unicode MS" w:cs="Arial" w:hint="eastAsia"/>
          <w:szCs w:val="21"/>
        </w:rPr>
        <w:lastRenderedPageBreak/>
        <w:t>当事人已经将此部分不当得利返还给受损方，则受损方应当将其已经获得的赔偿额加上已经获得的不当得利返还的总和超过其实际损失的差额部分支付给估值错误责任方。</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）估值错误调整采用尽量恢复至假设未发生估值错误的正确情形的方式。</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、估值错误处理程序</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估值错误被发现后，有关的当事人应当及时进行处理，处理的程序如下：</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）查明估值错误发生的原因，列明所有的当事人，并根据估值错误发生的原因确定估值错误的责任方；</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）根据估值错误处理原则或当事人协商的方法对因估值错误造成的损失进行评估；</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）根据估值错误处理原则或当事人协商的方法由估值错误的责任方进行更正和赔偿损失；</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）根据估值错误处理的方法，需要修改基金登记机构交易数据的，由基金登记机构进行更正，并就估值错误的更正向有关当事人进行确认。</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、基金份额净值估值错误处理的方法如下：</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）基金份额净值计算出现错误时，基金管理人应当立即予以纠正，通报基金托管人，并采取合理的措施防止损失进一步扩大。</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）错误偏差达到该类基金份额净值的</w:t>
      </w:r>
      <w:r>
        <w:rPr>
          <w:rFonts w:ascii="Arial Unicode MS" w:hAnsi="Arial Unicode MS" w:cs="Arial" w:hint="eastAsia"/>
          <w:szCs w:val="21"/>
        </w:rPr>
        <w:t>0.25%</w:t>
      </w:r>
      <w:r>
        <w:rPr>
          <w:rFonts w:ascii="Arial Unicode MS" w:hAnsi="Arial Unicode MS" w:cs="Arial" w:hint="eastAsia"/>
          <w:szCs w:val="21"/>
        </w:rPr>
        <w:t>时，基金管理人应当通报基金托管人并报中国证监会备案；错误偏差达到该类基金份额净值的</w:t>
      </w:r>
      <w:r>
        <w:rPr>
          <w:rFonts w:ascii="Arial Unicode MS" w:hAnsi="Arial Unicode MS" w:cs="Arial" w:hint="eastAsia"/>
          <w:szCs w:val="21"/>
        </w:rPr>
        <w:t>0.5%</w:t>
      </w:r>
      <w:r>
        <w:rPr>
          <w:rFonts w:ascii="Arial Unicode MS" w:hAnsi="Arial Unicode MS" w:cs="Arial" w:hint="eastAsia"/>
          <w:szCs w:val="21"/>
        </w:rPr>
        <w:t>时，基金管理人应当公告，并报中国证监会备案。</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）基金管理人和基金托管人由于各自技术系统设置而产生的净值计算尾差，以基金管理人计算结果为准。</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）前述内容如法律法规或监管机关另有规定的，从其规定处理。如果行业另有通行做法，基金管理人、基金托管人应本着平等和保护基金份额持有人利益的原则进行协商。</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七、暂停估值的情形</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、基金投资所涉及的证券、期货交易市场或外汇市场遇法定节假日或因其他原因暂停营业时；</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、因不可抗力致使基金管理人、基金托管人无法准确评估基金资产价值时；</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、当特定资产占前一估值日基金资产净值</w:t>
      </w:r>
      <w:r>
        <w:rPr>
          <w:rFonts w:ascii="Arial Unicode MS" w:hAnsi="Arial Unicode MS" w:cs="Arial" w:hint="eastAsia"/>
          <w:szCs w:val="21"/>
        </w:rPr>
        <w:t>50%</w:t>
      </w:r>
      <w:r>
        <w:rPr>
          <w:rFonts w:ascii="Arial Unicode MS" w:hAnsi="Arial Unicode MS" w:cs="Arial" w:hint="eastAsia"/>
          <w:szCs w:val="21"/>
        </w:rPr>
        <w:t>以上的，经与基金托管人协商确认后，基</w:t>
      </w:r>
      <w:r>
        <w:rPr>
          <w:rFonts w:ascii="Arial Unicode MS" w:hAnsi="Arial Unicode MS" w:cs="Arial" w:hint="eastAsia"/>
          <w:szCs w:val="21"/>
        </w:rPr>
        <w:lastRenderedPageBreak/>
        <w:t>金管理人应当暂停估值；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、法律法规规定、中国证监会和基金合同认定的其它情形。</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八、基金净值的确认</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九、特殊情况的处理</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、基金管理人或基金托管人按估值方法的第</w:t>
      </w:r>
      <w:r>
        <w:rPr>
          <w:rFonts w:ascii="Arial Unicode MS" w:hAnsi="Arial Unicode MS" w:cs="Arial" w:hint="eastAsia"/>
          <w:szCs w:val="21"/>
        </w:rPr>
        <w:t>1</w:t>
      </w:r>
      <w:r>
        <w:rPr>
          <w:rFonts w:ascii="Arial Unicode MS" w:hAnsi="Arial Unicode MS" w:cs="Arial"/>
          <w:szCs w:val="21"/>
        </w:rPr>
        <w:t>2</w:t>
      </w:r>
      <w:r>
        <w:rPr>
          <w:rFonts w:ascii="Arial Unicode MS" w:hAnsi="Arial Unicode MS" w:cs="Arial" w:hint="eastAsia"/>
          <w:szCs w:val="21"/>
        </w:rPr>
        <w:t>项进行估值时，所造成的误差不作为基金资产估值错误处理。</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由于有关会计制度变化或不可抗力原因，或由于证券、期货交易所或登记结算公司及存款银行等第三方机构发送的数据错误等非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十、实施侧袋机制期间的基金资产估值</w:t>
      </w:r>
    </w:p>
    <w:p w:rsidR="00D5306E" w:rsidRDefault="006D76AB">
      <w:pPr>
        <w:spacing w:line="360" w:lineRule="auto"/>
        <w:ind w:firstLineChars="200" w:firstLine="420"/>
        <w:rPr>
          <w:rFonts w:ascii="Arial Unicode MS" w:hAnsi="Arial Unicode MS" w:cs="Arial"/>
          <w:szCs w:val="21"/>
        </w:rPr>
        <w:sectPr w:rsidR="00D5306E">
          <w:footerReference w:type="default" r:id="rId38"/>
          <w:pgSz w:w="12240" w:h="15840"/>
          <w:pgMar w:top="1440" w:right="1800" w:bottom="1440" w:left="1800" w:header="720" w:footer="720" w:gutter="0"/>
          <w:pgNumType w:start="1"/>
          <w:cols w:space="720"/>
        </w:sectPr>
      </w:pPr>
      <w:r>
        <w:rPr>
          <w:rFonts w:ascii="Arial Unicode MS" w:hAnsi="Arial Unicode MS" w:cs="Arial" w:hint="eastAsia"/>
          <w:szCs w:val="21"/>
        </w:rPr>
        <w:t>本基金实施侧袋机制的，应根据本部分的约定对主袋账户资产进行估值并披露主袋账户的基金净值信息，暂停披露侧袋账户份额净值。</w:t>
      </w:r>
    </w:p>
    <w:p w:rsidR="00D5306E" w:rsidRDefault="006D76AB">
      <w:pPr>
        <w:pStyle w:val="11"/>
        <w:snapToGrid w:val="0"/>
        <w:spacing w:before="0" w:after="0" w:line="360" w:lineRule="auto"/>
        <w:ind w:firstLineChars="150" w:firstLine="422"/>
        <w:rPr>
          <w:rFonts w:ascii="Arial Unicode MS" w:eastAsia="宋体" w:hAnsi="Arial Unicode MS" w:cs="Arial"/>
          <w:b/>
          <w:bCs/>
          <w:sz w:val="28"/>
          <w:szCs w:val="28"/>
        </w:rPr>
      </w:pPr>
      <w:bookmarkStart w:id="105" w:name="_Toc47622424"/>
      <w:bookmarkStart w:id="106" w:name="_Toc429490289"/>
      <w:bookmarkStart w:id="107" w:name="_Toc47604316"/>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99"/>
      <w:r>
        <w:rPr>
          <w:rFonts w:ascii="Arial Unicode MS" w:eastAsia="宋体" w:hAnsi="Arial Unicode MS" w:cs="Arial"/>
          <w:b/>
          <w:bCs/>
          <w:sz w:val="28"/>
          <w:szCs w:val="28"/>
        </w:rPr>
        <w:t>基金的收益分配</w:t>
      </w:r>
      <w:bookmarkEnd w:id="100"/>
      <w:bookmarkEnd w:id="101"/>
      <w:bookmarkEnd w:id="102"/>
      <w:bookmarkEnd w:id="103"/>
      <w:bookmarkEnd w:id="104"/>
      <w:bookmarkEnd w:id="105"/>
      <w:bookmarkEnd w:id="106"/>
      <w:bookmarkEnd w:id="107"/>
    </w:p>
    <w:p w:rsidR="00D5306E" w:rsidRDefault="00D5306E">
      <w:pPr>
        <w:snapToGrid w:val="0"/>
        <w:spacing w:line="360" w:lineRule="auto"/>
        <w:ind w:firstLineChars="200" w:firstLine="420"/>
        <w:rPr>
          <w:rFonts w:ascii="Arial Unicode MS" w:hAnsi="Arial Unicode MS" w:cs="Arial"/>
          <w:szCs w:val="21"/>
        </w:rPr>
      </w:pP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一、基金利润的构成</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基金利润指基金利息收入、投资收益、公允价值变动收益和其他收入扣除相关费用后的余额，基金已实现收益指基金利润减去公允价值变动收益后的余额。</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二、基金可供分配利润</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基金可供分配利润指截至收益分配基准日基金未分配利润与未分配利润中已实现收益的孰低数。</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三、基金收益分配原则</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、由于本基金</w:t>
      </w:r>
      <w:r>
        <w:rPr>
          <w:rFonts w:ascii="Arial Unicode MS" w:hAnsi="Arial Unicode MS" w:cs="Arial" w:hint="eastAsia"/>
          <w:szCs w:val="21"/>
        </w:rPr>
        <w:t>A</w:t>
      </w:r>
      <w:r>
        <w:rPr>
          <w:rFonts w:ascii="Arial Unicode MS" w:hAnsi="Arial Unicode MS" w:cs="Arial" w:hint="eastAsia"/>
          <w:szCs w:val="21"/>
        </w:rPr>
        <w:t>类基金份额不收取销售服务费，而</w:t>
      </w:r>
      <w:r>
        <w:rPr>
          <w:rFonts w:ascii="Arial Unicode MS" w:hAnsi="Arial Unicode MS" w:cs="Arial" w:hint="eastAsia"/>
          <w:szCs w:val="21"/>
        </w:rPr>
        <w:t>C</w:t>
      </w:r>
      <w:r>
        <w:rPr>
          <w:rFonts w:ascii="Arial Unicode MS" w:hAnsi="Arial Unicode MS" w:cs="Arial" w:hint="eastAsia"/>
          <w:szCs w:val="21"/>
        </w:rPr>
        <w:t>类基金份额收取销售服务费，各基金份额类别对应的可供分配利润将有所不同，本基金同一类别的每一基金份额享有同等分配权；</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、本基金收益分配方式分两种：现金分红与红利再投资，投资者可选择现金红利或将现金红利自动转为相应类别的基金份额进行再投资，且基金份额持有人可对</w:t>
      </w:r>
      <w:r>
        <w:rPr>
          <w:rFonts w:ascii="Arial Unicode MS" w:hAnsi="Arial Unicode MS" w:cs="Arial" w:hint="eastAsia"/>
          <w:szCs w:val="21"/>
        </w:rPr>
        <w:t>A</w:t>
      </w:r>
      <w:r>
        <w:rPr>
          <w:rFonts w:ascii="Arial Unicode MS" w:hAnsi="Arial Unicode MS" w:cs="Arial" w:hint="eastAsia"/>
          <w:szCs w:val="21"/>
        </w:rPr>
        <w:t>类、</w:t>
      </w:r>
      <w:r>
        <w:rPr>
          <w:rFonts w:ascii="Arial Unicode MS" w:hAnsi="Arial Unicode MS" w:cs="Arial" w:hint="eastAsia"/>
          <w:szCs w:val="21"/>
        </w:rPr>
        <w:t>C</w:t>
      </w:r>
      <w:r>
        <w:rPr>
          <w:rFonts w:ascii="Arial Unicode MS" w:hAnsi="Arial Unicode MS" w:cs="Arial" w:hint="eastAsia"/>
          <w:szCs w:val="21"/>
        </w:rPr>
        <w:t>类基金份额分别选择不同的分红方式；若投资者不选择，本基金默认的收益分配方式是现金分红；</w:t>
      </w:r>
      <w:r>
        <w:rPr>
          <w:rFonts w:ascii="Arial Unicode MS" w:hAnsi="Arial Unicode MS" w:cs="Arial" w:hint="eastAsia"/>
          <w:szCs w:val="21"/>
        </w:rPr>
        <w:t xml:space="preserve"> </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、基金收益分配后各类基金份额净值不能低于面值，即基金收益分配基准日的各类基金份额净值减去每单位该类基金份额收益分配金额后不能低于面值；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、法律法规或监管机关另有规定的，从其规定。</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四、收益分配方案</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基金收益分配方案中应载明截止收益分配基准日的可供分配利润、基金收益分配对象、分配时间、分配数额及比例、分配方式等内容。</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五、收益分配方案的确定、公告与实施</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本基金收益分配方案由基金管理人拟定，并由基金托管人复核，按规定在规定媒介公告。</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六、基金收益分配中发生的费用</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D5306E" w:rsidRDefault="006D76AB">
      <w:pPr>
        <w:spacing w:line="360" w:lineRule="auto"/>
        <w:ind w:firstLineChars="225" w:firstLine="474"/>
        <w:rPr>
          <w:b/>
          <w:bCs/>
          <w:szCs w:val="21"/>
        </w:rPr>
      </w:pPr>
      <w:r>
        <w:rPr>
          <w:rFonts w:hint="eastAsia"/>
          <w:b/>
          <w:bCs/>
          <w:szCs w:val="21"/>
        </w:rPr>
        <w:lastRenderedPageBreak/>
        <w:t>七、实施侧袋机制期间的收益分配</w:t>
      </w:r>
    </w:p>
    <w:p w:rsidR="00D5306E" w:rsidRDefault="006D76AB">
      <w:pPr>
        <w:spacing w:line="360" w:lineRule="auto"/>
        <w:ind w:firstLineChars="225" w:firstLine="473"/>
        <w:rPr>
          <w:bCs/>
          <w:szCs w:val="21"/>
        </w:rPr>
        <w:sectPr w:rsidR="00D5306E">
          <w:footerReference w:type="first" r:id="rId39"/>
          <w:pgSz w:w="12240" w:h="15840"/>
          <w:pgMar w:top="1440" w:right="1800" w:bottom="1440" w:left="1800" w:header="720" w:footer="720" w:gutter="0"/>
          <w:pgNumType w:start="1"/>
          <w:cols w:space="720"/>
          <w:docGrid w:linePitch="286"/>
        </w:sectPr>
      </w:pPr>
      <w:r>
        <w:rPr>
          <w:rFonts w:hint="eastAsia"/>
          <w:bCs/>
          <w:szCs w:val="21"/>
        </w:rPr>
        <w:t>本基金实施侧袋机制的，侧袋账户不进行收益分配，详见本招募说明书“侧袋机制”章节的规定。</w:t>
      </w:r>
    </w:p>
    <w:p w:rsidR="00D5306E" w:rsidRDefault="006D76AB">
      <w:pPr>
        <w:pStyle w:val="11"/>
        <w:snapToGrid w:val="0"/>
        <w:spacing w:before="0" w:after="0" w:line="360" w:lineRule="auto"/>
        <w:ind w:firstLineChars="150" w:firstLine="422"/>
        <w:rPr>
          <w:rFonts w:ascii="Arial Unicode MS" w:eastAsia="宋体" w:hAnsi="Arial Unicode MS" w:cs="Arial"/>
          <w:b/>
          <w:bCs/>
          <w:sz w:val="28"/>
          <w:szCs w:val="28"/>
        </w:rPr>
      </w:pPr>
      <w:bookmarkStart w:id="108" w:name="_Toc335232701"/>
      <w:bookmarkStart w:id="109" w:name="_Toc320887652"/>
      <w:bookmarkStart w:id="110" w:name="_Toc317088547"/>
      <w:bookmarkStart w:id="111" w:name="_Toc21073401"/>
      <w:bookmarkStart w:id="112" w:name="_Toc47604317"/>
      <w:bookmarkStart w:id="113" w:name="_Toc429490290"/>
      <w:bookmarkStart w:id="114" w:name="_Toc214873602"/>
      <w:bookmarkStart w:id="115" w:name="_Toc317088150"/>
      <w:bookmarkStart w:id="116" w:name="_Toc147463128"/>
      <w:bookmarkStart w:id="117" w:name="_Toc12357181"/>
      <w:bookmarkStart w:id="118" w:name="_Toc47622425"/>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基金费用与税收</w:t>
      </w:r>
      <w:bookmarkEnd w:id="108"/>
      <w:bookmarkEnd w:id="109"/>
      <w:bookmarkEnd w:id="110"/>
      <w:bookmarkEnd w:id="111"/>
      <w:bookmarkEnd w:id="112"/>
      <w:bookmarkEnd w:id="113"/>
      <w:bookmarkEnd w:id="114"/>
      <w:bookmarkEnd w:id="115"/>
      <w:bookmarkEnd w:id="116"/>
      <w:bookmarkEnd w:id="117"/>
      <w:bookmarkEnd w:id="118"/>
    </w:p>
    <w:p w:rsidR="00D5306E" w:rsidRDefault="00D5306E">
      <w:pPr>
        <w:snapToGrid w:val="0"/>
        <w:spacing w:line="360" w:lineRule="auto"/>
        <w:ind w:firstLineChars="200" w:firstLine="422"/>
        <w:rPr>
          <w:rFonts w:ascii="Arial Unicode MS" w:hAnsi="Arial Unicode MS" w:cs="Arial"/>
          <w:b/>
          <w:szCs w:val="21"/>
        </w:rPr>
      </w:pPr>
    </w:p>
    <w:p w:rsidR="00D5306E" w:rsidRDefault="006D76AB">
      <w:pPr>
        <w:spacing w:line="360" w:lineRule="auto"/>
        <w:ind w:firstLineChars="200" w:firstLine="482"/>
        <w:rPr>
          <w:rFonts w:ascii="Arial Unicode MS" w:hAnsi="Arial Unicode MS" w:cs="Arial"/>
          <w:b/>
          <w:szCs w:val="21"/>
        </w:rPr>
      </w:pPr>
      <w:r>
        <w:rPr>
          <w:b/>
          <w:bCs/>
          <w:sz w:val="24"/>
          <w:szCs w:val="20"/>
        </w:rPr>
        <w:t>一</w:t>
      </w:r>
      <w:r>
        <w:rPr>
          <w:rFonts w:ascii="Arial Unicode MS" w:hAnsi="Arial Unicode MS" w:cs="Arial"/>
          <w:b/>
          <w:szCs w:val="21"/>
        </w:rPr>
        <w:t>、基金费用的种类</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、基金管理人的管理费；</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、基金托管人的托管费；</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类基金份额的销售服务费；</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、《基金合同》生效后与基金相关的信息披露费用，法律法规、中国证监会另有规定的除外；</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、《基金合同》生效后与基金相关的会计师费、律师费、公证费、诉讼费和仲裁费；</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、基金份额持有人大会费用；</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、基金的证券、期货、股票期权交易费用；</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8</w:t>
      </w:r>
      <w:r>
        <w:rPr>
          <w:rFonts w:ascii="Arial Unicode MS" w:hAnsi="Arial Unicode MS" w:cs="Arial" w:hint="eastAsia"/>
          <w:szCs w:val="21"/>
        </w:rPr>
        <w:t>、基金的银行汇划费用；</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9</w:t>
      </w:r>
      <w:r>
        <w:rPr>
          <w:rFonts w:ascii="Arial Unicode MS" w:hAnsi="Arial Unicode MS" w:cs="Arial" w:hint="eastAsia"/>
          <w:szCs w:val="21"/>
        </w:rPr>
        <w:t>、账户开户费用、账户维护费用；</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10</w:t>
      </w:r>
      <w:r>
        <w:rPr>
          <w:rFonts w:ascii="Arial Unicode MS" w:hAnsi="Arial Unicode MS" w:cs="Arial" w:hint="eastAsia"/>
          <w:szCs w:val="21"/>
        </w:rPr>
        <w:t>、因投资港股通标的股票而产生的各项合理费用；</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11</w:t>
      </w:r>
      <w:r>
        <w:rPr>
          <w:rFonts w:ascii="Arial Unicode MS" w:hAnsi="Arial Unicode MS" w:cs="Arial" w:hint="eastAsia"/>
          <w:szCs w:val="21"/>
        </w:rPr>
        <w:t>、按照国家有关规定和《基金合同》约定，可以在基金财产中列支的其他费用。</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b/>
          <w:szCs w:val="21"/>
        </w:rPr>
        <w:t>二、基金费用计提方法、计提标准和支付方式</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、基金管理人的管理费</w:t>
      </w:r>
      <w:r>
        <w:rPr>
          <w:rFonts w:ascii="Arial Unicode MS" w:hAnsi="Arial Unicode MS" w:cs="Arial" w:hint="eastAsia"/>
          <w:szCs w:val="21"/>
        </w:rPr>
        <w:t xml:space="preserve"> </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本基金的管理费按前一日基金资产净值的</w:t>
      </w:r>
      <w:r>
        <w:rPr>
          <w:rFonts w:ascii="Arial Unicode MS" w:hAnsi="Arial Unicode MS" w:cs="Arial" w:hint="eastAsia"/>
          <w:szCs w:val="21"/>
        </w:rPr>
        <w:t>1.50%</w:t>
      </w:r>
      <w:r>
        <w:rPr>
          <w:rFonts w:ascii="Arial Unicode MS" w:hAnsi="Arial Unicode MS" w:cs="Arial" w:hint="eastAsia"/>
          <w:szCs w:val="21"/>
        </w:rPr>
        <w:t>年费率计提。管理费的计算方法如下：</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w:t>
      </w:r>
      <w:r>
        <w:rPr>
          <w:rFonts w:ascii="Arial Unicode MS" w:hAnsi="Arial Unicode MS" w:cs="Arial" w:hint="eastAsia"/>
          <w:szCs w:val="21"/>
        </w:rPr>
        <w:t>E</w:t>
      </w:r>
      <w:r>
        <w:rPr>
          <w:rFonts w:ascii="Arial Unicode MS" w:hAnsi="Arial Unicode MS" w:cs="Arial" w:hint="eastAsia"/>
          <w:szCs w:val="21"/>
        </w:rPr>
        <w:t>×</w:t>
      </w:r>
      <w:r>
        <w:rPr>
          <w:rFonts w:ascii="Arial Unicode MS" w:hAnsi="Arial Unicode MS" w:cs="Arial" w:hint="eastAsia"/>
          <w:szCs w:val="21"/>
        </w:rPr>
        <w:t>1.50%</w:t>
      </w:r>
      <w:r>
        <w:rPr>
          <w:rFonts w:ascii="Arial Unicode MS" w:hAnsi="Arial Unicode MS" w:cs="Arial" w:hint="eastAsia"/>
          <w:szCs w:val="21"/>
        </w:rPr>
        <w:t>÷当年天数</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为每日应计提的基金管理费</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E</w:t>
      </w:r>
      <w:r>
        <w:rPr>
          <w:rFonts w:ascii="Arial Unicode MS" w:hAnsi="Arial Unicode MS" w:cs="Arial" w:hint="eastAsia"/>
          <w:szCs w:val="21"/>
        </w:rPr>
        <w:t>为前一日的基金资产净值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基金管理费每日计提，逐日累计至每月月末，按月支付，经基金管理人与基金托管人双方核对无误后，基金托管人按照与基金管理人协商一致的方式于次月前</w:t>
      </w:r>
      <w:r>
        <w:rPr>
          <w:rFonts w:ascii="Arial Unicode MS" w:hAnsi="Arial Unicode MS" w:cs="Arial" w:hint="eastAsia"/>
          <w:szCs w:val="21"/>
        </w:rPr>
        <w:t>3</w:t>
      </w:r>
      <w:r>
        <w:rPr>
          <w:rFonts w:ascii="Arial Unicode MS" w:hAnsi="Arial Unicode MS" w:cs="Arial" w:hint="eastAsia"/>
          <w:szCs w:val="21"/>
        </w:rPr>
        <w:t>个工作日内从基金财产中一次性支付给基金管理人。若遇法定节假日、公休假或不可抗力等，支付日期顺延。</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、基金托管人的托管费</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本基金的托管费按前一日基金资产净值的</w:t>
      </w:r>
      <w:r>
        <w:rPr>
          <w:rFonts w:ascii="Arial Unicode MS" w:hAnsi="Arial Unicode MS" w:cs="Arial" w:hint="eastAsia"/>
          <w:szCs w:val="21"/>
        </w:rPr>
        <w:t>0.25%</w:t>
      </w:r>
      <w:r>
        <w:rPr>
          <w:rFonts w:ascii="Arial Unicode MS" w:hAnsi="Arial Unicode MS" w:cs="Arial" w:hint="eastAsia"/>
          <w:szCs w:val="21"/>
        </w:rPr>
        <w:t>年费率计提。托管费的计算方法如下：</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H</w:t>
      </w:r>
      <w:r>
        <w:rPr>
          <w:rFonts w:ascii="Arial Unicode MS" w:hAnsi="Arial Unicode MS" w:cs="Arial" w:hint="eastAsia"/>
          <w:szCs w:val="21"/>
        </w:rPr>
        <w:t>＝</w:t>
      </w:r>
      <w:r>
        <w:rPr>
          <w:rFonts w:ascii="Arial Unicode MS" w:hAnsi="Arial Unicode MS" w:cs="Arial" w:hint="eastAsia"/>
          <w:szCs w:val="21"/>
        </w:rPr>
        <w:t>E</w:t>
      </w:r>
      <w:r>
        <w:rPr>
          <w:rFonts w:ascii="Arial Unicode MS" w:hAnsi="Arial Unicode MS" w:cs="Arial" w:hint="eastAsia"/>
          <w:szCs w:val="21"/>
        </w:rPr>
        <w:t>×</w:t>
      </w:r>
      <w:r>
        <w:rPr>
          <w:rFonts w:ascii="Arial Unicode MS" w:hAnsi="Arial Unicode MS" w:cs="Arial" w:hint="eastAsia"/>
          <w:szCs w:val="21"/>
        </w:rPr>
        <w:t>0.25%</w:t>
      </w:r>
      <w:r>
        <w:rPr>
          <w:rFonts w:ascii="Arial Unicode MS" w:hAnsi="Arial Unicode MS" w:cs="Arial" w:hint="eastAsia"/>
          <w:szCs w:val="21"/>
        </w:rPr>
        <w:t>÷当年天数</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为每日应计提的基金托管费</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E</w:t>
      </w:r>
      <w:r>
        <w:rPr>
          <w:rFonts w:ascii="Arial Unicode MS" w:hAnsi="Arial Unicode MS" w:cs="Arial" w:hint="eastAsia"/>
          <w:szCs w:val="21"/>
        </w:rPr>
        <w:t>为前一日的基金资产净值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基金托管费每日计提，逐日累计至每月月末，按月支付，经基金管理人与基金托管人双方核对无误后，基金托管人按照与基金管理人协商一致的方式于次月前</w:t>
      </w:r>
      <w:r>
        <w:rPr>
          <w:rFonts w:ascii="Arial Unicode MS" w:hAnsi="Arial Unicode MS" w:cs="Arial" w:hint="eastAsia"/>
          <w:szCs w:val="21"/>
        </w:rPr>
        <w:t>3</w:t>
      </w:r>
      <w:r>
        <w:rPr>
          <w:rFonts w:ascii="Arial Unicode MS" w:hAnsi="Arial Unicode MS" w:cs="Arial" w:hint="eastAsia"/>
          <w:szCs w:val="21"/>
        </w:rPr>
        <w:t>个工作日内从基金财产中一次性支取。若遇法定节假日、公休假或不可抗力等，支付日期顺延。</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类份额的销售服务费</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类基金份额不收取销售服务费，</w:t>
      </w:r>
      <w:r>
        <w:rPr>
          <w:rFonts w:ascii="Arial Unicode MS" w:hAnsi="Arial Unicode MS" w:cs="Arial" w:hint="eastAsia"/>
          <w:szCs w:val="21"/>
        </w:rPr>
        <w:t>C</w:t>
      </w:r>
      <w:r>
        <w:rPr>
          <w:rFonts w:ascii="Arial Unicode MS" w:hAnsi="Arial Unicode MS" w:cs="Arial" w:hint="eastAsia"/>
          <w:szCs w:val="21"/>
        </w:rPr>
        <w:t>类基金份额的销售服务费年费率为</w:t>
      </w:r>
      <w:r>
        <w:rPr>
          <w:rFonts w:ascii="Arial Unicode MS" w:hAnsi="Arial Unicode MS" w:cs="Arial" w:hint="eastAsia"/>
          <w:szCs w:val="21"/>
        </w:rPr>
        <w:t>0.60%</w:t>
      </w:r>
      <w:r>
        <w:rPr>
          <w:rFonts w:ascii="Arial Unicode MS" w:hAnsi="Arial Unicode MS" w:cs="Arial" w:hint="eastAsia"/>
          <w:szCs w:val="21"/>
        </w:rPr>
        <w:t>。</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本基金销售服务费按前一日</w:t>
      </w:r>
      <w:r>
        <w:rPr>
          <w:rFonts w:ascii="Arial Unicode MS" w:hAnsi="Arial Unicode MS" w:cs="Arial" w:hint="eastAsia"/>
          <w:szCs w:val="21"/>
        </w:rPr>
        <w:t>C</w:t>
      </w:r>
      <w:r>
        <w:rPr>
          <w:rFonts w:ascii="Arial Unicode MS" w:hAnsi="Arial Unicode MS" w:cs="Arial" w:hint="eastAsia"/>
          <w:szCs w:val="21"/>
        </w:rPr>
        <w:t>类基金资产净值的</w:t>
      </w:r>
      <w:r>
        <w:rPr>
          <w:rFonts w:ascii="Arial Unicode MS" w:hAnsi="Arial Unicode MS" w:cs="Arial" w:hint="eastAsia"/>
          <w:szCs w:val="21"/>
        </w:rPr>
        <w:t>0.60%</w:t>
      </w:r>
      <w:r>
        <w:rPr>
          <w:rFonts w:ascii="Arial Unicode MS" w:hAnsi="Arial Unicode MS" w:cs="Arial" w:hint="eastAsia"/>
          <w:szCs w:val="21"/>
        </w:rPr>
        <w:t>年费率计提。计算方法如下：</w:t>
      </w:r>
      <w:r>
        <w:rPr>
          <w:rFonts w:ascii="Arial Unicode MS" w:hAnsi="Arial Unicode MS" w:cs="Arial" w:hint="eastAsia"/>
          <w:szCs w:val="21"/>
        </w:rPr>
        <w:t xml:space="preserve"> </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w:t>
      </w:r>
      <w:r>
        <w:rPr>
          <w:rFonts w:ascii="Arial Unicode MS" w:hAnsi="Arial Unicode MS" w:cs="Arial" w:hint="eastAsia"/>
          <w:szCs w:val="21"/>
        </w:rPr>
        <w:t>E</w:t>
      </w:r>
      <w:r>
        <w:rPr>
          <w:rFonts w:ascii="Arial Unicode MS" w:hAnsi="Arial Unicode MS" w:cs="Arial" w:hint="eastAsia"/>
          <w:szCs w:val="21"/>
        </w:rPr>
        <w:t>×年销售服务费率÷当年天数</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为</w:t>
      </w:r>
      <w:r>
        <w:rPr>
          <w:rFonts w:ascii="Arial Unicode MS" w:hAnsi="Arial Unicode MS" w:cs="Arial" w:hint="eastAsia"/>
          <w:szCs w:val="21"/>
        </w:rPr>
        <w:t>C</w:t>
      </w:r>
      <w:r>
        <w:rPr>
          <w:rFonts w:ascii="Arial Unicode MS" w:hAnsi="Arial Unicode MS" w:cs="Arial" w:hint="eastAsia"/>
          <w:szCs w:val="21"/>
        </w:rPr>
        <w:t>类基金份额每日应计提的销售服务费</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E</w:t>
      </w:r>
      <w:r>
        <w:rPr>
          <w:rFonts w:ascii="Arial Unicode MS" w:hAnsi="Arial Unicode MS" w:cs="Arial" w:hint="eastAsia"/>
          <w:szCs w:val="21"/>
        </w:rPr>
        <w:t>为</w:t>
      </w:r>
      <w:r>
        <w:rPr>
          <w:rFonts w:ascii="Arial Unicode MS" w:hAnsi="Arial Unicode MS" w:cs="Arial" w:hint="eastAsia"/>
          <w:szCs w:val="21"/>
        </w:rPr>
        <w:t>C</w:t>
      </w:r>
      <w:r>
        <w:rPr>
          <w:rFonts w:ascii="Arial Unicode MS" w:hAnsi="Arial Unicode MS" w:cs="Arial" w:hint="eastAsia"/>
          <w:szCs w:val="21"/>
        </w:rPr>
        <w:t>类基金份额前一日基金资产净值</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基金销售服务费每日计提，逐日累计至每月月末，按月支付，经基金管理人与基金托管人双方核对无误后，基金托管人按照与基金管理人协商一致的方式于次月前</w:t>
      </w:r>
      <w:r>
        <w:rPr>
          <w:rFonts w:ascii="Arial Unicode MS" w:hAnsi="Arial Unicode MS" w:cs="Arial" w:hint="eastAsia"/>
          <w:szCs w:val="21"/>
        </w:rPr>
        <w:t>3</w:t>
      </w:r>
      <w:r>
        <w:rPr>
          <w:rFonts w:ascii="Arial Unicode MS" w:hAnsi="Arial Unicode MS" w:cs="Arial" w:hint="eastAsia"/>
          <w:szCs w:val="21"/>
        </w:rPr>
        <w:t>个工作日内从基金财产中一次性支付。若遇法定节假日、公休假或不可抗力等，支付日期顺延。</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上述“一、基金费用的种类”中第</w:t>
      </w:r>
      <w:r>
        <w:rPr>
          <w:rFonts w:ascii="Arial Unicode MS" w:hAnsi="Arial Unicode MS" w:cs="Arial" w:hint="eastAsia"/>
          <w:szCs w:val="21"/>
        </w:rPr>
        <w:t>4</w:t>
      </w:r>
      <w:r>
        <w:rPr>
          <w:rFonts w:ascii="Arial Unicode MS" w:hAnsi="Arial Unicode MS" w:cs="Arial" w:hint="eastAsia"/>
          <w:szCs w:val="21"/>
        </w:rPr>
        <w:t>－</w:t>
      </w:r>
      <w:r>
        <w:rPr>
          <w:rFonts w:ascii="Arial Unicode MS" w:hAnsi="Arial Unicode MS" w:cs="Arial" w:hint="eastAsia"/>
          <w:szCs w:val="21"/>
        </w:rPr>
        <w:t>11</w:t>
      </w:r>
      <w:r>
        <w:rPr>
          <w:rFonts w:ascii="Arial Unicode MS" w:hAnsi="Arial Unicode MS" w:cs="Arial" w:hint="eastAsia"/>
          <w:szCs w:val="21"/>
        </w:rPr>
        <w:t>项费用，根据有关法规及相应协议规定，按费用实际支出金额列入当期费用，由基金托管人从基金财产中支付。</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b/>
          <w:szCs w:val="21"/>
        </w:rPr>
        <w:t>三、不列入基金费用的项目</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下列费用不列入基金费用：</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、基金管理人和基金托管人因未履行或未完全履行义务导致的费用支出或基金财产的损失；</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、基金管理人和基金托管人处理与基金运作无关的事项发生的费用；</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、《基金合同》生效前的相关费用；</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、其他根据相关法律法规及中国证监会的有关规定不得列入基金费用的项目。</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四、实施侧袋机制期间的基金费用</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本基金实施侧袋机制的，与侧袋账户有关的费用可以从侧袋账户中列支，但应待侧袋账户资产变现后方可列支，有关费用可酌情收取或减免，但不得收取管理费，详见本招募说明书“侧袋机制”章节的规定。</w:t>
      </w:r>
    </w:p>
    <w:p w:rsidR="00D5306E" w:rsidRDefault="006D76AB">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、基金税收</w:t>
      </w:r>
    </w:p>
    <w:p w:rsidR="00D5306E" w:rsidRDefault="006D76AB">
      <w:pPr>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本基金运作过程中涉及的各纳税主体，其纳税义务按国家税收法律、法规执行。基金财产投资的相关税收，由基金份额持有人承担，基金管理人或者其他扣缴义务人按照国家有关税收征收的规定代扣代缴。</w:t>
      </w:r>
    </w:p>
    <w:p w:rsidR="00D5306E" w:rsidRDefault="00D5306E">
      <w:pPr>
        <w:spacing w:line="360" w:lineRule="auto"/>
        <w:rPr>
          <w:rFonts w:ascii="Arial Unicode MS" w:hAnsi="Arial Unicode MS"/>
          <w:bCs/>
          <w:szCs w:val="21"/>
        </w:rPr>
        <w:sectPr w:rsidR="00D5306E">
          <w:footerReference w:type="default" r:id="rId40"/>
          <w:footerReference w:type="first" r:id="rId41"/>
          <w:pgSz w:w="11906" w:h="16838"/>
          <w:pgMar w:top="1440" w:right="1800" w:bottom="1440" w:left="1800" w:header="851" w:footer="992" w:gutter="0"/>
          <w:pgNumType w:start="1"/>
          <w:cols w:space="720"/>
          <w:docGrid w:linePitch="312"/>
        </w:sectPr>
      </w:pPr>
    </w:p>
    <w:p w:rsidR="00D5306E" w:rsidRDefault="006D76AB">
      <w:pPr>
        <w:pStyle w:val="11"/>
        <w:snapToGrid w:val="0"/>
        <w:spacing w:before="0" w:after="0" w:line="360" w:lineRule="auto"/>
        <w:ind w:firstLineChars="150" w:firstLine="422"/>
        <w:rPr>
          <w:rFonts w:ascii="Arial Unicode MS" w:eastAsia="宋体" w:hAnsi="Arial Unicode MS" w:cs="Arial"/>
          <w:b/>
          <w:bCs/>
          <w:sz w:val="28"/>
          <w:szCs w:val="28"/>
        </w:rPr>
      </w:pPr>
      <w:bookmarkStart w:id="119" w:name="_Hlt88827255"/>
      <w:bookmarkStart w:id="120" w:name="_Toc335232702"/>
      <w:bookmarkStart w:id="121" w:name="_Toc317088548"/>
      <w:bookmarkStart w:id="122" w:name="_Toc317088151"/>
      <w:bookmarkStart w:id="123" w:name="_Toc429490291"/>
      <w:bookmarkStart w:id="124" w:name="_Toc47622426"/>
      <w:bookmarkStart w:id="125" w:name="_Toc214873603"/>
      <w:bookmarkStart w:id="126" w:name="_Toc47604318"/>
      <w:bookmarkStart w:id="127" w:name="_Toc320887653"/>
      <w:bookmarkEnd w:id="119"/>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四</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基金的会计与审计</w:t>
      </w:r>
      <w:bookmarkEnd w:id="120"/>
      <w:bookmarkEnd w:id="121"/>
      <w:bookmarkEnd w:id="122"/>
      <w:bookmarkEnd w:id="123"/>
      <w:bookmarkEnd w:id="124"/>
      <w:bookmarkEnd w:id="125"/>
      <w:bookmarkEnd w:id="126"/>
      <w:bookmarkEnd w:id="127"/>
    </w:p>
    <w:p w:rsidR="00D5306E" w:rsidRDefault="00D5306E">
      <w:pPr>
        <w:spacing w:line="360" w:lineRule="auto"/>
        <w:rPr>
          <w:rFonts w:ascii="Arial Unicode MS" w:hAnsi="Arial Unicode MS"/>
        </w:rPr>
      </w:pPr>
    </w:p>
    <w:p w:rsidR="00D5306E" w:rsidRDefault="006D76AB">
      <w:pPr>
        <w:spacing w:line="360" w:lineRule="auto"/>
        <w:ind w:firstLineChars="200" w:firstLine="422"/>
        <w:rPr>
          <w:rFonts w:ascii="Arial Unicode MS" w:hAnsi="Arial Unicode MS"/>
          <w:b/>
          <w:bCs/>
          <w:szCs w:val="21"/>
        </w:rPr>
      </w:pPr>
      <w:bookmarkStart w:id="128" w:name="_Toc214873604"/>
      <w:bookmarkStart w:id="129" w:name="_Toc79978642"/>
      <w:r>
        <w:rPr>
          <w:rFonts w:ascii="Arial Unicode MS" w:hAnsi="Arial Unicode MS"/>
          <w:b/>
          <w:bCs/>
          <w:szCs w:val="21"/>
        </w:rPr>
        <w:t>一、基金会计政策</w:t>
      </w:r>
    </w:p>
    <w:p w:rsidR="00D5306E" w:rsidRDefault="006D76AB">
      <w:pPr>
        <w:spacing w:line="360" w:lineRule="auto"/>
        <w:ind w:firstLineChars="200" w:firstLine="420"/>
        <w:rPr>
          <w:rFonts w:ascii="Arial Unicode MS" w:hAnsi="Arial Unicode MS"/>
          <w:bCs/>
          <w:szCs w:val="21"/>
        </w:rPr>
      </w:pPr>
      <w:r>
        <w:rPr>
          <w:rFonts w:ascii="Arial Unicode MS" w:hAnsi="Arial Unicode MS"/>
          <w:bCs/>
          <w:szCs w:val="21"/>
        </w:rPr>
        <w:t>1</w:t>
      </w:r>
      <w:r>
        <w:rPr>
          <w:rFonts w:ascii="Arial Unicode MS" w:hAnsi="Arial Unicode MS"/>
          <w:bCs/>
          <w:szCs w:val="21"/>
        </w:rPr>
        <w:t>、基金管理人为本基金的基金会计责任方；</w:t>
      </w:r>
    </w:p>
    <w:p w:rsidR="00D5306E" w:rsidRDefault="006D76AB">
      <w:pPr>
        <w:spacing w:line="360" w:lineRule="auto"/>
        <w:ind w:firstLineChars="200" w:firstLine="420"/>
        <w:rPr>
          <w:rFonts w:ascii="Arial Unicode MS" w:hAnsi="Arial Unicode MS"/>
          <w:bCs/>
          <w:szCs w:val="21"/>
        </w:rPr>
      </w:pPr>
      <w:r>
        <w:rPr>
          <w:rFonts w:ascii="Arial Unicode MS" w:hAnsi="Arial Unicode MS"/>
          <w:bCs/>
          <w:szCs w:val="21"/>
        </w:rPr>
        <w:t>2</w:t>
      </w:r>
      <w:r>
        <w:rPr>
          <w:rFonts w:ascii="Arial Unicode MS" w:hAnsi="Arial Unicode MS"/>
          <w:bCs/>
          <w:szCs w:val="21"/>
        </w:rPr>
        <w:t>、基金的会计年度为公历年度的</w:t>
      </w:r>
      <w:r>
        <w:rPr>
          <w:rFonts w:ascii="Arial Unicode MS" w:hAnsi="Arial Unicode MS"/>
          <w:bCs/>
          <w:szCs w:val="21"/>
        </w:rPr>
        <w:t>1</w:t>
      </w:r>
      <w:r>
        <w:rPr>
          <w:rFonts w:ascii="Arial Unicode MS" w:hAnsi="Arial Unicode MS"/>
          <w:bCs/>
          <w:szCs w:val="21"/>
        </w:rPr>
        <w:t>月</w:t>
      </w:r>
      <w:r>
        <w:rPr>
          <w:rFonts w:ascii="Arial Unicode MS" w:hAnsi="Arial Unicode MS"/>
          <w:bCs/>
          <w:szCs w:val="21"/>
        </w:rPr>
        <w:t>1</w:t>
      </w:r>
      <w:r>
        <w:rPr>
          <w:rFonts w:ascii="Arial Unicode MS" w:hAnsi="Arial Unicode MS"/>
          <w:bCs/>
          <w:szCs w:val="21"/>
        </w:rPr>
        <w:t>日至</w:t>
      </w:r>
      <w:r>
        <w:rPr>
          <w:rFonts w:ascii="Arial Unicode MS" w:hAnsi="Arial Unicode MS"/>
          <w:bCs/>
          <w:szCs w:val="21"/>
        </w:rPr>
        <w:t>12</w:t>
      </w:r>
      <w:r>
        <w:rPr>
          <w:rFonts w:ascii="Arial Unicode MS" w:hAnsi="Arial Unicode MS"/>
          <w:bCs/>
          <w:szCs w:val="21"/>
        </w:rPr>
        <w:t>月</w:t>
      </w:r>
      <w:r>
        <w:rPr>
          <w:rFonts w:ascii="Arial Unicode MS" w:hAnsi="Arial Unicode MS"/>
          <w:bCs/>
          <w:szCs w:val="21"/>
        </w:rPr>
        <w:t>31</w:t>
      </w:r>
      <w:r>
        <w:rPr>
          <w:rFonts w:ascii="Arial Unicode MS" w:hAnsi="Arial Unicode MS"/>
          <w:bCs/>
          <w:szCs w:val="21"/>
        </w:rPr>
        <w:t>日；基金首次募集的会计年度按如下原则：如果《基金合同》生效少于</w:t>
      </w:r>
      <w:r>
        <w:rPr>
          <w:rFonts w:ascii="Arial Unicode MS" w:hAnsi="Arial Unicode MS"/>
          <w:bCs/>
          <w:szCs w:val="21"/>
        </w:rPr>
        <w:t>2</w:t>
      </w:r>
      <w:r>
        <w:rPr>
          <w:rFonts w:ascii="Arial Unicode MS" w:hAnsi="Arial Unicode MS"/>
          <w:bCs/>
          <w:szCs w:val="21"/>
        </w:rPr>
        <w:t>个月，可以并入下一个会计年度</w:t>
      </w:r>
      <w:r>
        <w:rPr>
          <w:rFonts w:ascii="Arial Unicode MS" w:hAnsi="Arial Unicode MS" w:hint="eastAsia"/>
          <w:bCs/>
          <w:szCs w:val="21"/>
        </w:rPr>
        <w:t>披露</w:t>
      </w:r>
      <w:r>
        <w:rPr>
          <w:rFonts w:ascii="Arial Unicode MS" w:hAnsi="Arial Unicode MS"/>
          <w:bCs/>
          <w:szCs w:val="21"/>
        </w:rPr>
        <w:t>；</w:t>
      </w:r>
    </w:p>
    <w:p w:rsidR="00D5306E" w:rsidRDefault="006D76AB">
      <w:pPr>
        <w:spacing w:line="360" w:lineRule="auto"/>
        <w:ind w:firstLineChars="200" w:firstLine="420"/>
        <w:rPr>
          <w:rFonts w:ascii="Arial Unicode MS" w:hAnsi="Arial Unicode MS"/>
          <w:bCs/>
          <w:szCs w:val="21"/>
        </w:rPr>
      </w:pPr>
      <w:r>
        <w:rPr>
          <w:rFonts w:ascii="Arial Unicode MS" w:hAnsi="Arial Unicode MS"/>
          <w:bCs/>
          <w:szCs w:val="21"/>
        </w:rPr>
        <w:t>3</w:t>
      </w:r>
      <w:r>
        <w:rPr>
          <w:rFonts w:ascii="Arial Unicode MS" w:hAnsi="Arial Unicode MS"/>
          <w:bCs/>
          <w:szCs w:val="21"/>
        </w:rPr>
        <w:t>、基金核算以人民币为记账本位币，以人民币元为记账单位；</w:t>
      </w:r>
    </w:p>
    <w:p w:rsidR="00D5306E" w:rsidRDefault="006D76AB">
      <w:pPr>
        <w:spacing w:line="360" w:lineRule="auto"/>
        <w:ind w:firstLineChars="200" w:firstLine="420"/>
        <w:rPr>
          <w:rFonts w:ascii="Arial Unicode MS" w:hAnsi="Arial Unicode MS"/>
          <w:bCs/>
          <w:szCs w:val="21"/>
        </w:rPr>
      </w:pPr>
      <w:r>
        <w:rPr>
          <w:rFonts w:ascii="Arial Unicode MS" w:hAnsi="Arial Unicode MS"/>
          <w:bCs/>
          <w:szCs w:val="21"/>
        </w:rPr>
        <w:t>4</w:t>
      </w:r>
      <w:r>
        <w:rPr>
          <w:rFonts w:ascii="Arial Unicode MS" w:hAnsi="Arial Unicode MS"/>
          <w:bCs/>
          <w:szCs w:val="21"/>
        </w:rPr>
        <w:t>、会计制度执行国家有关会计制度；</w:t>
      </w:r>
    </w:p>
    <w:p w:rsidR="00D5306E" w:rsidRDefault="006D76AB">
      <w:pPr>
        <w:spacing w:line="360" w:lineRule="auto"/>
        <w:ind w:firstLineChars="200" w:firstLine="420"/>
        <w:rPr>
          <w:rFonts w:ascii="Arial Unicode MS" w:hAnsi="Arial Unicode MS"/>
          <w:bCs/>
          <w:szCs w:val="21"/>
        </w:rPr>
      </w:pPr>
      <w:r>
        <w:rPr>
          <w:rFonts w:ascii="Arial Unicode MS" w:hAnsi="Arial Unicode MS"/>
          <w:bCs/>
          <w:szCs w:val="21"/>
        </w:rPr>
        <w:t>5</w:t>
      </w:r>
      <w:r>
        <w:rPr>
          <w:rFonts w:ascii="Arial Unicode MS" w:hAnsi="Arial Unicode MS"/>
          <w:bCs/>
          <w:szCs w:val="21"/>
        </w:rPr>
        <w:t>、本基金独立建账、独立核算；</w:t>
      </w:r>
    </w:p>
    <w:p w:rsidR="00D5306E" w:rsidRDefault="006D76AB">
      <w:pPr>
        <w:spacing w:line="360" w:lineRule="auto"/>
        <w:ind w:firstLineChars="200" w:firstLine="420"/>
        <w:rPr>
          <w:rFonts w:ascii="Arial Unicode MS" w:hAnsi="Arial Unicode MS"/>
          <w:bCs/>
          <w:szCs w:val="21"/>
        </w:rPr>
      </w:pPr>
      <w:r>
        <w:rPr>
          <w:rFonts w:ascii="Arial Unicode MS" w:hAnsi="Arial Unicode MS"/>
          <w:bCs/>
          <w:szCs w:val="21"/>
        </w:rPr>
        <w:t>6</w:t>
      </w:r>
      <w:r>
        <w:rPr>
          <w:rFonts w:ascii="Arial Unicode MS" w:hAnsi="Arial Unicode MS"/>
          <w:bCs/>
          <w:szCs w:val="21"/>
        </w:rPr>
        <w:t>、基金管理人及基金托管人各自保留完整的会计账目、凭证并进行日常的会计核算，按照有关规定编制基金会计报表；</w:t>
      </w:r>
    </w:p>
    <w:p w:rsidR="00D5306E" w:rsidRDefault="006D76AB">
      <w:pPr>
        <w:spacing w:line="360" w:lineRule="auto"/>
        <w:ind w:firstLineChars="200" w:firstLine="420"/>
        <w:rPr>
          <w:rFonts w:ascii="Arial Unicode MS" w:hAnsi="Arial Unicode MS"/>
          <w:bCs/>
          <w:szCs w:val="21"/>
        </w:rPr>
      </w:pPr>
      <w:r>
        <w:rPr>
          <w:rFonts w:ascii="Arial Unicode MS" w:hAnsi="Arial Unicode MS"/>
          <w:bCs/>
          <w:szCs w:val="21"/>
        </w:rPr>
        <w:t>7</w:t>
      </w:r>
      <w:r>
        <w:rPr>
          <w:rFonts w:ascii="Arial Unicode MS" w:hAnsi="Arial Unicode MS"/>
          <w:bCs/>
          <w:szCs w:val="21"/>
        </w:rPr>
        <w:t>、基金托管人每月与基金管理人就基金的会计核算、报表编制等进行核对并以书面方式确认。</w:t>
      </w:r>
    </w:p>
    <w:p w:rsidR="00D5306E" w:rsidRDefault="006D76AB">
      <w:pPr>
        <w:spacing w:line="360" w:lineRule="auto"/>
        <w:ind w:firstLineChars="200" w:firstLine="422"/>
        <w:rPr>
          <w:rFonts w:ascii="Arial Unicode MS" w:hAnsi="Arial Unicode MS"/>
          <w:b/>
          <w:bCs/>
          <w:szCs w:val="21"/>
        </w:rPr>
      </w:pPr>
      <w:r>
        <w:rPr>
          <w:rFonts w:ascii="Arial Unicode MS" w:hAnsi="Arial Unicode MS"/>
          <w:b/>
          <w:bCs/>
          <w:szCs w:val="21"/>
        </w:rPr>
        <w:t>二、基金的年度审计</w:t>
      </w:r>
    </w:p>
    <w:p w:rsidR="00D5306E" w:rsidRDefault="006D76AB">
      <w:pPr>
        <w:spacing w:line="360" w:lineRule="auto"/>
        <w:ind w:firstLineChars="200" w:firstLine="420"/>
        <w:rPr>
          <w:rFonts w:ascii="Arial Unicode MS" w:hAnsi="Arial Unicode MS"/>
          <w:bCs/>
          <w:szCs w:val="21"/>
        </w:rPr>
      </w:pPr>
      <w:r>
        <w:rPr>
          <w:rFonts w:ascii="Arial Unicode MS" w:hAnsi="Arial Unicode MS"/>
          <w:bCs/>
          <w:szCs w:val="21"/>
        </w:rPr>
        <w:t>1</w:t>
      </w:r>
      <w:r>
        <w:rPr>
          <w:rFonts w:ascii="Arial Unicode MS" w:hAnsi="Arial Unicode MS"/>
          <w:bCs/>
          <w:szCs w:val="21"/>
        </w:rPr>
        <w:t>、基金管理人聘请与基金管理人、基金托管人相互独立的</w:t>
      </w:r>
      <w:r>
        <w:rPr>
          <w:rFonts w:ascii="Arial Unicode MS" w:hAnsi="Arial Unicode MS" w:hint="eastAsia"/>
          <w:bCs/>
          <w:szCs w:val="21"/>
        </w:rPr>
        <w:t>符合《证券法》规定</w:t>
      </w:r>
      <w:r>
        <w:rPr>
          <w:rFonts w:ascii="Arial Unicode MS" w:hAnsi="Arial Unicode MS"/>
          <w:bCs/>
          <w:szCs w:val="21"/>
        </w:rPr>
        <w:t>的会计师事务所及其注册会计师对本基金的年度财务报表进行审计。</w:t>
      </w:r>
    </w:p>
    <w:p w:rsidR="00D5306E" w:rsidRDefault="006D76AB">
      <w:pPr>
        <w:spacing w:line="360" w:lineRule="auto"/>
        <w:ind w:firstLineChars="200" w:firstLine="420"/>
        <w:rPr>
          <w:rFonts w:ascii="Arial Unicode MS" w:hAnsi="Arial Unicode MS"/>
          <w:bCs/>
          <w:szCs w:val="21"/>
        </w:rPr>
      </w:pPr>
      <w:r>
        <w:rPr>
          <w:rFonts w:ascii="Arial Unicode MS" w:hAnsi="Arial Unicode MS"/>
          <w:bCs/>
          <w:szCs w:val="21"/>
        </w:rPr>
        <w:t>2</w:t>
      </w:r>
      <w:r>
        <w:rPr>
          <w:rFonts w:ascii="Arial Unicode MS" w:hAnsi="Arial Unicode MS"/>
          <w:bCs/>
          <w:szCs w:val="21"/>
        </w:rPr>
        <w:t>、会计师事务所更换经办注册会计师，应事先征得基金管理人同意。</w:t>
      </w:r>
    </w:p>
    <w:p w:rsidR="00D5306E" w:rsidRDefault="006D76AB">
      <w:pPr>
        <w:spacing w:line="360" w:lineRule="auto"/>
        <w:ind w:firstLineChars="200" w:firstLine="420"/>
        <w:rPr>
          <w:rFonts w:ascii="Arial Unicode MS" w:hAnsi="Arial Unicode MS"/>
          <w:bCs/>
          <w:szCs w:val="21"/>
        </w:rPr>
      </w:pPr>
      <w:r>
        <w:rPr>
          <w:rFonts w:ascii="Arial Unicode MS" w:hAnsi="Arial Unicode MS"/>
          <w:bCs/>
          <w:szCs w:val="21"/>
        </w:rPr>
        <w:t>3</w:t>
      </w:r>
      <w:r>
        <w:rPr>
          <w:rFonts w:ascii="Arial Unicode MS" w:hAnsi="Arial Unicode MS"/>
          <w:bCs/>
          <w:szCs w:val="21"/>
        </w:rPr>
        <w:t>、</w:t>
      </w:r>
      <w:bookmarkStart w:id="130" w:name="_Hlt4221115"/>
      <w:bookmarkEnd w:id="130"/>
      <w:r>
        <w:rPr>
          <w:rFonts w:ascii="Arial Unicode MS" w:hAnsi="Arial Unicode MS"/>
          <w:bCs/>
          <w:szCs w:val="21"/>
        </w:rPr>
        <w:t>基金管理人认为有充足理由更换会计师事务所，须通报基金托管人。更换会计师事务所需</w:t>
      </w:r>
      <w:r>
        <w:rPr>
          <w:rFonts w:ascii="Arial Unicode MS" w:hAnsi="Arial Unicode MS" w:hint="eastAsia"/>
          <w:bCs/>
          <w:szCs w:val="21"/>
        </w:rPr>
        <w:t>按规定</w:t>
      </w:r>
      <w:r>
        <w:rPr>
          <w:rFonts w:ascii="Arial Unicode MS" w:hAnsi="Arial Unicode MS"/>
          <w:bCs/>
          <w:szCs w:val="21"/>
        </w:rPr>
        <w:t>在</w:t>
      </w:r>
      <w:r>
        <w:rPr>
          <w:rFonts w:ascii="Arial Unicode MS" w:hAnsi="Arial Unicode MS" w:hint="eastAsia"/>
          <w:bCs/>
          <w:szCs w:val="21"/>
        </w:rPr>
        <w:t>规定媒介</w:t>
      </w:r>
      <w:r>
        <w:rPr>
          <w:rFonts w:ascii="Arial Unicode MS" w:hAnsi="Arial Unicode MS"/>
          <w:bCs/>
          <w:szCs w:val="21"/>
        </w:rPr>
        <w:t>公告。</w:t>
      </w:r>
    </w:p>
    <w:p w:rsidR="00D5306E" w:rsidRDefault="00D5306E">
      <w:pPr>
        <w:spacing w:line="360" w:lineRule="auto"/>
        <w:rPr>
          <w:rFonts w:ascii="Arial Unicode MS" w:hAnsi="Arial Unicode MS"/>
          <w:bCs/>
          <w:szCs w:val="21"/>
        </w:rPr>
        <w:sectPr w:rsidR="00D5306E">
          <w:footerReference w:type="first" r:id="rId42"/>
          <w:pgSz w:w="11906" w:h="16838"/>
          <w:pgMar w:top="1440" w:right="1800" w:bottom="1440" w:left="1800" w:header="851" w:footer="992" w:gutter="0"/>
          <w:pgNumType w:start="1"/>
          <w:cols w:space="720"/>
          <w:docGrid w:linePitch="312"/>
        </w:sectPr>
      </w:pPr>
    </w:p>
    <w:p w:rsidR="00D5306E" w:rsidRDefault="006D76AB">
      <w:pPr>
        <w:pStyle w:val="11"/>
        <w:snapToGrid w:val="0"/>
        <w:spacing w:before="0" w:after="0" w:line="360" w:lineRule="auto"/>
        <w:ind w:firstLineChars="150" w:firstLine="422"/>
        <w:rPr>
          <w:rFonts w:ascii="Arial Unicode MS" w:eastAsia="宋体" w:hAnsi="Arial Unicode MS"/>
          <w:b/>
          <w:sz w:val="28"/>
          <w:szCs w:val="28"/>
        </w:rPr>
      </w:pPr>
      <w:bookmarkStart w:id="131" w:name="_Toc47622427"/>
      <w:bookmarkStart w:id="132" w:name="_Toc335232703"/>
      <w:bookmarkStart w:id="133" w:name="_Toc320887654"/>
      <w:bookmarkStart w:id="134" w:name="_Toc47604319"/>
      <w:bookmarkStart w:id="135" w:name="_Toc317088549"/>
      <w:bookmarkStart w:id="136" w:name="_Toc317088152"/>
      <w:bookmarkStart w:id="137" w:name="_Toc429490292"/>
      <w:r>
        <w:rPr>
          <w:rFonts w:ascii="Arial Unicode MS" w:eastAsia="宋体" w:hAnsi="Arial Unicode MS"/>
          <w:b/>
          <w:sz w:val="28"/>
          <w:szCs w:val="28"/>
        </w:rPr>
        <w:lastRenderedPageBreak/>
        <w:t>第十</w:t>
      </w:r>
      <w:r>
        <w:rPr>
          <w:rFonts w:ascii="Arial Unicode MS" w:eastAsia="宋体" w:hAnsi="Arial Unicode MS" w:hint="eastAsia"/>
          <w:b/>
          <w:sz w:val="28"/>
          <w:szCs w:val="28"/>
        </w:rPr>
        <w:t>五</w:t>
      </w:r>
      <w:r>
        <w:rPr>
          <w:rFonts w:ascii="Arial Unicode MS" w:eastAsia="宋体" w:hAnsi="Arial Unicode MS"/>
          <w:b/>
          <w:sz w:val="28"/>
          <w:szCs w:val="28"/>
        </w:rPr>
        <w:t>部分</w:t>
      </w:r>
      <w:r>
        <w:rPr>
          <w:rFonts w:ascii="Arial Unicode MS" w:eastAsia="宋体" w:hAnsi="Arial Unicode MS"/>
          <w:b/>
          <w:sz w:val="28"/>
          <w:szCs w:val="28"/>
        </w:rPr>
        <w:t xml:space="preserve">  </w:t>
      </w:r>
      <w:r>
        <w:rPr>
          <w:rFonts w:ascii="Arial Unicode MS" w:eastAsia="宋体" w:hAnsi="Arial Unicode MS"/>
          <w:b/>
          <w:sz w:val="28"/>
          <w:szCs w:val="28"/>
        </w:rPr>
        <w:t>基金的信息披露</w:t>
      </w:r>
      <w:bookmarkEnd w:id="131"/>
      <w:bookmarkEnd w:id="132"/>
      <w:bookmarkEnd w:id="133"/>
      <w:bookmarkEnd w:id="134"/>
      <w:bookmarkEnd w:id="135"/>
      <w:bookmarkEnd w:id="136"/>
      <w:bookmarkEnd w:id="137"/>
    </w:p>
    <w:p w:rsidR="00D5306E" w:rsidRDefault="00D5306E">
      <w:pPr>
        <w:spacing w:line="360" w:lineRule="auto"/>
        <w:rPr>
          <w:rFonts w:ascii="Arial Unicode MS" w:hAnsi="Arial Unicode MS"/>
        </w:rPr>
      </w:pPr>
    </w:p>
    <w:p w:rsidR="00D5306E" w:rsidRDefault="006D76AB">
      <w:pPr>
        <w:spacing w:line="360" w:lineRule="auto"/>
        <w:ind w:firstLineChars="200" w:firstLine="422"/>
        <w:rPr>
          <w:b/>
          <w:bCs/>
          <w:szCs w:val="21"/>
        </w:rPr>
      </w:pPr>
      <w:bookmarkStart w:id="138" w:name="_Toc320887655"/>
      <w:bookmarkStart w:id="139" w:name="_Toc335232704"/>
      <w:bookmarkStart w:id="140" w:name="_Toc21073398"/>
      <w:bookmarkStart w:id="141" w:name="_Toc317088153"/>
      <w:bookmarkStart w:id="142" w:name="_Toc12357178"/>
      <w:bookmarkStart w:id="143" w:name="_Toc317088550"/>
      <w:bookmarkStart w:id="144" w:name="_Toc147463125"/>
      <w:bookmarkStart w:id="145" w:name="_Toc214873605"/>
      <w:bookmarkEnd w:id="128"/>
      <w:bookmarkEnd w:id="129"/>
      <w:r>
        <w:rPr>
          <w:rFonts w:hint="eastAsia"/>
          <w:b/>
          <w:bCs/>
          <w:szCs w:val="21"/>
        </w:rPr>
        <w:t>一、本基金的信息披露应符合《基金法》、《运作办法》、《信息披露办法》、《流动性风险管理规定》、《基金合同》及其他有关规定。相关法律法规关于信息披露的规定发生变化时，本基金从其最新规定。</w:t>
      </w:r>
    </w:p>
    <w:p w:rsidR="00D5306E" w:rsidRDefault="006D76AB">
      <w:pPr>
        <w:spacing w:line="360" w:lineRule="auto"/>
        <w:ind w:firstLineChars="200" w:firstLine="422"/>
        <w:rPr>
          <w:b/>
          <w:bCs/>
          <w:szCs w:val="21"/>
        </w:rPr>
      </w:pPr>
      <w:r>
        <w:rPr>
          <w:rFonts w:hint="eastAsia"/>
          <w:b/>
          <w:bCs/>
          <w:szCs w:val="21"/>
        </w:rPr>
        <w:t>二、信息披露义务人</w:t>
      </w:r>
    </w:p>
    <w:p w:rsidR="00D5306E" w:rsidRDefault="006D76AB">
      <w:pPr>
        <w:spacing w:line="360" w:lineRule="auto"/>
        <w:ind w:firstLineChars="200" w:firstLine="420"/>
        <w:rPr>
          <w:bCs/>
          <w:szCs w:val="21"/>
        </w:rPr>
      </w:pPr>
      <w:r>
        <w:rPr>
          <w:rFonts w:hint="eastAsia"/>
          <w:bCs/>
          <w:szCs w:val="21"/>
        </w:rPr>
        <w:t>本基金信息披露义务人包括基金管理人、基金托管人、召集基金份额持有人大会的基金份额持有人等法律法规和中国证监会规定的自然人、法人和非法人组织。</w:t>
      </w:r>
    </w:p>
    <w:p w:rsidR="00D5306E" w:rsidRDefault="006D76AB">
      <w:pPr>
        <w:spacing w:line="360" w:lineRule="auto"/>
        <w:ind w:firstLineChars="200" w:firstLine="420"/>
        <w:rPr>
          <w:bCs/>
          <w:szCs w:val="21"/>
        </w:rPr>
      </w:pPr>
      <w:r>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rsidR="00D5306E" w:rsidRDefault="006D76AB">
      <w:pPr>
        <w:spacing w:line="360" w:lineRule="auto"/>
        <w:ind w:firstLineChars="200" w:firstLine="420"/>
        <w:rPr>
          <w:bCs/>
          <w:szCs w:val="21"/>
        </w:rPr>
      </w:pPr>
      <w:r>
        <w:rPr>
          <w:rFonts w:hint="eastAsia"/>
          <w:bCs/>
          <w:szCs w:val="21"/>
        </w:rPr>
        <w:t>本基金信息披露义务人应当在中国证监会规定时间内，将应予披露的基金信息通过符合中国证监会规定条件的全国性报刊（以下简称“规定报刊”）和《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rsidR="00D5306E" w:rsidRDefault="006D76AB">
      <w:pPr>
        <w:spacing w:line="360" w:lineRule="auto"/>
        <w:ind w:firstLineChars="200" w:firstLine="422"/>
        <w:rPr>
          <w:b/>
          <w:bCs/>
          <w:szCs w:val="21"/>
        </w:rPr>
      </w:pPr>
      <w:r>
        <w:rPr>
          <w:rFonts w:hint="eastAsia"/>
          <w:b/>
          <w:bCs/>
          <w:szCs w:val="21"/>
        </w:rPr>
        <w:t>三、本基金信息披露义务人承诺公开披露的基金信息，不得有下列行为：</w:t>
      </w:r>
    </w:p>
    <w:p w:rsidR="00D5306E" w:rsidRDefault="006D76AB">
      <w:pPr>
        <w:spacing w:line="360" w:lineRule="auto"/>
        <w:ind w:firstLineChars="200" w:firstLine="420"/>
        <w:rPr>
          <w:bCs/>
          <w:szCs w:val="21"/>
        </w:rPr>
      </w:pPr>
      <w:r>
        <w:rPr>
          <w:rFonts w:hint="eastAsia"/>
          <w:bCs/>
          <w:szCs w:val="21"/>
        </w:rPr>
        <w:t>1</w:t>
      </w:r>
      <w:r>
        <w:rPr>
          <w:rFonts w:hint="eastAsia"/>
          <w:bCs/>
          <w:szCs w:val="21"/>
        </w:rPr>
        <w:t>、虚假记载、误导性陈述或者重大遗漏；</w:t>
      </w:r>
    </w:p>
    <w:p w:rsidR="00D5306E" w:rsidRDefault="006D76AB">
      <w:pPr>
        <w:spacing w:line="360" w:lineRule="auto"/>
        <w:ind w:firstLineChars="200" w:firstLine="420"/>
        <w:rPr>
          <w:bCs/>
          <w:szCs w:val="21"/>
        </w:rPr>
      </w:pPr>
      <w:r>
        <w:rPr>
          <w:rFonts w:hint="eastAsia"/>
          <w:bCs/>
          <w:szCs w:val="21"/>
        </w:rPr>
        <w:t>2</w:t>
      </w:r>
      <w:r>
        <w:rPr>
          <w:rFonts w:hint="eastAsia"/>
          <w:bCs/>
          <w:szCs w:val="21"/>
        </w:rPr>
        <w:t>、对证券投资业绩进行预测；</w:t>
      </w:r>
    </w:p>
    <w:p w:rsidR="00D5306E" w:rsidRDefault="006D76AB">
      <w:pPr>
        <w:spacing w:line="360" w:lineRule="auto"/>
        <w:ind w:firstLineChars="200" w:firstLine="420"/>
        <w:rPr>
          <w:bCs/>
          <w:szCs w:val="21"/>
        </w:rPr>
      </w:pPr>
      <w:r>
        <w:rPr>
          <w:rFonts w:hint="eastAsia"/>
          <w:bCs/>
          <w:szCs w:val="21"/>
        </w:rPr>
        <w:t>3</w:t>
      </w:r>
      <w:r>
        <w:rPr>
          <w:rFonts w:hint="eastAsia"/>
          <w:bCs/>
          <w:szCs w:val="21"/>
        </w:rPr>
        <w:t>、违规承诺收益或者承担损失；</w:t>
      </w:r>
    </w:p>
    <w:p w:rsidR="00D5306E" w:rsidRDefault="006D76AB">
      <w:pPr>
        <w:spacing w:line="360" w:lineRule="auto"/>
        <w:ind w:firstLineChars="200" w:firstLine="420"/>
        <w:rPr>
          <w:bCs/>
          <w:szCs w:val="21"/>
        </w:rPr>
      </w:pPr>
      <w:r>
        <w:rPr>
          <w:rFonts w:hint="eastAsia"/>
          <w:bCs/>
          <w:szCs w:val="21"/>
        </w:rPr>
        <w:t>4</w:t>
      </w:r>
      <w:r>
        <w:rPr>
          <w:rFonts w:hint="eastAsia"/>
          <w:bCs/>
          <w:szCs w:val="21"/>
        </w:rPr>
        <w:t>、诋毁其他基金管理人、基金托管人或者基金销售机构；</w:t>
      </w:r>
    </w:p>
    <w:p w:rsidR="00D5306E" w:rsidRDefault="006D76AB">
      <w:pPr>
        <w:spacing w:line="360" w:lineRule="auto"/>
        <w:ind w:firstLineChars="200" w:firstLine="420"/>
        <w:rPr>
          <w:bCs/>
          <w:szCs w:val="21"/>
        </w:rPr>
      </w:pPr>
      <w:r>
        <w:rPr>
          <w:rFonts w:hint="eastAsia"/>
          <w:bCs/>
          <w:szCs w:val="21"/>
        </w:rPr>
        <w:t>5</w:t>
      </w:r>
      <w:r>
        <w:rPr>
          <w:rFonts w:hint="eastAsia"/>
          <w:bCs/>
          <w:szCs w:val="21"/>
        </w:rPr>
        <w:t>、登载任何自然人、法人和非法人组织的祝贺性、恭维性或推荐性文字；</w:t>
      </w:r>
    </w:p>
    <w:p w:rsidR="00D5306E" w:rsidRDefault="006D76AB">
      <w:pPr>
        <w:spacing w:line="360" w:lineRule="auto"/>
        <w:ind w:firstLineChars="200" w:firstLine="420"/>
        <w:rPr>
          <w:bCs/>
          <w:szCs w:val="21"/>
        </w:rPr>
      </w:pPr>
      <w:r>
        <w:rPr>
          <w:rFonts w:hint="eastAsia"/>
          <w:bCs/>
          <w:szCs w:val="21"/>
        </w:rPr>
        <w:t>6</w:t>
      </w:r>
      <w:r>
        <w:rPr>
          <w:rFonts w:hint="eastAsia"/>
          <w:bCs/>
          <w:szCs w:val="21"/>
        </w:rPr>
        <w:t>、中国证监会禁止的其他行为。</w:t>
      </w:r>
    </w:p>
    <w:p w:rsidR="00D5306E" w:rsidRDefault="006D76AB">
      <w:pPr>
        <w:spacing w:line="360" w:lineRule="auto"/>
        <w:ind w:firstLineChars="200" w:firstLine="422"/>
        <w:rPr>
          <w:b/>
          <w:bCs/>
          <w:szCs w:val="21"/>
        </w:rPr>
      </w:pPr>
      <w:r>
        <w:rPr>
          <w:rFonts w:hint="eastAsia"/>
          <w:b/>
          <w:bCs/>
          <w:szCs w:val="21"/>
        </w:rPr>
        <w:t>四、本基金公开披露的信息应采用中文文本。如同时采用外文文本的，基金信息披露义务人应保证不同文本的内容一致。不同文本之间发生歧义的，以中文文本为准。</w:t>
      </w:r>
    </w:p>
    <w:p w:rsidR="00D5306E" w:rsidRDefault="006D76AB">
      <w:pPr>
        <w:spacing w:line="360" w:lineRule="auto"/>
        <w:ind w:firstLineChars="200" w:firstLine="420"/>
        <w:rPr>
          <w:bCs/>
          <w:szCs w:val="21"/>
        </w:rPr>
      </w:pPr>
      <w:r>
        <w:rPr>
          <w:rFonts w:hint="eastAsia"/>
          <w:bCs/>
          <w:szCs w:val="21"/>
        </w:rPr>
        <w:t>本基金公开披露的信息采用阿拉伯数字；除特别说明外，货币单位为人民币元。</w:t>
      </w:r>
    </w:p>
    <w:p w:rsidR="00D5306E" w:rsidRDefault="006D76AB">
      <w:pPr>
        <w:spacing w:line="360" w:lineRule="auto"/>
        <w:ind w:firstLineChars="200" w:firstLine="422"/>
        <w:rPr>
          <w:b/>
          <w:bCs/>
          <w:szCs w:val="21"/>
        </w:rPr>
      </w:pPr>
      <w:r>
        <w:rPr>
          <w:rFonts w:hint="eastAsia"/>
          <w:b/>
          <w:bCs/>
          <w:szCs w:val="21"/>
        </w:rPr>
        <w:t>五、公开披露的基金信息</w:t>
      </w:r>
    </w:p>
    <w:p w:rsidR="00D5306E" w:rsidRDefault="006D76AB">
      <w:pPr>
        <w:spacing w:line="360" w:lineRule="auto"/>
        <w:ind w:firstLineChars="200" w:firstLine="420"/>
        <w:rPr>
          <w:bCs/>
          <w:szCs w:val="21"/>
        </w:rPr>
      </w:pPr>
      <w:r>
        <w:rPr>
          <w:rFonts w:hint="eastAsia"/>
          <w:bCs/>
          <w:szCs w:val="21"/>
        </w:rPr>
        <w:t>公开披露的基金信息包括：</w:t>
      </w:r>
    </w:p>
    <w:p w:rsidR="00D5306E" w:rsidRDefault="006D76AB">
      <w:pPr>
        <w:spacing w:line="360" w:lineRule="auto"/>
        <w:ind w:firstLineChars="200" w:firstLine="420"/>
        <w:rPr>
          <w:bCs/>
          <w:szCs w:val="21"/>
        </w:rPr>
      </w:pPr>
      <w:r>
        <w:rPr>
          <w:rFonts w:hint="eastAsia"/>
          <w:bCs/>
          <w:szCs w:val="21"/>
        </w:rPr>
        <w:t>（一）基金招募说明书、基金产品资料概要、《基金合同》、基金托管协议</w:t>
      </w:r>
    </w:p>
    <w:p w:rsidR="00D5306E" w:rsidRDefault="006D76AB">
      <w:pPr>
        <w:spacing w:line="360" w:lineRule="auto"/>
        <w:ind w:firstLineChars="200" w:firstLine="420"/>
        <w:rPr>
          <w:bCs/>
          <w:szCs w:val="21"/>
        </w:rPr>
      </w:pPr>
      <w:r>
        <w:rPr>
          <w:rFonts w:hint="eastAsia"/>
          <w:bCs/>
          <w:szCs w:val="21"/>
        </w:rPr>
        <w:t>1</w:t>
      </w:r>
      <w:r>
        <w:rPr>
          <w:rFonts w:hint="eastAsia"/>
          <w:bCs/>
          <w:szCs w:val="21"/>
        </w:rPr>
        <w:t>、《基金合同》是界定《基金合同》当事人的各项权利、义务关系，明确基金份额持有人大会召开的规则及具体程序，说明基金产品的特性等涉及基金投资者重大利益的事项的法律文</w:t>
      </w:r>
      <w:r>
        <w:rPr>
          <w:rFonts w:hint="eastAsia"/>
          <w:bCs/>
          <w:szCs w:val="21"/>
        </w:rPr>
        <w:lastRenderedPageBreak/>
        <w:t>件。</w:t>
      </w:r>
    </w:p>
    <w:p w:rsidR="00D5306E" w:rsidRDefault="006D76AB">
      <w:pPr>
        <w:spacing w:line="360" w:lineRule="auto"/>
        <w:ind w:firstLineChars="200" w:firstLine="420"/>
        <w:rPr>
          <w:bCs/>
          <w:szCs w:val="21"/>
        </w:rPr>
      </w:pPr>
      <w:r>
        <w:rPr>
          <w:rFonts w:hint="eastAsia"/>
          <w:bCs/>
          <w:szCs w:val="21"/>
        </w:rPr>
        <w:t>2</w:t>
      </w:r>
      <w:r>
        <w:rPr>
          <w:rFonts w:hint="eastAsia"/>
          <w:bCs/>
          <w:szCs w:val="21"/>
        </w:rPr>
        <w:t>、基金招募说明书应当最大限度地披露影响基金投资者决策的全部事项，说明基金认购、申购和赎回安排、基金投资、基金产品特性、风险揭示、信息披露及基金份额持有人服务等内容。</w:t>
      </w:r>
    </w:p>
    <w:p w:rsidR="00D5306E" w:rsidRDefault="006D76AB">
      <w:pPr>
        <w:spacing w:line="360" w:lineRule="auto"/>
        <w:ind w:firstLineChars="200" w:firstLine="420"/>
        <w:rPr>
          <w:bCs/>
          <w:szCs w:val="21"/>
        </w:rPr>
      </w:pPr>
      <w:r>
        <w:rPr>
          <w:rFonts w:hint="eastAsia"/>
          <w:bCs/>
          <w:szCs w:val="21"/>
        </w:rPr>
        <w:t>基金产品资料概要是基金招募说明书的摘要文件，用于向投资者提供简明的基金概要信息。基金管理人应当依照法律法规和中国证监会的规定编制、披露与更新基金产品资料概要。</w:t>
      </w:r>
    </w:p>
    <w:p w:rsidR="00D5306E" w:rsidRDefault="006D76AB">
      <w:pPr>
        <w:spacing w:line="360" w:lineRule="auto"/>
        <w:ind w:firstLineChars="200" w:firstLine="420"/>
        <w:rPr>
          <w:bCs/>
          <w:szCs w:val="21"/>
        </w:rPr>
      </w:pPr>
      <w:r>
        <w:rPr>
          <w:rFonts w:hint="eastAsia"/>
          <w:bCs/>
          <w:szCs w:val="21"/>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此之外，基金招募说明书、基金产品资料概要其他信息发生变更的，基金管理人至少每年更新一次。</w:t>
      </w:r>
    </w:p>
    <w:p w:rsidR="00D5306E" w:rsidRDefault="006D76AB">
      <w:pPr>
        <w:spacing w:line="360" w:lineRule="auto"/>
        <w:ind w:firstLineChars="200" w:firstLine="420"/>
        <w:rPr>
          <w:bCs/>
          <w:szCs w:val="21"/>
        </w:rPr>
      </w:pPr>
      <w:r>
        <w:rPr>
          <w:rFonts w:hint="eastAsia"/>
          <w:bCs/>
          <w:szCs w:val="21"/>
        </w:rPr>
        <w:t>基金终止运作的，除基金合同另有约定外，基金管理人可以不再更新基金招募说明书和基金产品资料概要。</w:t>
      </w:r>
    </w:p>
    <w:p w:rsidR="00D5306E" w:rsidRDefault="006D76AB">
      <w:pPr>
        <w:spacing w:line="360" w:lineRule="auto"/>
        <w:ind w:firstLineChars="200" w:firstLine="420"/>
        <w:rPr>
          <w:bCs/>
          <w:szCs w:val="21"/>
        </w:rPr>
      </w:pPr>
      <w:r>
        <w:rPr>
          <w:rFonts w:hint="eastAsia"/>
          <w:bCs/>
          <w:szCs w:val="21"/>
        </w:rPr>
        <w:t>3</w:t>
      </w:r>
      <w:r>
        <w:rPr>
          <w:rFonts w:hint="eastAsia"/>
          <w:bCs/>
          <w:szCs w:val="21"/>
        </w:rPr>
        <w:t>、基金托管协议是界定基金托管人和基金管理人在基金财产保管及基金运作监督等活动中的权利、义务关系的法律文件。</w:t>
      </w:r>
    </w:p>
    <w:p w:rsidR="00D5306E" w:rsidRDefault="006D76AB">
      <w:pPr>
        <w:spacing w:line="360" w:lineRule="auto"/>
        <w:ind w:firstLineChars="200" w:firstLine="420"/>
        <w:rPr>
          <w:bCs/>
          <w:szCs w:val="21"/>
        </w:rPr>
      </w:pPr>
      <w:r>
        <w:rPr>
          <w:rFonts w:hint="eastAsia"/>
          <w:bCs/>
          <w:szCs w:val="21"/>
        </w:rPr>
        <w:t>基金募集申请经中国证监会注册后，基金管理人在基金份额发售的</w:t>
      </w:r>
      <w:r>
        <w:rPr>
          <w:rFonts w:hint="eastAsia"/>
          <w:bCs/>
          <w:szCs w:val="21"/>
        </w:rPr>
        <w:t>3</w:t>
      </w:r>
      <w:r>
        <w:rPr>
          <w:rFonts w:hint="eastAsia"/>
          <w:bCs/>
          <w:szCs w:val="21"/>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rsidR="00D5306E" w:rsidRDefault="006D76AB">
      <w:pPr>
        <w:spacing w:line="360" w:lineRule="auto"/>
        <w:ind w:firstLineChars="200" w:firstLine="420"/>
        <w:rPr>
          <w:bCs/>
          <w:szCs w:val="21"/>
        </w:rPr>
      </w:pPr>
      <w:r>
        <w:rPr>
          <w:rFonts w:hint="eastAsia"/>
          <w:bCs/>
          <w:szCs w:val="21"/>
        </w:rPr>
        <w:t>（二）基金份额发售公告</w:t>
      </w:r>
    </w:p>
    <w:p w:rsidR="00D5306E" w:rsidRDefault="006D76AB">
      <w:pPr>
        <w:spacing w:line="360" w:lineRule="auto"/>
        <w:ind w:firstLineChars="200" w:firstLine="420"/>
        <w:rPr>
          <w:bCs/>
          <w:szCs w:val="21"/>
        </w:rPr>
      </w:pPr>
      <w:r>
        <w:rPr>
          <w:rFonts w:hint="eastAsia"/>
          <w:bCs/>
          <w:szCs w:val="21"/>
        </w:rPr>
        <w:t>基金管理人应当就基金份额发售的具体事宜编制基金份额发售公告。</w:t>
      </w:r>
    </w:p>
    <w:p w:rsidR="00D5306E" w:rsidRDefault="006D76AB">
      <w:pPr>
        <w:spacing w:line="360" w:lineRule="auto"/>
        <w:ind w:firstLineChars="200" w:firstLine="420"/>
        <w:rPr>
          <w:bCs/>
          <w:szCs w:val="21"/>
        </w:rPr>
      </w:pPr>
      <w:r>
        <w:rPr>
          <w:rFonts w:hint="eastAsia"/>
          <w:bCs/>
          <w:szCs w:val="21"/>
        </w:rPr>
        <w:t>（三）《基金合同》生效公告</w:t>
      </w:r>
    </w:p>
    <w:p w:rsidR="00D5306E" w:rsidRDefault="006D76AB">
      <w:pPr>
        <w:spacing w:line="360" w:lineRule="auto"/>
        <w:ind w:firstLineChars="200" w:firstLine="420"/>
        <w:rPr>
          <w:bCs/>
          <w:szCs w:val="21"/>
        </w:rPr>
      </w:pPr>
      <w:r>
        <w:rPr>
          <w:rFonts w:hint="eastAsia"/>
          <w:bCs/>
          <w:szCs w:val="21"/>
        </w:rPr>
        <w:t>基金管理人应当在收到中国证监会确认文件的次日在规定报刊和规定网站上登载《基金合同》生效公告。</w:t>
      </w:r>
    </w:p>
    <w:p w:rsidR="00D5306E" w:rsidRDefault="006D76AB">
      <w:pPr>
        <w:spacing w:line="360" w:lineRule="auto"/>
        <w:ind w:firstLineChars="200" w:firstLine="420"/>
        <w:rPr>
          <w:bCs/>
          <w:szCs w:val="21"/>
        </w:rPr>
      </w:pPr>
      <w:r>
        <w:rPr>
          <w:rFonts w:hint="eastAsia"/>
          <w:bCs/>
          <w:szCs w:val="21"/>
        </w:rPr>
        <w:t>（四）基金净值信息</w:t>
      </w:r>
    </w:p>
    <w:p w:rsidR="00D5306E" w:rsidRDefault="006D76AB">
      <w:pPr>
        <w:spacing w:line="360" w:lineRule="auto"/>
        <w:ind w:firstLineChars="200" w:firstLine="420"/>
        <w:rPr>
          <w:bCs/>
          <w:szCs w:val="21"/>
        </w:rPr>
      </w:pPr>
      <w:r>
        <w:rPr>
          <w:rFonts w:hint="eastAsia"/>
          <w:bCs/>
          <w:szCs w:val="21"/>
        </w:rPr>
        <w:t>《基金合同》生效后，在开始办理基金份额申购或者赎回前，基金管理人应当至少每周在规定网站公告一次各类基金份额净值和各类基金份额累计净值。</w:t>
      </w:r>
    </w:p>
    <w:p w:rsidR="00D5306E" w:rsidRDefault="006D76AB">
      <w:pPr>
        <w:spacing w:line="360" w:lineRule="auto"/>
        <w:ind w:firstLineChars="200" w:firstLine="420"/>
        <w:rPr>
          <w:bCs/>
          <w:szCs w:val="21"/>
        </w:rPr>
      </w:pPr>
      <w:r>
        <w:rPr>
          <w:rFonts w:hint="eastAsia"/>
          <w:bCs/>
          <w:szCs w:val="21"/>
        </w:rPr>
        <w:t>在开始办理基金份额申购或者赎回后，基金管理人应当在不晚于每个开放日的次日，通过规定网站、基金销售机构网站或者营业网点披露开放日的各类基金份额净值和各类基金份额累计净值。</w:t>
      </w:r>
    </w:p>
    <w:p w:rsidR="00D5306E" w:rsidRDefault="006D76AB">
      <w:pPr>
        <w:spacing w:line="360" w:lineRule="auto"/>
        <w:ind w:firstLineChars="200" w:firstLine="420"/>
        <w:rPr>
          <w:bCs/>
          <w:szCs w:val="21"/>
        </w:rPr>
      </w:pPr>
      <w:r>
        <w:rPr>
          <w:rFonts w:hint="eastAsia"/>
          <w:bCs/>
          <w:szCs w:val="21"/>
        </w:rPr>
        <w:t>基金管理人应当在不晚于半年度和年度最后一日的次日，</w:t>
      </w:r>
      <w:r>
        <w:rPr>
          <w:rFonts w:hint="eastAsia"/>
          <w:bCs/>
          <w:szCs w:val="21"/>
        </w:rPr>
        <w:t xml:space="preserve"> </w:t>
      </w:r>
      <w:r>
        <w:rPr>
          <w:rFonts w:hint="eastAsia"/>
          <w:bCs/>
          <w:szCs w:val="21"/>
        </w:rPr>
        <w:t>在规定网站公告半年度和年度最后一日各类基金份额净值和各类基金份额累计净值。</w:t>
      </w:r>
    </w:p>
    <w:p w:rsidR="00D5306E" w:rsidRDefault="006D76AB">
      <w:pPr>
        <w:spacing w:line="360" w:lineRule="auto"/>
        <w:ind w:firstLineChars="200" w:firstLine="420"/>
        <w:rPr>
          <w:bCs/>
          <w:szCs w:val="21"/>
        </w:rPr>
      </w:pPr>
      <w:r>
        <w:rPr>
          <w:rFonts w:hint="eastAsia"/>
          <w:bCs/>
          <w:szCs w:val="21"/>
        </w:rPr>
        <w:lastRenderedPageBreak/>
        <w:t>（五）基金份额申购、赎回价格</w:t>
      </w:r>
    </w:p>
    <w:p w:rsidR="00D5306E" w:rsidRDefault="006D76AB">
      <w:pPr>
        <w:spacing w:line="360" w:lineRule="auto"/>
        <w:ind w:firstLineChars="200" w:firstLine="420"/>
        <w:rPr>
          <w:bCs/>
          <w:szCs w:val="21"/>
        </w:rPr>
      </w:pPr>
      <w:r>
        <w:rPr>
          <w:rFonts w:hint="eastAsia"/>
          <w:bCs/>
          <w:szCs w:val="21"/>
        </w:rPr>
        <w:t>基金管理人应当在《基金合同》、招募说明书等信息披露文件上载明基金份额申购、赎回价格的计算方式及有关申购、赎回费率，并保证投资者能够在基金销售机构网站或者营业网点查阅或者复制前述信息资料。</w:t>
      </w:r>
    </w:p>
    <w:p w:rsidR="00D5306E" w:rsidRDefault="006D76AB">
      <w:pPr>
        <w:spacing w:line="360" w:lineRule="auto"/>
        <w:ind w:firstLineChars="200" w:firstLine="420"/>
        <w:rPr>
          <w:bCs/>
          <w:szCs w:val="21"/>
        </w:rPr>
      </w:pPr>
      <w:r>
        <w:rPr>
          <w:rFonts w:hint="eastAsia"/>
          <w:bCs/>
          <w:szCs w:val="21"/>
        </w:rPr>
        <w:t>（六）基金定期报告，包括基金年度报告、基金中期报告和基金季度报告（含资产组合季度报告）</w:t>
      </w:r>
    </w:p>
    <w:p w:rsidR="00D5306E" w:rsidRDefault="006D76AB">
      <w:pPr>
        <w:spacing w:line="360" w:lineRule="auto"/>
        <w:ind w:firstLineChars="200" w:firstLine="420"/>
        <w:rPr>
          <w:bCs/>
          <w:szCs w:val="21"/>
        </w:rPr>
      </w:pPr>
      <w:r>
        <w:rPr>
          <w:rFonts w:hint="eastAsia"/>
          <w:bCs/>
          <w:szCs w:val="21"/>
        </w:rPr>
        <w:t>基金管理人应当在每年结束之日起三个月内，编制完成基金年度报告，将年度报告登载于规定网站上，并将年度报告提示性公告登载在规定报刊上。基金年度报告中的财务会计报告应当经过符合《证券法》规定的会计师事务所审计。</w:t>
      </w:r>
    </w:p>
    <w:p w:rsidR="00D5306E" w:rsidRDefault="006D76AB">
      <w:pPr>
        <w:spacing w:line="360" w:lineRule="auto"/>
        <w:ind w:firstLineChars="200" w:firstLine="420"/>
        <w:rPr>
          <w:bCs/>
          <w:szCs w:val="21"/>
        </w:rPr>
      </w:pPr>
      <w:r>
        <w:rPr>
          <w:rFonts w:hint="eastAsia"/>
          <w:bCs/>
          <w:szCs w:val="21"/>
        </w:rPr>
        <w:t>基金管理人应当在上半年结束之日起两个月内，编制完成基金中期报告，将中期报告登载在规定网站上，并将中期报告提示性公告登载在规定报刊上。</w:t>
      </w:r>
    </w:p>
    <w:p w:rsidR="00D5306E" w:rsidRDefault="006D76AB">
      <w:pPr>
        <w:spacing w:line="360" w:lineRule="auto"/>
        <w:ind w:firstLineChars="200" w:firstLine="420"/>
        <w:rPr>
          <w:bCs/>
          <w:szCs w:val="21"/>
        </w:rPr>
      </w:pPr>
      <w:r>
        <w:rPr>
          <w:rFonts w:hint="eastAsia"/>
          <w:bCs/>
          <w:szCs w:val="21"/>
        </w:rPr>
        <w:t>基金管理人应当在季度结束之日起</w:t>
      </w:r>
      <w:r>
        <w:rPr>
          <w:rFonts w:hint="eastAsia"/>
          <w:bCs/>
          <w:szCs w:val="21"/>
        </w:rPr>
        <w:t>15</w:t>
      </w:r>
      <w:r>
        <w:rPr>
          <w:rFonts w:hint="eastAsia"/>
          <w:bCs/>
          <w:szCs w:val="21"/>
        </w:rPr>
        <w:t>个工作日内，编制完成基金季度报告，将季度报告登载在规定网站上，并将季度报告提示性公告登载在规定报刊上。</w:t>
      </w:r>
    </w:p>
    <w:p w:rsidR="00D5306E" w:rsidRDefault="006D76AB">
      <w:pPr>
        <w:spacing w:line="360" w:lineRule="auto"/>
        <w:ind w:firstLineChars="200" w:firstLine="420"/>
        <w:rPr>
          <w:bCs/>
          <w:szCs w:val="21"/>
        </w:rPr>
      </w:pPr>
      <w:r>
        <w:rPr>
          <w:rFonts w:hint="eastAsia"/>
          <w:bCs/>
          <w:szCs w:val="21"/>
        </w:rPr>
        <w:t>《基金合同》生效不足</w:t>
      </w:r>
      <w:r>
        <w:rPr>
          <w:rFonts w:hint="eastAsia"/>
          <w:bCs/>
          <w:szCs w:val="21"/>
        </w:rPr>
        <w:t>2</w:t>
      </w:r>
      <w:r>
        <w:rPr>
          <w:rFonts w:hint="eastAsia"/>
          <w:bCs/>
          <w:szCs w:val="21"/>
        </w:rPr>
        <w:t>个月的，基金管理人可以不编制当期季度报告、中期报告或者年度报告。</w:t>
      </w:r>
    </w:p>
    <w:p w:rsidR="00D5306E" w:rsidRDefault="006D76AB">
      <w:pPr>
        <w:spacing w:line="360" w:lineRule="auto"/>
        <w:ind w:firstLineChars="200" w:firstLine="420"/>
        <w:rPr>
          <w:bCs/>
          <w:szCs w:val="21"/>
        </w:rPr>
      </w:pPr>
      <w:r>
        <w:rPr>
          <w:rFonts w:hint="eastAsia"/>
          <w:bCs/>
          <w:szCs w:val="21"/>
        </w:rPr>
        <w:t>如报告期内出现单一投资者持有基金份额达到或超过基金总份额</w:t>
      </w:r>
      <w:r>
        <w:rPr>
          <w:rFonts w:hint="eastAsia"/>
          <w:bCs/>
          <w:szCs w:val="21"/>
        </w:rPr>
        <w:t>20%</w:t>
      </w:r>
      <w:r>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D5306E" w:rsidRDefault="006D76AB">
      <w:pPr>
        <w:spacing w:line="360" w:lineRule="auto"/>
        <w:ind w:firstLineChars="200" w:firstLine="420"/>
        <w:rPr>
          <w:bCs/>
          <w:szCs w:val="21"/>
        </w:rPr>
      </w:pPr>
      <w:r>
        <w:rPr>
          <w:rFonts w:hint="eastAsia"/>
          <w:bCs/>
          <w:szCs w:val="21"/>
        </w:rPr>
        <w:t>基金管理人应当在基金年度报告和中期报告中披露基金组合资产情况及其流动性风险分析等。</w:t>
      </w:r>
    </w:p>
    <w:p w:rsidR="00D5306E" w:rsidRDefault="006D76AB">
      <w:pPr>
        <w:spacing w:line="360" w:lineRule="auto"/>
        <w:ind w:firstLineChars="200" w:firstLine="420"/>
        <w:rPr>
          <w:bCs/>
          <w:szCs w:val="21"/>
        </w:rPr>
      </w:pPr>
      <w:r>
        <w:rPr>
          <w:rFonts w:hint="eastAsia"/>
          <w:bCs/>
          <w:szCs w:val="21"/>
        </w:rPr>
        <w:t>（七）临时报告</w:t>
      </w:r>
    </w:p>
    <w:p w:rsidR="00D5306E" w:rsidRDefault="006D76AB">
      <w:pPr>
        <w:spacing w:line="360" w:lineRule="auto"/>
        <w:ind w:firstLineChars="200" w:firstLine="420"/>
        <w:rPr>
          <w:bCs/>
          <w:szCs w:val="21"/>
        </w:rPr>
      </w:pPr>
      <w:r>
        <w:rPr>
          <w:rFonts w:hint="eastAsia"/>
          <w:bCs/>
          <w:szCs w:val="21"/>
        </w:rPr>
        <w:t>本基金发生重大事件，有关信息披露义务人应当按规定编制临时报告书，并登载在规定报刊和规定网站上。</w:t>
      </w:r>
    </w:p>
    <w:p w:rsidR="00D5306E" w:rsidRDefault="006D76AB">
      <w:pPr>
        <w:spacing w:line="360" w:lineRule="auto"/>
        <w:ind w:firstLineChars="200" w:firstLine="420"/>
        <w:rPr>
          <w:bCs/>
          <w:szCs w:val="21"/>
        </w:rPr>
      </w:pPr>
      <w:r>
        <w:rPr>
          <w:rFonts w:hint="eastAsia"/>
          <w:bCs/>
          <w:szCs w:val="21"/>
        </w:rPr>
        <w:t>前款所称重大事件，是指可能对基金份额持有人权益或者基金份额的价格产生重大影响的下列事件：</w:t>
      </w:r>
    </w:p>
    <w:p w:rsidR="00D5306E" w:rsidRDefault="006D76AB">
      <w:pPr>
        <w:spacing w:line="360" w:lineRule="auto"/>
        <w:ind w:firstLineChars="200" w:firstLine="420"/>
        <w:rPr>
          <w:bCs/>
          <w:szCs w:val="21"/>
        </w:rPr>
      </w:pPr>
      <w:r>
        <w:rPr>
          <w:rFonts w:hint="eastAsia"/>
          <w:bCs/>
          <w:szCs w:val="21"/>
        </w:rPr>
        <w:t>1</w:t>
      </w:r>
      <w:r>
        <w:rPr>
          <w:rFonts w:hint="eastAsia"/>
          <w:bCs/>
          <w:szCs w:val="21"/>
        </w:rPr>
        <w:t>、基金份额持有人大会的召开及决定的事项；</w:t>
      </w:r>
    </w:p>
    <w:p w:rsidR="00D5306E" w:rsidRDefault="006D76AB">
      <w:pPr>
        <w:spacing w:line="360" w:lineRule="auto"/>
        <w:ind w:firstLineChars="200" w:firstLine="420"/>
        <w:rPr>
          <w:bCs/>
          <w:szCs w:val="21"/>
        </w:rPr>
      </w:pPr>
      <w:r>
        <w:rPr>
          <w:rFonts w:hint="eastAsia"/>
          <w:bCs/>
          <w:szCs w:val="21"/>
        </w:rPr>
        <w:t>2</w:t>
      </w:r>
      <w:r>
        <w:rPr>
          <w:rFonts w:hint="eastAsia"/>
          <w:bCs/>
          <w:szCs w:val="21"/>
        </w:rPr>
        <w:t>、《基金合同》终止、基金清算；</w:t>
      </w:r>
    </w:p>
    <w:p w:rsidR="00D5306E" w:rsidRDefault="006D76AB">
      <w:pPr>
        <w:spacing w:line="360" w:lineRule="auto"/>
        <w:ind w:firstLineChars="200" w:firstLine="420"/>
        <w:rPr>
          <w:bCs/>
          <w:szCs w:val="21"/>
        </w:rPr>
      </w:pPr>
      <w:r>
        <w:rPr>
          <w:rFonts w:hint="eastAsia"/>
          <w:bCs/>
          <w:szCs w:val="21"/>
        </w:rPr>
        <w:t>3</w:t>
      </w:r>
      <w:r>
        <w:rPr>
          <w:rFonts w:hint="eastAsia"/>
          <w:bCs/>
          <w:szCs w:val="21"/>
        </w:rPr>
        <w:t>、转换基金运作方式、基金合并；</w:t>
      </w:r>
    </w:p>
    <w:p w:rsidR="00D5306E" w:rsidRDefault="006D76AB">
      <w:pPr>
        <w:spacing w:line="360" w:lineRule="auto"/>
        <w:ind w:firstLineChars="200" w:firstLine="420"/>
        <w:rPr>
          <w:bCs/>
          <w:szCs w:val="21"/>
        </w:rPr>
      </w:pPr>
      <w:r>
        <w:rPr>
          <w:rFonts w:hint="eastAsia"/>
          <w:bCs/>
          <w:szCs w:val="21"/>
        </w:rPr>
        <w:t>4</w:t>
      </w:r>
      <w:r>
        <w:rPr>
          <w:rFonts w:hint="eastAsia"/>
          <w:bCs/>
          <w:szCs w:val="21"/>
        </w:rPr>
        <w:t>、更换基金管理人、基金托管人；</w:t>
      </w:r>
    </w:p>
    <w:p w:rsidR="00D5306E" w:rsidRDefault="006D76AB">
      <w:pPr>
        <w:spacing w:line="360" w:lineRule="auto"/>
        <w:ind w:firstLineChars="200" w:firstLine="420"/>
        <w:rPr>
          <w:bCs/>
          <w:szCs w:val="21"/>
        </w:rPr>
      </w:pPr>
      <w:r>
        <w:rPr>
          <w:rFonts w:hint="eastAsia"/>
          <w:bCs/>
          <w:szCs w:val="21"/>
        </w:rPr>
        <w:t>5</w:t>
      </w:r>
      <w:r>
        <w:rPr>
          <w:rFonts w:hint="eastAsia"/>
          <w:bCs/>
          <w:szCs w:val="21"/>
        </w:rPr>
        <w:t>、基金管理人委托基金服务机构代为办理基金的份额登记、核算、估值等事项，基金托管人委托基金服务机构代为办理基金的核算、估值、复核等事项；</w:t>
      </w:r>
    </w:p>
    <w:p w:rsidR="00D5306E" w:rsidRDefault="006D76AB">
      <w:pPr>
        <w:spacing w:line="360" w:lineRule="auto"/>
        <w:ind w:firstLineChars="200" w:firstLine="420"/>
        <w:rPr>
          <w:bCs/>
          <w:szCs w:val="21"/>
        </w:rPr>
      </w:pPr>
      <w:r>
        <w:rPr>
          <w:rFonts w:hint="eastAsia"/>
          <w:bCs/>
          <w:szCs w:val="21"/>
        </w:rPr>
        <w:lastRenderedPageBreak/>
        <w:t>6</w:t>
      </w:r>
      <w:r>
        <w:rPr>
          <w:rFonts w:hint="eastAsia"/>
          <w:bCs/>
          <w:szCs w:val="21"/>
        </w:rPr>
        <w:t>、基金管理人、基金托管人的法定名称、住所发生变更；</w:t>
      </w:r>
    </w:p>
    <w:p w:rsidR="00D5306E" w:rsidRDefault="006D76AB">
      <w:pPr>
        <w:spacing w:line="360" w:lineRule="auto"/>
        <w:ind w:firstLineChars="200" w:firstLine="420"/>
        <w:rPr>
          <w:bCs/>
          <w:szCs w:val="21"/>
        </w:rPr>
      </w:pPr>
      <w:r>
        <w:rPr>
          <w:rFonts w:hint="eastAsia"/>
          <w:bCs/>
          <w:szCs w:val="21"/>
        </w:rPr>
        <w:t>7</w:t>
      </w:r>
      <w:r>
        <w:rPr>
          <w:rFonts w:hint="eastAsia"/>
          <w:bCs/>
          <w:szCs w:val="21"/>
        </w:rPr>
        <w:t>、基金管理人变更持有百分之五以上股权的股东、变更基金管理人的实际控制人；</w:t>
      </w:r>
    </w:p>
    <w:p w:rsidR="00D5306E" w:rsidRDefault="006D76AB">
      <w:pPr>
        <w:spacing w:line="360" w:lineRule="auto"/>
        <w:ind w:firstLineChars="200" w:firstLine="420"/>
        <w:rPr>
          <w:bCs/>
          <w:szCs w:val="21"/>
        </w:rPr>
      </w:pPr>
      <w:r>
        <w:rPr>
          <w:rFonts w:hint="eastAsia"/>
          <w:bCs/>
          <w:szCs w:val="21"/>
        </w:rPr>
        <w:t>8</w:t>
      </w:r>
      <w:r>
        <w:rPr>
          <w:rFonts w:hint="eastAsia"/>
          <w:bCs/>
          <w:szCs w:val="21"/>
        </w:rPr>
        <w:t>、基金募集期延长或提前结束募集；</w:t>
      </w:r>
    </w:p>
    <w:p w:rsidR="00D5306E" w:rsidRDefault="006D76AB">
      <w:pPr>
        <w:spacing w:line="360" w:lineRule="auto"/>
        <w:ind w:firstLineChars="200" w:firstLine="420"/>
        <w:rPr>
          <w:bCs/>
          <w:szCs w:val="21"/>
        </w:rPr>
      </w:pPr>
      <w:r>
        <w:rPr>
          <w:rFonts w:hint="eastAsia"/>
          <w:bCs/>
          <w:szCs w:val="21"/>
        </w:rPr>
        <w:t>9</w:t>
      </w:r>
      <w:r>
        <w:rPr>
          <w:rFonts w:hint="eastAsia"/>
          <w:bCs/>
          <w:szCs w:val="21"/>
        </w:rPr>
        <w:t>、基金管理人高级管理人员、基金经理和基金托管人专门基金托管部门负责人发生变动；</w:t>
      </w:r>
    </w:p>
    <w:p w:rsidR="00D5306E" w:rsidRDefault="006D76AB">
      <w:pPr>
        <w:spacing w:line="360" w:lineRule="auto"/>
        <w:ind w:firstLineChars="200" w:firstLine="420"/>
        <w:rPr>
          <w:bCs/>
          <w:szCs w:val="21"/>
        </w:rPr>
      </w:pPr>
      <w:r>
        <w:rPr>
          <w:rFonts w:hint="eastAsia"/>
          <w:bCs/>
          <w:szCs w:val="21"/>
        </w:rPr>
        <w:t>10</w:t>
      </w:r>
      <w:r>
        <w:rPr>
          <w:rFonts w:hint="eastAsia"/>
          <w:bCs/>
          <w:szCs w:val="21"/>
        </w:rPr>
        <w:t>、基金管理人的董事在最近</w:t>
      </w:r>
      <w:r>
        <w:rPr>
          <w:rFonts w:hint="eastAsia"/>
          <w:bCs/>
          <w:szCs w:val="21"/>
        </w:rPr>
        <w:t>12</w:t>
      </w:r>
      <w:r>
        <w:rPr>
          <w:rFonts w:hint="eastAsia"/>
          <w:bCs/>
          <w:szCs w:val="21"/>
        </w:rPr>
        <w:t>个月内变更超过百分之五十；</w:t>
      </w:r>
    </w:p>
    <w:p w:rsidR="00D5306E" w:rsidRDefault="006D76AB">
      <w:pPr>
        <w:spacing w:line="360" w:lineRule="auto"/>
        <w:ind w:firstLineChars="200" w:firstLine="420"/>
        <w:rPr>
          <w:bCs/>
          <w:szCs w:val="21"/>
        </w:rPr>
      </w:pPr>
      <w:r>
        <w:rPr>
          <w:rFonts w:hint="eastAsia"/>
          <w:bCs/>
          <w:szCs w:val="21"/>
        </w:rPr>
        <w:t>11</w:t>
      </w:r>
      <w:r>
        <w:rPr>
          <w:rFonts w:hint="eastAsia"/>
          <w:bCs/>
          <w:szCs w:val="21"/>
        </w:rPr>
        <w:t>、基金管理人、基金托管人专门基金托管部门的主要业务人员在最近</w:t>
      </w:r>
      <w:r>
        <w:rPr>
          <w:rFonts w:hint="eastAsia"/>
          <w:bCs/>
          <w:szCs w:val="21"/>
        </w:rPr>
        <w:t>12</w:t>
      </w:r>
      <w:r>
        <w:rPr>
          <w:rFonts w:hint="eastAsia"/>
          <w:bCs/>
          <w:szCs w:val="21"/>
        </w:rPr>
        <w:t>个月内变动超过百分之三十；</w:t>
      </w:r>
    </w:p>
    <w:p w:rsidR="00D5306E" w:rsidRDefault="006D76AB">
      <w:pPr>
        <w:spacing w:line="360" w:lineRule="auto"/>
        <w:ind w:firstLineChars="200" w:firstLine="420"/>
        <w:rPr>
          <w:bCs/>
          <w:szCs w:val="21"/>
        </w:rPr>
      </w:pPr>
      <w:r>
        <w:rPr>
          <w:rFonts w:hint="eastAsia"/>
          <w:bCs/>
          <w:szCs w:val="21"/>
        </w:rPr>
        <w:t>12</w:t>
      </w:r>
      <w:r>
        <w:rPr>
          <w:rFonts w:hint="eastAsia"/>
          <w:bCs/>
          <w:szCs w:val="21"/>
        </w:rPr>
        <w:t>、涉及基金管理业务、基金财产、基金托管业务的诉讼或仲裁；</w:t>
      </w:r>
      <w:r>
        <w:rPr>
          <w:rFonts w:hint="eastAsia"/>
          <w:bCs/>
          <w:szCs w:val="21"/>
        </w:rPr>
        <w:t xml:space="preserve"> </w:t>
      </w:r>
    </w:p>
    <w:p w:rsidR="00D5306E" w:rsidRDefault="006D76AB">
      <w:pPr>
        <w:spacing w:line="360" w:lineRule="auto"/>
        <w:ind w:firstLineChars="200" w:firstLine="420"/>
        <w:rPr>
          <w:bCs/>
          <w:szCs w:val="21"/>
        </w:rPr>
      </w:pPr>
      <w:r>
        <w:rPr>
          <w:rFonts w:hint="eastAsia"/>
          <w:bCs/>
          <w:szCs w:val="21"/>
        </w:rPr>
        <w:t>13</w:t>
      </w:r>
      <w:r>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D5306E" w:rsidRDefault="006D76AB">
      <w:pPr>
        <w:spacing w:line="360" w:lineRule="auto"/>
        <w:ind w:firstLineChars="200" w:firstLine="420"/>
        <w:rPr>
          <w:bCs/>
          <w:szCs w:val="21"/>
        </w:rPr>
      </w:pPr>
      <w:r>
        <w:rPr>
          <w:rFonts w:hint="eastAsia"/>
          <w:bCs/>
          <w:szCs w:val="21"/>
        </w:rPr>
        <w:t>14</w:t>
      </w:r>
      <w:r>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D5306E" w:rsidRDefault="006D76AB">
      <w:pPr>
        <w:spacing w:line="360" w:lineRule="auto"/>
        <w:ind w:firstLineChars="200" w:firstLine="420"/>
        <w:rPr>
          <w:bCs/>
          <w:szCs w:val="21"/>
        </w:rPr>
      </w:pPr>
      <w:r>
        <w:rPr>
          <w:rFonts w:hint="eastAsia"/>
          <w:bCs/>
          <w:szCs w:val="21"/>
        </w:rPr>
        <w:t>15</w:t>
      </w:r>
      <w:r>
        <w:rPr>
          <w:rFonts w:hint="eastAsia"/>
          <w:bCs/>
          <w:szCs w:val="21"/>
        </w:rPr>
        <w:t>、基金收益分配事项；</w:t>
      </w:r>
    </w:p>
    <w:p w:rsidR="00D5306E" w:rsidRDefault="006D76AB">
      <w:pPr>
        <w:spacing w:line="360" w:lineRule="auto"/>
        <w:ind w:firstLineChars="200" w:firstLine="420"/>
        <w:rPr>
          <w:bCs/>
          <w:szCs w:val="21"/>
        </w:rPr>
      </w:pPr>
      <w:r>
        <w:rPr>
          <w:rFonts w:hint="eastAsia"/>
          <w:bCs/>
          <w:szCs w:val="21"/>
        </w:rPr>
        <w:t>16</w:t>
      </w:r>
      <w:r>
        <w:rPr>
          <w:rFonts w:hint="eastAsia"/>
          <w:bCs/>
          <w:szCs w:val="21"/>
        </w:rPr>
        <w:t>、管理费、托管费、销售服务费、申购费、赎回费等费用计提标准、计提方式和费率发生变更；</w:t>
      </w:r>
    </w:p>
    <w:p w:rsidR="00D5306E" w:rsidRDefault="006D76AB">
      <w:pPr>
        <w:spacing w:line="360" w:lineRule="auto"/>
        <w:ind w:firstLineChars="200" w:firstLine="420"/>
        <w:rPr>
          <w:bCs/>
          <w:szCs w:val="21"/>
        </w:rPr>
      </w:pPr>
      <w:r>
        <w:rPr>
          <w:rFonts w:hint="eastAsia"/>
          <w:bCs/>
          <w:szCs w:val="21"/>
        </w:rPr>
        <w:t>17</w:t>
      </w:r>
      <w:r>
        <w:rPr>
          <w:rFonts w:hint="eastAsia"/>
          <w:bCs/>
          <w:szCs w:val="21"/>
        </w:rPr>
        <w:t>、任一类基金份额净值计价错误达该类基金份额净值百分之零点五；</w:t>
      </w:r>
    </w:p>
    <w:p w:rsidR="00D5306E" w:rsidRDefault="006D76AB">
      <w:pPr>
        <w:spacing w:line="360" w:lineRule="auto"/>
        <w:ind w:firstLineChars="200" w:firstLine="420"/>
        <w:rPr>
          <w:bCs/>
          <w:szCs w:val="21"/>
        </w:rPr>
      </w:pPr>
      <w:r>
        <w:rPr>
          <w:rFonts w:hint="eastAsia"/>
          <w:bCs/>
          <w:szCs w:val="21"/>
        </w:rPr>
        <w:t>18</w:t>
      </w:r>
      <w:r>
        <w:rPr>
          <w:rFonts w:hint="eastAsia"/>
          <w:bCs/>
          <w:szCs w:val="21"/>
        </w:rPr>
        <w:t>、基金改聘会计师事务所；</w:t>
      </w:r>
    </w:p>
    <w:p w:rsidR="00D5306E" w:rsidRDefault="006D76AB">
      <w:pPr>
        <w:spacing w:line="360" w:lineRule="auto"/>
        <w:ind w:firstLineChars="200" w:firstLine="420"/>
        <w:rPr>
          <w:bCs/>
          <w:szCs w:val="21"/>
        </w:rPr>
      </w:pPr>
      <w:r>
        <w:rPr>
          <w:rFonts w:hint="eastAsia"/>
          <w:bCs/>
          <w:szCs w:val="21"/>
        </w:rPr>
        <w:t>19</w:t>
      </w:r>
      <w:r>
        <w:rPr>
          <w:rFonts w:hint="eastAsia"/>
          <w:bCs/>
          <w:szCs w:val="21"/>
        </w:rPr>
        <w:t>、更换基金登记机构；</w:t>
      </w:r>
    </w:p>
    <w:p w:rsidR="00D5306E" w:rsidRDefault="006D76AB">
      <w:pPr>
        <w:spacing w:line="360" w:lineRule="auto"/>
        <w:ind w:firstLineChars="200" w:firstLine="420"/>
        <w:rPr>
          <w:bCs/>
          <w:szCs w:val="21"/>
        </w:rPr>
      </w:pPr>
      <w:r>
        <w:rPr>
          <w:rFonts w:hint="eastAsia"/>
          <w:bCs/>
          <w:szCs w:val="21"/>
        </w:rPr>
        <w:t>20</w:t>
      </w:r>
      <w:r>
        <w:rPr>
          <w:rFonts w:hint="eastAsia"/>
          <w:bCs/>
          <w:szCs w:val="21"/>
        </w:rPr>
        <w:t>、本基金开始办理申购、赎回；</w:t>
      </w:r>
    </w:p>
    <w:p w:rsidR="00D5306E" w:rsidRDefault="006D76AB">
      <w:pPr>
        <w:spacing w:line="360" w:lineRule="auto"/>
        <w:ind w:firstLineChars="200" w:firstLine="420"/>
        <w:rPr>
          <w:bCs/>
          <w:szCs w:val="21"/>
        </w:rPr>
      </w:pPr>
      <w:r>
        <w:rPr>
          <w:rFonts w:hint="eastAsia"/>
          <w:bCs/>
          <w:szCs w:val="21"/>
        </w:rPr>
        <w:t>21</w:t>
      </w:r>
      <w:r>
        <w:rPr>
          <w:rFonts w:hint="eastAsia"/>
          <w:bCs/>
          <w:szCs w:val="21"/>
        </w:rPr>
        <w:t>、本基金发生巨额赎回并延期办理；</w:t>
      </w:r>
    </w:p>
    <w:p w:rsidR="00D5306E" w:rsidRDefault="006D76AB">
      <w:pPr>
        <w:spacing w:line="360" w:lineRule="auto"/>
        <w:ind w:firstLineChars="200" w:firstLine="420"/>
        <w:rPr>
          <w:bCs/>
          <w:szCs w:val="21"/>
        </w:rPr>
      </w:pPr>
      <w:r>
        <w:rPr>
          <w:rFonts w:hint="eastAsia"/>
          <w:bCs/>
          <w:szCs w:val="21"/>
        </w:rPr>
        <w:t>22</w:t>
      </w:r>
      <w:r>
        <w:rPr>
          <w:rFonts w:hint="eastAsia"/>
          <w:bCs/>
          <w:szCs w:val="21"/>
        </w:rPr>
        <w:t>、本基金连续发生巨额赎回并暂停接受赎回申请或延缓支付赎回款项；</w:t>
      </w:r>
    </w:p>
    <w:p w:rsidR="00D5306E" w:rsidRDefault="006D76AB">
      <w:pPr>
        <w:spacing w:line="360" w:lineRule="auto"/>
        <w:ind w:firstLineChars="200" w:firstLine="420"/>
        <w:rPr>
          <w:bCs/>
          <w:szCs w:val="21"/>
        </w:rPr>
      </w:pPr>
      <w:r>
        <w:rPr>
          <w:rFonts w:hint="eastAsia"/>
          <w:bCs/>
          <w:szCs w:val="21"/>
        </w:rPr>
        <w:t>23</w:t>
      </w:r>
      <w:r>
        <w:rPr>
          <w:rFonts w:hint="eastAsia"/>
          <w:bCs/>
          <w:szCs w:val="21"/>
        </w:rPr>
        <w:t>、本基金暂停接受申购、赎回申请或重新接受申购、赎回申请；</w:t>
      </w:r>
    </w:p>
    <w:p w:rsidR="00D5306E" w:rsidRDefault="006D76AB">
      <w:pPr>
        <w:spacing w:line="360" w:lineRule="auto"/>
        <w:ind w:firstLineChars="200" w:firstLine="420"/>
        <w:rPr>
          <w:bCs/>
          <w:szCs w:val="21"/>
        </w:rPr>
      </w:pPr>
      <w:r>
        <w:rPr>
          <w:rFonts w:hint="eastAsia"/>
          <w:bCs/>
          <w:szCs w:val="21"/>
        </w:rPr>
        <w:t>24</w:t>
      </w:r>
      <w:r>
        <w:rPr>
          <w:rFonts w:hint="eastAsia"/>
          <w:bCs/>
          <w:szCs w:val="21"/>
        </w:rPr>
        <w:t>、发生涉及基金申购、赎回事项调整或潜在影响投资者赎回等重大事项时；</w:t>
      </w:r>
    </w:p>
    <w:p w:rsidR="00D5306E" w:rsidRDefault="006D76AB">
      <w:pPr>
        <w:spacing w:line="360" w:lineRule="auto"/>
        <w:ind w:firstLineChars="200" w:firstLine="420"/>
        <w:rPr>
          <w:bCs/>
          <w:szCs w:val="21"/>
        </w:rPr>
      </w:pPr>
      <w:r>
        <w:rPr>
          <w:rFonts w:hint="eastAsia"/>
          <w:bCs/>
          <w:szCs w:val="21"/>
        </w:rPr>
        <w:t>25</w:t>
      </w:r>
      <w:r>
        <w:rPr>
          <w:rFonts w:hint="eastAsia"/>
          <w:bCs/>
          <w:szCs w:val="21"/>
        </w:rPr>
        <w:t>、基金管理人采用摆动定价机制进行估值；</w:t>
      </w:r>
    </w:p>
    <w:p w:rsidR="00D5306E" w:rsidRDefault="006D76AB">
      <w:pPr>
        <w:spacing w:line="360" w:lineRule="auto"/>
        <w:ind w:firstLineChars="200" w:firstLine="420"/>
        <w:rPr>
          <w:bCs/>
          <w:szCs w:val="21"/>
        </w:rPr>
      </w:pPr>
      <w:r>
        <w:rPr>
          <w:rFonts w:hint="eastAsia"/>
          <w:bCs/>
          <w:szCs w:val="21"/>
        </w:rPr>
        <w:t>26</w:t>
      </w:r>
      <w:r>
        <w:rPr>
          <w:rFonts w:hint="eastAsia"/>
          <w:bCs/>
          <w:szCs w:val="21"/>
        </w:rPr>
        <w:t>、调整基金份额类别的设置；</w:t>
      </w:r>
    </w:p>
    <w:p w:rsidR="00D5306E" w:rsidRDefault="006D76AB">
      <w:pPr>
        <w:spacing w:line="360" w:lineRule="auto"/>
        <w:ind w:firstLineChars="200" w:firstLine="420"/>
        <w:rPr>
          <w:bCs/>
          <w:szCs w:val="21"/>
        </w:rPr>
      </w:pPr>
      <w:r>
        <w:rPr>
          <w:rFonts w:hint="eastAsia"/>
          <w:bCs/>
          <w:szCs w:val="21"/>
        </w:rPr>
        <w:t>27</w:t>
      </w:r>
      <w:r>
        <w:rPr>
          <w:rFonts w:hint="eastAsia"/>
          <w:bCs/>
          <w:szCs w:val="21"/>
        </w:rPr>
        <w:t>、基金推出新业务或服务；</w:t>
      </w:r>
    </w:p>
    <w:p w:rsidR="00D5306E" w:rsidRDefault="006D76AB">
      <w:pPr>
        <w:spacing w:line="360" w:lineRule="auto"/>
        <w:ind w:firstLineChars="200" w:firstLine="420"/>
        <w:rPr>
          <w:bCs/>
          <w:szCs w:val="21"/>
        </w:rPr>
      </w:pPr>
      <w:r>
        <w:rPr>
          <w:rFonts w:hint="eastAsia"/>
          <w:bCs/>
          <w:szCs w:val="21"/>
        </w:rPr>
        <w:t>28</w:t>
      </w:r>
      <w:r>
        <w:rPr>
          <w:rFonts w:hint="eastAsia"/>
          <w:bCs/>
          <w:szCs w:val="21"/>
        </w:rPr>
        <w:t>、连续</w:t>
      </w:r>
      <w:r>
        <w:rPr>
          <w:rFonts w:hint="eastAsia"/>
          <w:bCs/>
          <w:szCs w:val="21"/>
        </w:rPr>
        <w:t>30</w:t>
      </w:r>
      <w:r>
        <w:rPr>
          <w:rFonts w:hint="eastAsia"/>
          <w:bCs/>
          <w:szCs w:val="21"/>
        </w:rPr>
        <w:t>个工作日、</w:t>
      </w:r>
      <w:r>
        <w:rPr>
          <w:rFonts w:hint="eastAsia"/>
          <w:bCs/>
          <w:szCs w:val="21"/>
        </w:rPr>
        <w:t>40</w:t>
      </w:r>
      <w:r>
        <w:rPr>
          <w:rFonts w:hint="eastAsia"/>
          <w:bCs/>
          <w:szCs w:val="21"/>
        </w:rPr>
        <w:t>个工作日及</w:t>
      </w:r>
      <w:r>
        <w:rPr>
          <w:rFonts w:hint="eastAsia"/>
          <w:bCs/>
          <w:szCs w:val="21"/>
        </w:rPr>
        <w:t>45</w:t>
      </w:r>
      <w:r>
        <w:rPr>
          <w:rFonts w:hint="eastAsia"/>
          <w:bCs/>
          <w:szCs w:val="21"/>
        </w:rPr>
        <w:t>个工作日出现基金份额持有人数量不满二百人或者基金资产净值低于五千万元情形的；</w:t>
      </w:r>
    </w:p>
    <w:p w:rsidR="00D5306E" w:rsidRDefault="006D76AB">
      <w:pPr>
        <w:spacing w:line="360" w:lineRule="auto"/>
        <w:ind w:firstLineChars="200" w:firstLine="420"/>
        <w:rPr>
          <w:bCs/>
          <w:szCs w:val="21"/>
        </w:rPr>
      </w:pPr>
      <w:r>
        <w:rPr>
          <w:rFonts w:hint="eastAsia"/>
          <w:bCs/>
          <w:szCs w:val="21"/>
        </w:rPr>
        <w:t>29</w:t>
      </w:r>
      <w:r>
        <w:rPr>
          <w:rFonts w:hint="eastAsia"/>
          <w:bCs/>
          <w:szCs w:val="21"/>
        </w:rPr>
        <w:t>、基金信息披露义务人认为可能对基金份额持有人权益或者基金份额的价格产生重大影响的其他事项或中国证监会规定的和基金合同约定的其他事项。</w:t>
      </w:r>
    </w:p>
    <w:p w:rsidR="00D5306E" w:rsidRDefault="006D76AB">
      <w:pPr>
        <w:spacing w:line="360" w:lineRule="auto"/>
        <w:ind w:firstLineChars="200" w:firstLine="420"/>
        <w:rPr>
          <w:bCs/>
          <w:szCs w:val="21"/>
        </w:rPr>
      </w:pPr>
      <w:r>
        <w:rPr>
          <w:rFonts w:hint="eastAsia"/>
          <w:bCs/>
          <w:szCs w:val="21"/>
        </w:rPr>
        <w:lastRenderedPageBreak/>
        <w:t>（八）澄清公告</w:t>
      </w:r>
    </w:p>
    <w:p w:rsidR="00D5306E" w:rsidRDefault="006D76AB">
      <w:pPr>
        <w:spacing w:line="360" w:lineRule="auto"/>
        <w:ind w:firstLineChars="200" w:firstLine="420"/>
        <w:rPr>
          <w:bCs/>
          <w:szCs w:val="21"/>
        </w:rPr>
      </w:pPr>
      <w:r>
        <w:rPr>
          <w:rFonts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rsidR="00D5306E" w:rsidRDefault="006D76AB">
      <w:pPr>
        <w:spacing w:line="360" w:lineRule="auto"/>
        <w:ind w:firstLineChars="200" w:firstLine="420"/>
        <w:rPr>
          <w:bCs/>
          <w:szCs w:val="21"/>
        </w:rPr>
      </w:pPr>
      <w:r>
        <w:rPr>
          <w:rFonts w:hint="eastAsia"/>
          <w:bCs/>
          <w:szCs w:val="21"/>
        </w:rPr>
        <w:t>（九）清算报告</w:t>
      </w:r>
    </w:p>
    <w:p w:rsidR="00D5306E" w:rsidRDefault="006D76AB">
      <w:pPr>
        <w:spacing w:line="360" w:lineRule="auto"/>
        <w:ind w:firstLineChars="200" w:firstLine="420"/>
        <w:rPr>
          <w:bCs/>
          <w:szCs w:val="21"/>
        </w:rPr>
      </w:pPr>
      <w:r>
        <w:rPr>
          <w:rFonts w:hint="eastAsia"/>
          <w:bCs/>
          <w:szCs w:val="21"/>
        </w:rPr>
        <w:t>基金终止运作的，基金管理人应当依法组织基金财产清算小组对基金财产进行清算并作出清算报告。基金财产清算小组应当将清算报告登载在规定网站上，并将清算报告提示性公告登载在规定报刊上。</w:t>
      </w:r>
    </w:p>
    <w:p w:rsidR="00D5306E" w:rsidRDefault="006D76AB">
      <w:pPr>
        <w:spacing w:line="360" w:lineRule="auto"/>
        <w:ind w:firstLineChars="200" w:firstLine="420"/>
        <w:rPr>
          <w:bCs/>
          <w:szCs w:val="21"/>
        </w:rPr>
      </w:pPr>
      <w:r>
        <w:rPr>
          <w:rFonts w:hint="eastAsia"/>
          <w:bCs/>
          <w:szCs w:val="21"/>
        </w:rPr>
        <w:t>（十）基金份额持有人大会决议</w:t>
      </w:r>
    </w:p>
    <w:p w:rsidR="00D5306E" w:rsidRDefault="006D76AB">
      <w:pPr>
        <w:spacing w:line="360" w:lineRule="auto"/>
        <w:ind w:firstLineChars="200" w:firstLine="420"/>
        <w:rPr>
          <w:bCs/>
          <w:szCs w:val="21"/>
        </w:rPr>
      </w:pPr>
      <w:r>
        <w:rPr>
          <w:rFonts w:hint="eastAsia"/>
          <w:bCs/>
          <w:szCs w:val="21"/>
        </w:rPr>
        <w:t>基金份额持有人大会决定的事项，应当依法报中国证监会备案，并予以公告。</w:t>
      </w:r>
    </w:p>
    <w:p w:rsidR="00D5306E" w:rsidRDefault="006D76AB">
      <w:pPr>
        <w:spacing w:line="360" w:lineRule="auto"/>
        <w:ind w:firstLineChars="200" w:firstLine="420"/>
        <w:rPr>
          <w:bCs/>
          <w:szCs w:val="21"/>
        </w:rPr>
      </w:pPr>
      <w:r>
        <w:rPr>
          <w:rFonts w:hint="eastAsia"/>
          <w:bCs/>
          <w:szCs w:val="21"/>
        </w:rPr>
        <w:t>（十一）投资股指期货、国债期货、股票期权的信息披露</w:t>
      </w:r>
    </w:p>
    <w:p w:rsidR="00D5306E" w:rsidRDefault="006D76AB">
      <w:pPr>
        <w:spacing w:line="360" w:lineRule="auto"/>
        <w:ind w:firstLineChars="200" w:firstLine="420"/>
        <w:rPr>
          <w:bCs/>
          <w:szCs w:val="21"/>
        </w:rPr>
      </w:pPr>
      <w:r>
        <w:rPr>
          <w:rFonts w:hint="eastAsia"/>
          <w:bCs/>
          <w:szCs w:val="21"/>
        </w:rPr>
        <w:t>基金管理人应当在基金季度报告、基金中期报告、基金年度报告等定期报告和招募说明书（更新）等文件中披露股指期货、国债期货、股票期权交易情况，包括投资政策、持仓情况、损益情况、风险指标等，并充分揭示股指期货、国债期货、股票期权交易对基金总体风险的影响以及是否符合既定的投资政策和投资目标等。</w:t>
      </w:r>
    </w:p>
    <w:p w:rsidR="00D5306E" w:rsidRDefault="006D76AB">
      <w:pPr>
        <w:spacing w:line="360" w:lineRule="auto"/>
        <w:ind w:firstLineChars="200" w:firstLine="420"/>
        <w:rPr>
          <w:bCs/>
          <w:szCs w:val="21"/>
        </w:rPr>
      </w:pPr>
      <w:r>
        <w:rPr>
          <w:rFonts w:hint="eastAsia"/>
          <w:bCs/>
          <w:szCs w:val="21"/>
        </w:rPr>
        <w:t>（十二）投资资产支持证券的信息披露</w:t>
      </w:r>
    </w:p>
    <w:p w:rsidR="00D5306E" w:rsidRDefault="006D76AB">
      <w:pPr>
        <w:spacing w:line="360" w:lineRule="auto"/>
        <w:ind w:firstLineChars="200" w:firstLine="420"/>
        <w:rPr>
          <w:bCs/>
          <w:szCs w:val="21"/>
        </w:rPr>
      </w:pPr>
      <w:r>
        <w:rPr>
          <w:rFonts w:hint="eastAsia"/>
          <w:bCs/>
          <w:szCs w:val="21"/>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rsidR="00D5306E" w:rsidRDefault="006D76AB">
      <w:pPr>
        <w:spacing w:line="360" w:lineRule="auto"/>
        <w:ind w:firstLineChars="200" w:firstLine="420"/>
        <w:rPr>
          <w:bCs/>
          <w:szCs w:val="21"/>
        </w:rPr>
      </w:pPr>
      <w:r>
        <w:rPr>
          <w:rFonts w:hint="eastAsia"/>
          <w:bCs/>
          <w:szCs w:val="21"/>
        </w:rPr>
        <w:t>（十三）投资港股通标的股票的信息披露</w:t>
      </w:r>
    </w:p>
    <w:p w:rsidR="00D5306E" w:rsidRDefault="006D76AB">
      <w:pPr>
        <w:spacing w:line="360" w:lineRule="auto"/>
        <w:ind w:firstLineChars="200" w:firstLine="420"/>
        <w:rPr>
          <w:bCs/>
          <w:szCs w:val="21"/>
        </w:rPr>
      </w:pPr>
      <w:r>
        <w:rPr>
          <w:rFonts w:hint="eastAsia"/>
          <w:bCs/>
          <w:szCs w:val="21"/>
        </w:rPr>
        <w:t>基金管理人应当在季度报告、中期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w:t>
      </w:r>
    </w:p>
    <w:p w:rsidR="00D5306E" w:rsidRDefault="006D76AB">
      <w:pPr>
        <w:spacing w:line="360" w:lineRule="auto"/>
        <w:ind w:firstLineChars="200" w:firstLine="420"/>
        <w:rPr>
          <w:bCs/>
          <w:szCs w:val="21"/>
        </w:rPr>
      </w:pPr>
      <w:r>
        <w:rPr>
          <w:rFonts w:hint="eastAsia"/>
          <w:bCs/>
          <w:szCs w:val="21"/>
        </w:rPr>
        <w:t>（十四）投资流通受限证券的信息披露</w:t>
      </w:r>
    </w:p>
    <w:p w:rsidR="00D5306E" w:rsidRDefault="006D76AB">
      <w:pPr>
        <w:spacing w:line="360" w:lineRule="auto"/>
        <w:ind w:firstLineChars="200" w:firstLine="420"/>
        <w:rPr>
          <w:bCs/>
          <w:szCs w:val="21"/>
        </w:rPr>
      </w:pPr>
      <w:r>
        <w:rPr>
          <w:rFonts w:hint="eastAsia"/>
          <w:bCs/>
          <w:szCs w:val="21"/>
        </w:rPr>
        <w:t>基金管理人应在基金年报及中期报告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w:t>
      </w:r>
      <w:r>
        <w:rPr>
          <w:rFonts w:hint="eastAsia"/>
          <w:bCs/>
          <w:szCs w:val="21"/>
        </w:rPr>
        <w:t>10</w:t>
      </w:r>
      <w:r>
        <w:rPr>
          <w:rFonts w:hint="eastAsia"/>
          <w:bCs/>
          <w:szCs w:val="21"/>
        </w:rPr>
        <w:t>名流通受限证券明细。</w:t>
      </w:r>
    </w:p>
    <w:p w:rsidR="00D5306E" w:rsidRDefault="006D76AB">
      <w:pPr>
        <w:spacing w:line="360" w:lineRule="auto"/>
        <w:ind w:firstLineChars="200" w:firstLine="420"/>
        <w:rPr>
          <w:bCs/>
          <w:szCs w:val="21"/>
        </w:rPr>
      </w:pPr>
      <w:r>
        <w:rPr>
          <w:rFonts w:hint="eastAsia"/>
          <w:bCs/>
          <w:szCs w:val="21"/>
        </w:rPr>
        <w:t>（十五）参与融资业务的信息披露</w:t>
      </w:r>
    </w:p>
    <w:p w:rsidR="00D5306E" w:rsidRDefault="006D76AB">
      <w:pPr>
        <w:spacing w:line="360" w:lineRule="auto"/>
        <w:ind w:firstLineChars="200" w:firstLine="420"/>
        <w:rPr>
          <w:bCs/>
          <w:szCs w:val="21"/>
        </w:rPr>
      </w:pPr>
      <w:r>
        <w:rPr>
          <w:rFonts w:hint="eastAsia"/>
          <w:bCs/>
          <w:szCs w:val="21"/>
        </w:rPr>
        <w:t>本基金参与融资业务，基金管理人应在季度报告、中期报告、年度报告等定期报告和招募</w:t>
      </w:r>
      <w:r>
        <w:rPr>
          <w:rFonts w:hint="eastAsia"/>
          <w:bCs/>
          <w:szCs w:val="21"/>
        </w:rPr>
        <w:lastRenderedPageBreak/>
        <w:t>说明书（更新）等文件中披露参与融资交易情况，包括投资策略、业务开展情况、损益情况、风险及其管理情况等。</w:t>
      </w:r>
    </w:p>
    <w:p w:rsidR="00D5306E" w:rsidRDefault="006D76AB">
      <w:pPr>
        <w:spacing w:line="360" w:lineRule="auto"/>
        <w:ind w:firstLineChars="200" w:firstLine="420"/>
        <w:rPr>
          <w:bCs/>
          <w:szCs w:val="21"/>
        </w:rPr>
      </w:pPr>
      <w:r>
        <w:rPr>
          <w:rFonts w:hint="eastAsia"/>
          <w:bCs/>
          <w:szCs w:val="21"/>
        </w:rPr>
        <w:t>（十六）投资信用衍生品的信息披露</w:t>
      </w:r>
    </w:p>
    <w:p w:rsidR="00D5306E" w:rsidRDefault="006D76AB">
      <w:pPr>
        <w:spacing w:line="360" w:lineRule="auto"/>
        <w:ind w:firstLineChars="200" w:firstLine="420"/>
        <w:rPr>
          <w:bCs/>
          <w:szCs w:val="21"/>
        </w:rPr>
      </w:pPr>
      <w:r>
        <w:rPr>
          <w:rFonts w:hint="eastAsia"/>
          <w:bCs/>
          <w:szCs w:val="21"/>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rsidR="00D5306E" w:rsidRDefault="006D76AB">
      <w:pPr>
        <w:spacing w:line="360" w:lineRule="auto"/>
        <w:ind w:firstLineChars="200" w:firstLine="420"/>
        <w:rPr>
          <w:bCs/>
          <w:szCs w:val="21"/>
        </w:rPr>
      </w:pPr>
      <w:r>
        <w:rPr>
          <w:rFonts w:hint="eastAsia"/>
          <w:bCs/>
          <w:szCs w:val="21"/>
        </w:rPr>
        <w:t>（十七）实施侧袋机制期间的信息披露</w:t>
      </w:r>
    </w:p>
    <w:p w:rsidR="00D5306E" w:rsidRDefault="006D76AB">
      <w:pPr>
        <w:spacing w:line="360" w:lineRule="auto"/>
        <w:ind w:firstLineChars="200" w:firstLine="420"/>
        <w:rPr>
          <w:bCs/>
          <w:szCs w:val="21"/>
        </w:rPr>
      </w:pPr>
      <w:r>
        <w:rPr>
          <w:rFonts w:hint="eastAsia"/>
          <w:bCs/>
          <w:szCs w:val="21"/>
        </w:rPr>
        <w:t>本基金实施侧袋机制的，相关信息披露义务人应当根据法律法规、基金合同和招募说明书的规定进行信息披露，详见本招募说明书“侧袋机制”章节的规定。</w:t>
      </w:r>
    </w:p>
    <w:p w:rsidR="00D5306E" w:rsidRDefault="006D76AB">
      <w:pPr>
        <w:spacing w:line="360" w:lineRule="auto"/>
        <w:ind w:firstLineChars="200" w:firstLine="420"/>
        <w:rPr>
          <w:bCs/>
          <w:szCs w:val="21"/>
        </w:rPr>
      </w:pPr>
      <w:r>
        <w:rPr>
          <w:rFonts w:hint="eastAsia"/>
          <w:bCs/>
          <w:szCs w:val="21"/>
        </w:rPr>
        <w:t>（十八）中国证监会规定的其他信息</w:t>
      </w:r>
    </w:p>
    <w:p w:rsidR="00D5306E" w:rsidRDefault="006D76AB">
      <w:pPr>
        <w:spacing w:line="360" w:lineRule="auto"/>
        <w:ind w:firstLineChars="200" w:firstLine="420"/>
        <w:rPr>
          <w:bCs/>
          <w:szCs w:val="21"/>
        </w:rPr>
      </w:pPr>
      <w:r>
        <w:rPr>
          <w:rFonts w:hint="eastAsia"/>
          <w:bCs/>
          <w:szCs w:val="21"/>
        </w:rPr>
        <w:t>六、信息披露事务管理</w:t>
      </w:r>
    </w:p>
    <w:p w:rsidR="00D5306E" w:rsidRDefault="006D76AB">
      <w:pPr>
        <w:spacing w:line="360" w:lineRule="auto"/>
        <w:ind w:firstLineChars="200" w:firstLine="420"/>
        <w:rPr>
          <w:bCs/>
          <w:szCs w:val="21"/>
        </w:rPr>
      </w:pPr>
      <w:r>
        <w:rPr>
          <w:rFonts w:hint="eastAsia"/>
          <w:bCs/>
          <w:szCs w:val="21"/>
        </w:rPr>
        <w:t>基金管理人、基金托管人应当建立健全信息披露管理制度，指定专门部门及高级管理人员负责管理信息披露事务。</w:t>
      </w:r>
    </w:p>
    <w:p w:rsidR="00D5306E" w:rsidRDefault="006D76AB">
      <w:pPr>
        <w:spacing w:line="360" w:lineRule="auto"/>
        <w:ind w:firstLineChars="200" w:firstLine="420"/>
        <w:rPr>
          <w:bCs/>
          <w:szCs w:val="21"/>
        </w:rPr>
      </w:pPr>
      <w:r>
        <w:rPr>
          <w:rFonts w:hint="eastAsia"/>
          <w:bCs/>
          <w:szCs w:val="21"/>
        </w:rPr>
        <w:t>基金信息披露义务人公开披露基金信息，应当符合中国证监会相关基金信息披露内容与格式准则等法规的规定。</w:t>
      </w:r>
    </w:p>
    <w:p w:rsidR="00D5306E" w:rsidRDefault="006D76AB">
      <w:pPr>
        <w:spacing w:line="360" w:lineRule="auto"/>
        <w:ind w:firstLineChars="200" w:firstLine="420"/>
        <w:rPr>
          <w:bCs/>
          <w:szCs w:val="21"/>
        </w:rPr>
      </w:pPr>
      <w:r>
        <w:rPr>
          <w:rFonts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rsidR="00D5306E" w:rsidRDefault="006D76AB">
      <w:pPr>
        <w:spacing w:line="360" w:lineRule="auto"/>
        <w:ind w:firstLineChars="200" w:firstLine="420"/>
        <w:rPr>
          <w:bCs/>
          <w:szCs w:val="21"/>
        </w:rPr>
      </w:pPr>
      <w:r>
        <w:rPr>
          <w:rFonts w:hint="eastAsia"/>
          <w:bCs/>
          <w:szCs w:val="21"/>
        </w:rPr>
        <w:t>基金管理人、基金托管人应当在规定报刊中选择披露信息的报刊。</w:t>
      </w:r>
    </w:p>
    <w:p w:rsidR="00D5306E" w:rsidRDefault="006D76AB">
      <w:pPr>
        <w:spacing w:line="360" w:lineRule="auto"/>
        <w:ind w:firstLineChars="200" w:firstLine="420"/>
        <w:rPr>
          <w:bCs/>
          <w:szCs w:val="21"/>
        </w:rPr>
      </w:pPr>
      <w:r>
        <w:rPr>
          <w:rFonts w:hint="eastAsia"/>
          <w:bCs/>
          <w:szCs w:val="21"/>
        </w:rPr>
        <w:t>基金管理人、基金托管人应当向中国证监会基金电子披露网站报送拟披露的基金信息，并保证相关报送信息的真实、准确、完整、及时。</w:t>
      </w:r>
    </w:p>
    <w:p w:rsidR="00D5306E" w:rsidRDefault="006D76AB">
      <w:pPr>
        <w:spacing w:line="360" w:lineRule="auto"/>
        <w:ind w:firstLineChars="200" w:firstLine="420"/>
        <w:rPr>
          <w:bCs/>
          <w:szCs w:val="21"/>
        </w:rPr>
      </w:pPr>
      <w:r>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D5306E" w:rsidRDefault="006D76AB">
      <w:pPr>
        <w:spacing w:line="360" w:lineRule="auto"/>
        <w:ind w:firstLineChars="200" w:firstLine="420"/>
        <w:rPr>
          <w:bCs/>
          <w:szCs w:val="21"/>
        </w:rPr>
      </w:pPr>
      <w:r>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rsidR="00D5306E" w:rsidRDefault="006D76AB">
      <w:pPr>
        <w:spacing w:line="360" w:lineRule="auto"/>
        <w:ind w:firstLineChars="200" w:firstLine="420"/>
        <w:rPr>
          <w:bCs/>
          <w:szCs w:val="21"/>
        </w:rPr>
      </w:pPr>
      <w:r>
        <w:rPr>
          <w:rFonts w:hint="eastAsia"/>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Pr>
          <w:rFonts w:hint="eastAsia"/>
          <w:bCs/>
          <w:szCs w:val="21"/>
        </w:rPr>
        <w:t>年。</w:t>
      </w:r>
    </w:p>
    <w:p w:rsidR="00D5306E" w:rsidRDefault="006D76AB">
      <w:pPr>
        <w:spacing w:line="360" w:lineRule="auto"/>
        <w:ind w:firstLineChars="200" w:firstLine="422"/>
        <w:rPr>
          <w:b/>
          <w:bCs/>
          <w:szCs w:val="21"/>
        </w:rPr>
      </w:pPr>
      <w:r>
        <w:rPr>
          <w:rFonts w:hint="eastAsia"/>
          <w:b/>
          <w:bCs/>
          <w:szCs w:val="21"/>
        </w:rPr>
        <w:t>七、信息披露文件的存放与查阅</w:t>
      </w:r>
    </w:p>
    <w:p w:rsidR="00D5306E" w:rsidRDefault="006D76AB">
      <w:pPr>
        <w:spacing w:line="360" w:lineRule="auto"/>
        <w:ind w:firstLineChars="200" w:firstLine="420"/>
        <w:rPr>
          <w:bCs/>
          <w:szCs w:val="21"/>
        </w:rPr>
      </w:pPr>
      <w:r>
        <w:rPr>
          <w:rFonts w:hint="eastAsia"/>
          <w:bCs/>
          <w:szCs w:val="21"/>
        </w:rPr>
        <w:lastRenderedPageBreak/>
        <w:t>依法必须披露的信息发布后，基金管理人、基金托管人应当按照相关法律法规规定将信息置备于公司住所，以供社会公众查阅、复制。</w:t>
      </w:r>
    </w:p>
    <w:p w:rsidR="00D5306E" w:rsidRDefault="006D76AB">
      <w:pPr>
        <w:spacing w:line="360" w:lineRule="auto"/>
        <w:ind w:firstLineChars="200" w:firstLine="422"/>
        <w:rPr>
          <w:b/>
          <w:bCs/>
          <w:szCs w:val="21"/>
        </w:rPr>
      </w:pPr>
      <w:r>
        <w:rPr>
          <w:rFonts w:hint="eastAsia"/>
          <w:b/>
          <w:bCs/>
          <w:szCs w:val="21"/>
        </w:rPr>
        <w:t>八、暂停或延迟信息披露的情形</w:t>
      </w:r>
    </w:p>
    <w:p w:rsidR="00D5306E" w:rsidRDefault="006D76AB">
      <w:pPr>
        <w:spacing w:line="360" w:lineRule="auto"/>
        <w:ind w:firstLineChars="200" w:firstLine="420"/>
        <w:rPr>
          <w:bCs/>
          <w:szCs w:val="21"/>
        </w:rPr>
      </w:pPr>
      <w:r>
        <w:rPr>
          <w:rFonts w:hint="eastAsia"/>
          <w:bCs/>
          <w:szCs w:val="21"/>
        </w:rPr>
        <w:t>1</w:t>
      </w:r>
      <w:r>
        <w:rPr>
          <w:rFonts w:hint="eastAsia"/>
          <w:bCs/>
          <w:szCs w:val="21"/>
        </w:rPr>
        <w:t>、不可抗力；</w:t>
      </w:r>
    </w:p>
    <w:p w:rsidR="00D5306E" w:rsidRDefault="006D76AB">
      <w:pPr>
        <w:spacing w:line="360" w:lineRule="auto"/>
        <w:ind w:firstLineChars="200" w:firstLine="420"/>
        <w:rPr>
          <w:bCs/>
          <w:szCs w:val="21"/>
        </w:rPr>
      </w:pPr>
      <w:r>
        <w:rPr>
          <w:rFonts w:hint="eastAsia"/>
          <w:bCs/>
          <w:szCs w:val="21"/>
        </w:rPr>
        <w:t>2</w:t>
      </w:r>
      <w:r>
        <w:rPr>
          <w:rFonts w:hint="eastAsia"/>
          <w:bCs/>
          <w:szCs w:val="21"/>
        </w:rPr>
        <w:t>、基金投资所涉及的证券、期货交易所或外汇市场遇法定节假日或因其他原因暂停营业时；</w:t>
      </w:r>
    </w:p>
    <w:p w:rsidR="00D5306E" w:rsidRDefault="006D76AB">
      <w:pPr>
        <w:spacing w:line="360" w:lineRule="auto"/>
        <w:ind w:firstLineChars="200" w:firstLine="420"/>
        <w:rPr>
          <w:bCs/>
          <w:sz w:val="24"/>
          <w:szCs w:val="20"/>
        </w:rPr>
        <w:sectPr w:rsidR="00D5306E">
          <w:footerReference w:type="default" r:id="rId43"/>
          <w:pgSz w:w="12240" w:h="15840"/>
          <w:pgMar w:top="1440" w:right="1800" w:bottom="1440" w:left="1800" w:header="720" w:footer="720" w:gutter="0"/>
          <w:pgNumType w:start="1"/>
          <w:cols w:space="720"/>
        </w:sectPr>
      </w:pPr>
      <w:r>
        <w:rPr>
          <w:rFonts w:hint="eastAsia"/>
          <w:bCs/>
          <w:szCs w:val="21"/>
        </w:rPr>
        <w:t>3</w:t>
      </w:r>
      <w:r>
        <w:rPr>
          <w:rFonts w:hint="eastAsia"/>
          <w:bCs/>
          <w:szCs w:val="21"/>
        </w:rPr>
        <w:t>、法律法规规定、中国证监会或基金合同认定的其他情形。</w:t>
      </w:r>
    </w:p>
    <w:p w:rsidR="00D5306E" w:rsidRDefault="006D76AB">
      <w:pPr>
        <w:pStyle w:val="11"/>
        <w:rPr>
          <w:rFonts w:ascii="Arial Unicode MS" w:eastAsia="宋体" w:hAnsi="Arial Unicode MS" w:cs="Arial"/>
          <w:b/>
          <w:bCs/>
          <w:sz w:val="28"/>
          <w:szCs w:val="28"/>
        </w:rPr>
      </w:pPr>
      <w:bookmarkStart w:id="146" w:name="_Toc47604320"/>
      <w:bookmarkStart w:id="147" w:name="_Toc47622428"/>
      <w:bookmarkStart w:id="148" w:name="_Toc429490293"/>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六</w:t>
      </w:r>
      <w:r>
        <w:rPr>
          <w:rFonts w:ascii="Arial Unicode MS" w:eastAsia="宋体" w:hAnsi="Arial Unicode MS" w:cs="Arial"/>
          <w:b/>
          <w:bCs/>
          <w:sz w:val="28"/>
          <w:szCs w:val="28"/>
        </w:rPr>
        <w:t>部分</w:t>
      </w:r>
      <w:r>
        <w:rPr>
          <w:rFonts w:ascii="Arial Unicode MS" w:eastAsia="宋体" w:hAnsi="Arial Unicode MS" w:cs="Arial" w:hint="eastAsia"/>
          <w:b/>
          <w:bCs/>
          <w:sz w:val="28"/>
          <w:szCs w:val="28"/>
        </w:rPr>
        <w:t xml:space="preserve"> </w:t>
      </w:r>
      <w:r>
        <w:rPr>
          <w:rFonts w:ascii="Arial Unicode MS" w:eastAsia="宋体" w:hAnsi="Arial Unicode MS" w:cs="Arial"/>
          <w:b/>
          <w:bCs/>
          <w:sz w:val="28"/>
          <w:szCs w:val="28"/>
        </w:rPr>
        <w:t xml:space="preserve"> </w:t>
      </w:r>
      <w:r>
        <w:rPr>
          <w:rFonts w:ascii="Arial Unicode MS" w:eastAsia="宋体" w:hAnsi="Arial Unicode MS" w:cs="Arial" w:hint="eastAsia"/>
          <w:b/>
          <w:bCs/>
          <w:sz w:val="28"/>
          <w:szCs w:val="28"/>
        </w:rPr>
        <w:t>侧袋机制</w:t>
      </w:r>
      <w:bookmarkEnd w:id="146"/>
      <w:bookmarkEnd w:id="147"/>
    </w:p>
    <w:p w:rsidR="00D5306E" w:rsidRDefault="00D5306E">
      <w:pPr>
        <w:spacing w:line="360" w:lineRule="auto"/>
        <w:rPr>
          <w:b/>
        </w:rPr>
      </w:pPr>
    </w:p>
    <w:p w:rsidR="00D5306E" w:rsidRDefault="006D76AB">
      <w:pPr>
        <w:spacing w:line="360" w:lineRule="auto"/>
        <w:ind w:firstLineChars="200" w:firstLine="422"/>
        <w:rPr>
          <w:b/>
        </w:rPr>
      </w:pPr>
      <w:r>
        <w:rPr>
          <w:rFonts w:hint="eastAsia"/>
          <w:b/>
        </w:rPr>
        <w:t>一、侧袋机制的实施条件、实施程序和特定资产范围</w:t>
      </w:r>
      <w:r>
        <w:rPr>
          <w:rFonts w:hint="eastAsia"/>
          <w:b/>
        </w:rPr>
        <w:t xml:space="preserve"> </w:t>
      </w:r>
    </w:p>
    <w:p w:rsidR="00D5306E" w:rsidRDefault="006D76AB">
      <w:pPr>
        <w:spacing w:line="360" w:lineRule="auto"/>
        <w:ind w:firstLineChars="200"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基金管理人应当在启用侧袋机制当日报中国证监会及公司所在地中国证监会派出机构备案。</w:t>
      </w:r>
    </w:p>
    <w:p w:rsidR="00D5306E" w:rsidRDefault="006D76AB">
      <w:pPr>
        <w:spacing w:line="360" w:lineRule="auto"/>
        <w:ind w:firstLineChars="200" w:firstLine="420"/>
      </w:pPr>
      <w:r>
        <w:rPr>
          <w:rFonts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D5306E" w:rsidRDefault="006D76AB">
      <w:pPr>
        <w:spacing w:line="360" w:lineRule="auto"/>
        <w:ind w:firstLineChars="200" w:firstLine="420"/>
      </w:pPr>
      <w:r>
        <w:rPr>
          <w:rFonts w:hint="eastAsia"/>
        </w:rPr>
        <w:t>启用侧袋机制当日，基金管理人应以基金份额持有人的原有账户份额为基础，确认相应侧袋账户基金份额持有人名册和份额。</w:t>
      </w:r>
    </w:p>
    <w:p w:rsidR="00D5306E" w:rsidRDefault="00D5306E">
      <w:pPr>
        <w:spacing w:line="360" w:lineRule="auto"/>
        <w:ind w:firstLineChars="200" w:firstLine="422"/>
        <w:rPr>
          <w:b/>
        </w:rPr>
      </w:pPr>
    </w:p>
    <w:p w:rsidR="00D5306E" w:rsidRDefault="006D76AB">
      <w:pPr>
        <w:spacing w:line="360" w:lineRule="auto"/>
        <w:ind w:firstLineChars="200" w:firstLine="422"/>
        <w:rPr>
          <w:b/>
        </w:rPr>
      </w:pPr>
      <w:r>
        <w:rPr>
          <w:rFonts w:hint="eastAsia"/>
          <w:b/>
        </w:rPr>
        <w:t>二、侧袋机制实施期间的基金运作安排</w:t>
      </w:r>
    </w:p>
    <w:p w:rsidR="00D5306E" w:rsidRDefault="006D76AB">
      <w:pPr>
        <w:spacing w:line="360" w:lineRule="auto"/>
        <w:ind w:firstLineChars="200" w:firstLine="420"/>
      </w:pPr>
      <w:r>
        <w:rPr>
          <w:rFonts w:hint="eastAsia"/>
        </w:rPr>
        <w:t>（一）基金份额的申购与赎回</w:t>
      </w:r>
    </w:p>
    <w:p w:rsidR="00D5306E" w:rsidRDefault="006D76AB">
      <w:pPr>
        <w:spacing w:line="360" w:lineRule="auto"/>
        <w:ind w:firstLineChars="200" w:firstLine="420"/>
      </w:pPr>
      <w:r>
        <w:rPr>
          <w:rFonts w:hint="eastAsia"/>
        </w:rPr>
        <w:t>1</w:t>
      </w:r>
      <w:r>
        <w:rPr>
          <w:rFonts w:hint="eastAsia"/>
        </w:rPr>
        <w:t>、侧袋机制实施期间，基金管理人不办理侧袋账户份额的申购、赎回和转换。基金份额持有人申请申购、赎回或转换侧袋账户份额的，该申购、赎回或转换申请将被拒绝。</w:t>
      </w:r>
    </w:p>
    <w:p w:rsidR="00D5306E" w:rsidRDefault="006D76AB">
      <w:pPr>
        <w:spacing w:line="360" w:lineRule="auto"/>
        <w:ind w:firstLineChars="200" w:firstLine="420"/>
      </w:pPr>
      <w:r>
        <w:rPr>
          <w:rFonts w:hint="eastAsia"/>
        </w:rPr>
        <w:t>2</w:t>
      </w:r>
      <w:r>
        <w:rPr>
          <w:rFonts w:hint="eastAsia"/>
        </w:rPr>
        <w:t>、当特定资产占前一估值日基金资产净值</w:t>
      </w:r>
      <w:r>
        <w:rPr>
          <w:rFonts w:hint="eastAsia"/>
        </w:rPr>
        <w:t>50%</w:t>
      </w:r>
      <w:r>
        <w:rPr>
          <w:rFonts w:hint="eastAsia"/>
        </w:rPr>
        <w:t>以上的，经与基金托管人协商确认后，基金管理人应当暂停基金估值，并暂停接受基金申购赎回申请或延缓支付赎回款项。</w:t>
      </w:r>
    </w:p>
    <w:p w:rsidR="00D5306E" w:rsidRDefault="006D76AB">
      <w:pPr>
        <w:spacing w:line="360" w:lineRule="auto"/>
        <w:ind w:firstLineChars="200" w:firstLine="420"/>
      </w:pPr>
      <w:r>
        <w:rPr>
          <w:rFonts w:hint="eastAsia"/>
        </w:rPr>
        <w:t>3</w:t>
      </w:r>
      <w:r>
        <w:rPr>
          <w:rFonts w:hint="eastAsia"/>
        </w:rPr>
        <w:t>、基金管理人依法保障主袋账户份额持有人享有基金合同约定的赎回权利，并根据主袋账户运作情况合理确定申购事项，具体事项届时由基金管理人在相关公告中规定。</w:t>
      </w:r>
    </w:p>
    <w:p w:rsidR="00D5306E" w:rsidRDefault="006D76AB">
      <w:pPr>
        <w:spacing w:line="360" w:lineRule="auto"/>
        <w:ind w:firstLineChars="200" w:firstLine="420"/>
      </w:pPr>
      <w:r>
        <w:rPr>
          <w:rFonts w:hint="eastAsia"/>
        </w:rPr>
        <w:t xml:space="preserve"> </w:t>
      </w:r>
      <w:r>
        <w:rPr>
          <w:rFonts w:hint="eastAsia"/>
        </w:rPr>
        <w:t>（二）基金的投资</w:t>
      </w:r>
    </w:p>
    <w:p w:rsidR="00D5306E" w:rsidRDefault="006D76AB">
      <w:pPr>
        <w:spacing w:line="360" w:lineRule="auto"/>
        <w:ind w:firstLineChars="200" w:firstLine="420"/>
      </w:pPr>
      <w:r>
        <w:rPr>
          <w:rFonts w:hint="eastAsia"/>
        </w:rPr>
        <w:t>侧袋机制实施期间，本基金的各项投资运作指标和基金业绩指标应当以主袋账户资产为基准。</w:t>
      </w:r>
    </w:p>
    <w:p w:rsidR="00D5306E" w:rsidRDefault="006D76AB">
      <w:pPr>
        <w:spacing w:line="360" w:lineRule="auto"/>
        <w:ind w:firstLineChars="200" w:firstLine="420"/>
      </w:pPr>
      <w:r>
        <w:rPr>
          <w:rFonts w:hint="eastAsia"/>
        </w:rPr>
        <w:t>基金管理人原则上应当在侧袋机制启用后</w:t>
      </w:r>
      <w:r>
        <w:rPr>
          <w:rFonts w:hint="eastAsia"/>
        </w:rPr>
        <w:t>20</w:t>
      </w:r>
      <w:r>
        <w:rPr>
          <w:rFonts w:hint="eastAsia"/>
        </w:rPr>
        <w:t>个交易日内完成对主袋账户投资组合的调整，但因资产流动性受限等中国证监会规定的情形除外。</w:t>
      </w:r>
    </w:p>
    <w:p w:rsidR="00D5306E" w:rsidRDefault="006D76AB">
      <w:pPr>
        <w:spacing w:line="360" w:lineRule="auto"/>
        <w:ind w:firstLineChars="200" w:firstLine="420"/>
      </w:pPr>
      <w:r>
        <w:rPr>
          <w:rFonts w:hint="eastAsia"/>
        </w:rPr>
        <w:t>（三）基金的费用</w:t>
      </w:r>
    </w:p>
    <w:p w:rsidR="00D5306E" w:rsidRDefault="006D76AB">
      <w:pPr>
        <w:spacing w:line="360" w:lineRule="auto"/>
        <w:ind w:firstLineChars="200" w:firstLine="420"/>
      </w:pPr>
      <w:r>
        <w:rPr>
          <w:rFonts w:hint="eastAsia"/>
        </w:rPr>
        <w:t>侧袋机制实施期间，侧袋账户资产不收取管理费。如法律法规对于侧袋账户资产托管费的收取另有规定的，以法律法规最新要求为准。</w:t>
      </w:r>
    </w:p>
    <w:p w:rsidR="00D5306E" w:rsidRDefault="006D76AB">
      <w:pPr>
        <w:spacing w:line="360" w:lineRule="auto"/>
        <w:ind w:firstLineChars="200" w:firstLine="420"/>
      </w:pPr>
      <w:r>
        <w:rPr>
          <w:rFonts w:hint="eastAsia"/>
        </w:rPr>
        <w:t>基金管理人可以将与侧袋账户有关的费用从侧袋账户资产中列支，但应待特定资产变现后方可列支。</w:t>
      </w:r>
      <w:r>
        <w:rPr>
          <w:rFonts w:hint="eastAsia"/>
        </w:rPr>
        <w:t xml:space="preserve"> </w:t>
      </w:r>
    </w:p>
    <w:p w:rsidR="00D5306E" w:rsidRDefault="006D76AB">
      <w:pPr>
        <w:spacing w:line="360" w:lineRule="auto"/>
        <w:ind w:firstLineChars="200" w:firstLine="420"/>
      </w:pPr>
      <w:r>
        <w:rPr>
          <w:rFonts w:hint="eastAsia"/>
        </w:rPr>
        <w:t>（四）基金的收益分配</w:t>
      </w:r>
    </w:p>
    <w:p w:rsidR="00D5306E" w:rsidRDefault="006D76AB">
      <w:pPr>
        <w:spacing w:line="360" w:lineRule="auto"/>
        <w:ind w:firstLineChars="200" w:firstLine="420"/>
      </w:pPr>
      <w:r>
        <w:rPr>
          <w:rFonts w:hint="eastAsia"/>
        </w:rPr>
        <w:t>侧袋机制实施期间，在主袋账户份额满足基金合同收益分配条件的情形下，基金管理人</w:t>
      </w:r>
      <w:r>
        <w:rPr>
          <w:rFonts w:hint="eastAsia"/>
        </w:rPr>
        <w:lastRenderedPageBreak/>
        <w:t>可对主袋账户份额进行收益分配。侧袋账户份额不再适用基金合同的收益与分配条款。</w:t>
      </w:r>
    </w:p>
    <w:p w:rsidR="00D5306E" w:rsidRDefault="006D76AB">
      <w:pPr>
        <w:spacing w:line="360" w:lineRule="auto"/>
        <w:ind w:firstLineChars="200" w:firstLine="420"/>
      </w:pPr>
      <w:r>
        <w:rPr>
          <w:rFonts w:hint="eastAsia"/>
        </w:rPr>
        <w:t>（五）基金的信息披露</w:t>
      </w:r>
    </w:p>
    <w:p w:rsidR="00D5306E" w:rsidRDefault="006D76AB">
      <w:pPr>
        <w:spacing w:line="360" w:lineRule="auto"/>
        <w:ind w:firstLineChars="200" w:firstLine="420"/>
      </w:pPr>
      <w:r>
        <w:rPr>
          <w:rFonts w:hint="eastAsia"/>
        </w:rPr>
        <w:t>1</w:t>
      </w:r>
      <w:r>
        <w:rPr>
          <w:rFonts w:hint="eastAsia"/>
        </w:rPr>
        <w:t>、基金净值信息</w:t>
      </w:r>
    </w:p>
    <w:p w:rsidR="00D5306E" w:rsidRDefault="006D76AB">
      <w:pPr>
        <w:spacing w:line="360" w:lineRule="auto"/>
        <w:ind w:firstLineChars="200" w:firstLine="420"/>
      </w:pPr>
      <w:r>
        <w:rPr>
          <w:rFonts w:hint="eastAsia"/>
        </w:rPr>
        <w:t>侧袋机制实施期间，基金管理人应当暂停披露侧袋账户的基金份额净值。</w:t>
      </w:r>
    </w:p>
    <w:p w:rsidR="00D5306E" w:rsidRDefault="006D76AB">
      <w:pPr>
        <w:spacing w:line="360" w:lineRule="auto"/>
        <w:ind w:firstLineChars="200" w:firstLine="420"/>
      </w:pPr>
      <w:r>
        <w:rPr>
          <w:rFonts w:hint="eastAsia"/>
        </w:rPr>
        <w:t>2</w:t>
      </w:r>
      <w:r>
        <w:rPr>
          <w:rFonts w:hint="eastAsia"/>
        </w:rPr>
        <w:t>、定期报告</w:t>
      </w:r>
    </w:p>
    <w:p w:rsidR="00D5306E" w:rsidRDefault="006D76AB">
      <w:pPr>
        <w:spacing w:line="360" w:lineRule="auto"/>
        <w:ind w:firstLineChars="200" w:firstLine="420"/>
      </w:pPr>
      <w:r>
        <w:rPr>
          <w:rFonts w:hint="eastAsia"/>
        </w:rPr>
        <w:t>基金管理人应当在基金定期报告中披露报告期内特定资产处置进展情况。基金管理人披露报告期末特定资产可变现净值或净值区间的，该净值或净值区间并不代表特定资产最终变现价格。</w:t>
      </w:r>
    </w:p>
    <w:p w:rsidR="00D5306E" w:rsidRDefault="006D76AB">
      <w:pPr>
        <w:spacing w:line="360" w:lineRule="auto"/>
        <w:ind w:firstLineChars="200" w:firstLine="420"/>
      </w:pPr>
      <w:r>
        <w:rPr>
          <w:rFonts w:hint="eastAsia"/>
        </w:rPr>
        <w:t>3</w:t>
      </w:r>
      <w:r>
        <w:rPr>
          <w:rFonts w:hint="eastAsia"/>
        </w:rPr>
        <w:t>、临时报告</w:t>
      </w:r>
    </w:p>
    <w:p w:rsidR="00D5306E" w:rsidRDefault="006D76AB">
      <w:pPr>
        <w:spacing w:line="360" w:lineRule="auto"/>
        <w:ind w:firstLineChars="200" w:firstLine="420"/>
      </w:pPr>
      <w:r>
        <w:rPr>
          <w:rFonts w:hint="eastAsia"/>
        </w:rPr>
        <w:t>基金管理人在启用侧袋机制、处置特定资产、终止侧袋机制以及发生其他可能对投资者利益产生重大影响的事项后应及时发布临时公告。</w:t>
      </w:r>
    </w:p>
    <w:p w:rsidR="00D5306E" w:rsidRDefault="006D76AB">
      <w:pPr>
        <w:spacing w:line="360" w:lineRule="auto"/>
        <w:ind w:firstLineChars="200" w:firstLine="420"/>
      </w:pPr>
      <w:r>
        <w:rPr>
          <w:rFonts w:hint="eastAsia"/>
        </w:rPr>
        <w:t>启用侧袋机制的临时公告内容应当包括启用原因及程序、特定资产流动性和估值情况、对投资者申购赎回的影响、风险提示等重要信息。</w:t>
      </w:r>
    </w:p>
    <w:p w:rsidR="00D5306E" w:rsidRDefault="006D76AB">
      <w:pPr>
        <w:spacing w:line="360" w:lineRule="auto"/>
        <w:ind w:firstLineChars="200" w:firstLine="420"/>
      </w:pPr>
      <w:r>
        <w:rPr>
          <w:rFonts w:hint="eastAsia"/>
        </w:rPr>
        <w:t>处置特定资产的临时公告内容应当包括特定资产处置价格和时间、向侧袋账户份额持有人支付的款项、相关费用发生情况等重要信息。</w:t>
      </w:r>
    </w:p>
    <w:p w:rsidR="00D5306E" w:rsidRDefault="006D76AB">
      <w:pPr>
        <w:spacing w:line="360" w:lineRule="auto"/>
        <w:ind w:firstLineChars="200" w:firstLine="420"/>
      </w:pPr>
      <w:r>
        <w:rPr>
          <w:rFonts w:hint="eastAsia"/>
        </w:rPr>
        <w:t>（六）特定资产处置清算</w:t>
      </w:r>
    </w:p>
    <w:p w:rsidR="00D5306E" w:rsidRDefault="006D76AB">
      <w:pPr>
        <w:spacing w:line="360" w:lineRule="auto"/>
        <w:ind w:firstLineChars="200" w:firstLine="420"/>
      </w:pPr>
      <w:r>
        <w:rPr>
          <w:rFonts w:hint="eastAsia"/>
        </w:rPr>
        <w:t>基金管理人将按照基金份额持有人利益最大化原则，采取将特定资产予以处置变现等方式，及时向侧袋账户份额持有人支付对应款项。</w:t>
      </w:r>
    </w:p>
    <w:p w:rsidR="00D5306E" w:rsidRDefault="006D76AB">
      <w:pPr>
        <w:spacing w:line="360" w:lineRule="auto"/>
        <w:ind w:firstLineChars="200" w:firstLine="420"/>
      </w:pPr>
      <w:r>
        <w:rPr>
          <w:rFonts w:hint="eastAsia"/>
        </w:rPr>
        <w:t>（七）侧袋的审计</w:t>
      </w:r>
    </w:p>
    <w:p w:rsidR="00D5306E" w:rsidRDefault="006D76AB">
      <w:pPr>
        <w:spacing w:line="360" w:lineRule="auto"/>
        <w:ind w:firstLineChars="200" w:firstLine="420"/>
      </w:pPr>
      <w:r>
        <w:rPr>
          <w:rFonts w:hint="eastAsia"/>
        </w:rPr>
        <w:t>基金管理人应当在启用侧袋机制和终止侧袋机制后，及时聘请符合《证券法》规定的会计师事务所进行审计并披露专项审计意见。</w:t>
      </w:r>
    </w:p>
    <w:p w:rsidR="00D5306E" w:rsidRDefault="00D5306E">
      <w:pPr>
        <w:spacing w:line="360" w:lineRule="auto"/>
        <w:ind w:firstLineChars="200" w:firstLine="420"/>
      </w:pPr>
    </w:p>
    <w:p w:rsidR="00D5306E" w:rsidRDefault="006D76AB">
      <w:pPr>
        <w:spacing w:line="360" w:lineRule="auto"/>
        <w:ind w:firstLineChars="200" w:firstLine="422"/>
        <w:rPr>
          <w:b/>
        </w:rPr>
      </w:pPr>
      <w:r>
        <w:rPr>
          <w:rFonts w:hint="eastAsia"/>
          <w:b/>
        </w:rPr>
        <w:t>三、本部分关于侧袋机制的相关规定，凡是直接引用法律法规或监管规则的部分，如将来法律法规或监管规则修改导致相关内容被取消或变更的，或将来法律法规或监管规则针对</w:t>
      </w:r>
      <w:r>
        <w:rPr>
          <w:b/>
        </w:rPr>
        <w:t>侧袋机制</w:t>
      </w:r>
      <w:r>
        <w:rPr>
          <w:rFonts w:hint="eastAsia"/>
          <w:b/>
        </w:rPr>
        <w:t>的</w:t>
      </w:r>
      <w:r>
        <w:rPr>
          <w:b/>
        </w:rPr>
        <w:t>内容有</w:t>
      </w:r>
      <w:r>
        <w:rPr>
          <w:rFonts w:hint="eastAsia"/>
          <w:b/>
        </w:rPr>
        <w:t>进一步</w:t>
      </w:r>
      <w:r>
        <w:rPr>
          <w:b/>
        </w:rPr>
        <w:t>规定的，</w:t>
      </w:r>
      <w:r>
        <w:rPr>
          <w:rFonts w:hint="eastAsia"/>
          <w:b/>
        </w:rPr>
        <w:t>基金管理人经与基金托管人协商一致并履行适当程序后，在对基金份额持有人利益无实质性不利影响的前提下，可直接对本部分内容进行修改、调整或</w:t>
      </w:r>
      <w:r>
        <w:rPr>
          <w:b/>
        </w:rPr>
        <w:t>补充</w:t>
      </w:r>
      <w:r>
        <w:rPr>
          <w:rFonts w:hint="eastAsia"/>
          <w:b/>
        </w:rPr>
        <w:t>，无需召开基金份额持有人大会审议。</w:t>
      </w:r>
    </w:p>
    <w:p w:rsidR="00D5306E" w:rsidRDefault="00D5306E">
      <w:pPr>
        <w:spacing w:line="360" w:lineRule="auto"/>
        <w:ind w:firstLineChars="200" w:firstLine="420"/>
      </w:pPr>
    </w:p>
    <w:p w:rsidR="00D5306E" w:rsidRDefault="00D5306E">
      <w:pPr>
        <w:spacing w:line="360" w:lineRule="auto"/>
        <w:ind w:firstLineChars="200" w:firstLine="420"/>
        <w:sectPr w:rsidR="00D5306E">
          <w:headerReference w:type="default" r:id="rId44"/>
          <w:footerReference w:type="default" r:id="rId45"/>
          <w:footerReference w:type="first" r:id="rId46"/>
          <w:pgSz w:w="11906" w:h="16838"/>
          <w:pgMar w:top="1440" w:right="1800" w:bottom="1440" w:left="1800" w:header="851" w:footer="992" w:gutter="0"/>
          <w:pgNumType w:start="1"/>
          <w:cols w:space="720"/>
          <w:docGrid w:linePitch="312"/>
        </w:sectPr>
      </w:pPr>
    </w:p>
    <w:p w:rsidR="00D5306E" w:rsidRDefault="006D76AB">
      <w:pPr>
        <w:pStyle w:val="11"/>
        <w:snapToGrid w:val="0"/>
        <w:spacing w:before="0" w:after="0" w:line="360" w:lineRule="auto"/>
        <w:rPr>
          <w:rFonts w:ascii="Arial Unicode MS" w:eastAsia="宋体" w:hAnsi="Arial Unicode MS" w:cs="Arial"/>
          <w:b/>
          <w:bCs/>
          <w:sz w:val="28"/>
          <w:szCs w:val="28"/>
        </w:rPr>
      </w:pPr>
      <w:bookmarkStart w:id="149" w:name="_Toc47622429"/>
      <w:bookmarkStart w:id="150" w:name="_Toc47604321"/>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七</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风险揭示</w:t>
      </w:r>
      <w:bookmarkEnd w:id="138"/>
      <w:bookmarkEnd w:id="139"/>
      <w:bookmarkEnd w:id="140"/>
      <w:bookmarkEnd w:id="141"/>
      <w:bookmarkEnd w:id="142"/>
      <w:bookmarkEnd w:id="143"/>
      <w:bookmarkEnd w:id="144"/>
      <w:bookmarkEnd w:id="145"/>
      <w:bookmarkEnd w:id="148"/>
      <w:bookmarkEnd w:id="149"/>
      <w:bookmarkEnd w:id="150"/>
    </w:p>
    <w:p w:rsidR="00D5306E" w:rsidRDefault="00D5306E">
      <w:pPr>
        <w:spacing w:line="360" w:lineRule="auto"/>
        <w:rPr>
          <w:rFonts w:ascii="Arial Unicode MS" w:hAnsi="Arial Unicode MS"/>
        </w:rPr>
      </w:pPr>
    </w:p>
    <w:p w:rsidR="00D5306E" w:rsidRDefault="006D76AB">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一、投资于本基金的主要风险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投资于本基金的主要风险有：</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、市场风险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证券市场价格受到各种因素的影响，导致基金收益水平变化而产生风险，主要包括：</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）政策风险。因国家宏观政策（如货币政策、财政政策、行业政策、地区发展政策等）发生变化，导致市场价格波动而产生风险。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）经济周期风险。随着经济运行的周期性变化，证券市场的收益水平也呈周期性变化。</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）利率风险。金融市场利率的波动会导致证券市场价格和收益率的变动。</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）通货膨胀风险。如果发生通货膨胀，基金投资于证券所获得的收益可能会被通货膨胀抵消，从而影响基金资产的保值增值。</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）再投资风险。再投资风险反映了利率下降对固定收益证券利息收入再投资收益的影响，这与利率上升所带来的价格风险（即利率风险）互为消长。</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6</w:t>
      </w:r>
      <w:r>
        <w:rPr>
          <w:rFonts w:ascii="Arial Unicode MS" w:hAnsi="Arial Unicode MS" w:cs="Arial" w:hint="eastAsia"/>
          <w:bCs/>
          <w:szCs w:val="21"/>
        </w:rPr>
        <w:t>）杠杆风险</w:t>
      </w:r>
      <w:r>
        <w:rPr>
          <w:rFonts w:ascii="Arial Unicode MS" w:hAnsi="Arial Unicode MS" w:cs="Arial" w:hint="eastAsia"/>
          <w:bCs/>
          <w:szCs w:val="21"/>
        </w:rPr>
        <w:t xml:space="preserve"> </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可以通过债券回购放大杠杆，进行杠杆操作将会放大组合收益波动，对组合业绩稳定性有较大影响，同时杠杆成本波动也会影响组合收益率水平，在市场下行或杠杆成本异常上升时，有可能导致基金财产收益的超预期下降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7</w:t>
      </w:r>
      <w:r>
        <w:rPr>
          <w:rFonts w:ascii="Arial Unicode MS" w:hAnsi="Arial Unicode MS" w:cs="Arial" w:hint="eastAsia"/>
          <w:bCs/>
          <w:szCs w:val="21"/>
        </w:rPr>
        <w:t>）波动性风险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波动性风险主要存在于可转债的投资中，具体表现为可转债的价格受到其相对应股票价格波动的影响，同时可转债还有信用风险与转股风险。转股风险指相对应股票价格跌破转股价，不能获得转股收益，从而无法弥补当初付出的转股期权价值。</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、信用风险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、流动性风险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流动性风险是指因证券市场交易量不足，导致证券不能迅速、低成本地变现的风险。流动性风险还包括基金出现巨额赎回，致使没有足够的现金应付赎回支付所引致的风险。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w:t>
      </w:r>
      <w:r>
        <w:rPr>
          <w:rFonts w:ascii="Arial Unicode MS" w:hAnsi="Arial Unicode MS" w:cs="Arial" w:hint="eastAsia"/>
          <w:bCs/>
          <w:szCs w:val="21"/>
        </w:rPr>
        <w:t>1</w:t>
      </w:r>
      <w:r>
        <w:rPr>
          <w:rFonts w:ascii="Arial Unicode MS" w:hAnsi="Arial Unicode MS" w:cs="Arial" w:hint="eastAsia"/>
          <w:bCs/>
          <w:szCs w:val="21"/>
        </w:rPr>
        <w:t>）基金申购、赎回安排</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基于客户集中度控制、巨额赎回监测及应对在投资者申购赎回方面均明确了管理机制，在接受申购申请对存量客户利益构成潜在重大不利影响，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）拟投资市场、行业及资产的流动性风险评估</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的投资市场主要为证券交易所、期货交易所、全国银行间债券市场等流动性较好的规范型交易场所，主要投资对象为具有良好流动性的金融工具（包括国内依法发行上市的股票、港股通标的股票、债券、股指期货、国债期货、股票期权、信用衍生品和货币市场工具等），同时本基金基于分散投资的原则在行业和个券方面未有高集中度的特征，综合评估在正常市场环境下本基金的流动性风险适中。</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）巨额赎回情形下的流动性风险管理措施</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）实施备用的流动性风险管理工具的情形、程序及对投资者的潜在影响</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摆动定价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rsidR="00D5306E" w:rsidRDefault="006D76AB">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）启用侧袋机制的风险</w:t>
      </w:r>
    </w:p>
    <w:p w:rsidR="00D5306E" w:rsidRDefault="006D76AB">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当本基金启用侧袋机制时，实施侧袋机制期间，侧袋账户份额将停止披露基金份额净值，并不得办理申购、赎回和转换。因特定资产的变现时间具有不确定性，最终变现价格也具有不确定性并且有可能大幅低于启用侧袋机制时的特定资产的估值，基金份额持有人可能因此面临损失。</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、操作风险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操作风险是指基金运作过程中，因内部控制存在缺陷或者人为因素造成操作失误或违反操作规程等引致的风险，例如，越权违规交易、会计部门欺诈、交易错误、</w:t>
      </w:r>
      <w:r>
        <w:rPr>
          <w:rFonts w:ascii="Arial Unicode MS" w:hAnsi="Arial Unicode MS" w:cs="Arial" w:hint="eastAsia"/>
          <w:bCs/>
          <w:szCs w:val="21"/>
        </w:rPr>
        <w:t>IT</w:t>
      </w:r>
      <w:r>
        <w:rPr>
          <w:rFonts w:ascii="Arial Unicode MS" w:hAnsi="Arial Unicode MS" w:cs="Arial" w:hint="eastAsia"/>
          <w:bCs/>
          <w:szCs w:val="21"/>
        </w:rPr>
        <w:t>系统故障等风险。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、管理风险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在基金管理运作过程中，基金管理人的研究水平、投资管理水平直接影响基金收益水平，如果基金管理人对经济形势和证券市场判断不准确、获取的信息不充分、投资操作出现失误等，都会影响基金的收益水平。</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、合规风险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合规风险指基金管理或运作过程中，违反国家法律、法规的规定，或者违反《基金合同》有关规定的风险。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、本基金的特有风险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）港股通机制下，港股投资风险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投资范围为具有良好流动性的金融工具，包括港股通机制下允许投资的香港联合交易所（以下简称：“香港联交所”或“联交所”）上市的股票，除与其他投资于内地市场股票的基金所面临的共同风险外，本基金还面临港股通机制下因投资环境、投资者结构、投资标的构成、市场制度以及交易规则等差异所带来的特有风险，包括但不限于：</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）市场联动的风险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与内地</w:t>
      </w:r>
      <w:r>
        <w:rPr>
          <w:rFonts w:ascii="Arial Unicode MS" w:hAnsi="Arial Unicode MS" w:cs="Arial" w:hint="eastAsia"/>
          <w:bCs/>
          <w:szCs w:val="21"/>
        </w:rPr>
        <w:t>A</w:t>
      </w:r>
      <w:r>
        <w:rPr>
          <w:rFonts w:ascii="Arial Unicode MS" w:hAnsi="Arial Unicode MS" w:cs="Arial" w:hint="eastAsia"/>
          <w:bCs/>
          <w:szCs w:val="21"/>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）股价波动的风险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港股市场实行</w:t>
      </w:r>
      <w:r>
        <w:rPr>
          <w:rFonts w:ascii="Arial Unicode MS" w:hAnsi="Arial Unicode MS" w:cs="Arial" w:hint="eastAsia"/>
          <w:bCs/>
          <w:szCs w:val="21"/>
        </w:rPr>
        <w:t>T+0</w:t>
      </w:r>
      <w:r>
        <w:rPr>
          <w:rFonts w:ascii="Arial Unicode MS" w:hAnsi="Arial Unicode MS" w:cs="Arial" w:hint="eastAsia"/>
          <w:bCs/>
          <w:szCs w:val="21"/>
        </w:rPr>
        <w:t>回转交易机制（即当日买入的股票，在交收前可以于当日卖出），同时对个股不设涨跌幅限制，加之香港市场结构性产品和衍生品种类相对丰富以及做空机制的存在，港股股价受到意外事件影响可能表现出比</w:t>
      </w:r>
      <w:r>
        <w:rPr>
          <w:rFonts w:ascii="Arial Unicode MS" w:hAnsi="Arial Unicode MS" w:cs="Arial" w:hint="eastAsia"/>
          <w:bCs/>
          <w:szCs w:val="21"/>
        </w:rPr>
        <w:t>A</w:t>
      </w:r>
      <w:r>
        <w:rPr>
          <w:rFonts w:ascii="Arial Unicode MS" w:hAnsi="Arial Unicode MS" w:cs="Arial" w:hint="eastAsia"/>
          <w:bCs/>
          <w:szCs w:val="21"/>
        </w:rPr>
        <w:t>股更为剧烈的股价波动，本基金持仓的波动风险可能相对较大。</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）汇率风险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ascii="Arial Unicode MS" w:hAnsi="Arial Unicode MS" w:cs="Arial" w:hint="eastAsia"/>
          <w:bCs/>
          <w:szCs w:val="21"/>
        </w:rPr>
        <w:t>/</w:t>
      </w:r>
      <w:r>
        <w:rPr>
          <w:rFonts w:ascii="Arial Unicode MS" w:hAnsi="Arial Unicode MS" w:cs="Arial" w:hint="eastAsia"/>
          <w:bCs/>
          <w:szCs w:val="21"/>
        </w:rPr>
        <w:t>卖出价冻结相应的资金，该参考汇率买入价和卖出价设定上存在比例差异，以抵御该日汇率波动而带来的结算风险，本基金将因此而遭遇资金被额外占用进而降低基金投资效率的风险。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）港股通额度限制</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现行的港股通规则，对港股通设有总额度以及每日额度上限的限制；本基金可能因为港股通市场总额度或每日额度不足，而不能买入看好之投资标的进而错失投资机会的风险。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）港股通可投资标的范围调整带来的风险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及时买入看好的投资标的，而错失投资机会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）港股通交易日设定的风险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根据现行的港股通规则，只有</w:t>
      </w:r>
      <w:r>
        <w:rPr>
          <w:szCs w:val="21"/>
        </w:rPr>
        <w:t>沪</w:t>
      </w:r>
      <w:r>
        <w:rPr>
          <w:szCs w:val="21"/>
        </w:rPr>
        <w:t>/</w:t>
      </w:r>
      <w:r>
        <w:rPr>
          <w:szCs w:val="21"/>
        </w:rPr>
        <w:t>深港</w:t>
      </w:r>
      <w:r>
        <w:rPr>
          <w:rFonts w:ascii="Arial Unicode MS" w:hAnsi="Arial Unicode MS" w:cs="Arial" w:hint="eastAsia"/>
          <w:bCs/>
          <w:szCs w:val="21"/>
        </w:rPr>
        <w:t>两地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）交收制度带来的基金流动性风险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由于香港市场实行</w:t>
      </w:r>
      <w:r>
        <w:rPr>
          <w:rFonts w:ascii="Arial Unicode MS" w:hAnsi="Arial Unicode MS" w:cs="Arial" w:hint="eastAsia"/>
          <w:bCs/>
          <w:szCs w:val="21"/>
        </w:rPr>
        <w:t>T+2</w:t>
      </w:r>
      <w:r>
        <w:rPr>
          <w:rFonts w:ascii="Arial Unicode MS" w:hAnsi="Arial Unicode MS" w:cs="Arial" w:hint="eastAsia"/>
          <w:bCs/>
          <w:szCs w:val="21"/>
        </w:rPr>
        <w:t>日（</w:t>
      </w:r>
      <w:r>
        <w:rPr>
          <w:rFonts w:ascii="Arial Unicode MS" w:hAnsi="Arial Unicode MS" w:cs="Arial" w:hint="eastAsia"/>
          <w:bCs/>
          <w:szCs w:val="21"/>
        </w:rPr>
        <w:t>T</w:t>
      </w:r>
      <w:r>
        <w:rPr>
          <w:rFonts w:ascii="Arial Unicode MS" w:hAnsi="Arial Unicode MS" w:cs="Arial" w:hint="eastAsia"/>
          <w:bCs/>
          <w:szCs w:val="21"/>
        </w:rPr>
        <w:t>日买卖股票，资金和股票在</w:t>
      </w:r>
      <w:r>
        <w:rPr>
          <w:rFonts w:ascii="Arial Unicode MS" w:hAnsi="Arial Unicode MS" w:cs="Arial" w:hint="eastAsia"/>
          <w:bCs/>
          <w:szCs w:val="21"/>
        </w:rPr>
        <w:t>T+2</w:t>
      </w:r>
      <w:r>
        <w:rPr>
          <w:rFonts w:ascii="Arial Unicode MS" w:hAnsi="Arial Unicode MS" w:cs="Arial" w:hint="eastAsia"/>
          <w:bCs/>
          <w:szCs w:val="21"/>
        </w:rPr>
        <w:t>日才进行交收）的交收安排，本基金在</w:t>
      </w:r>
      <w:r>
        <w:rPr>
          <w:rFonts w:ascii="Arial Unicode MS" w:hAnsi="Arial Unicode MS" w:cs="Arial" w:hint="eastAsia"/>
          <w:bCs/>
          <w:szCs w:val="21"/>
        </w:rPr>
        <w:t>T</w:t>
      </w:r>
      <w:r>
        <w:rPr>
          <w:rFonts w:ascii="Arial Unicode MS" w:hAnsi="Arial Unicode MS" w:cs="Arial" w:hint="eastAsia"/>
          <w:bCs/>
          <w:szCs w:val="21"/>
        </w:rPr>
        <w:t>日（港股通交易日）卖出股票，</w:t>
      </w:r>
      <w:r>
        <w:rPr>
          <w:rFonts w:ascii="Arial Unicode MS" w:hAnsi="Arial Unicode MS" w:cs="Arial" w:hint="eastAsia"/>
          <w:bCs/>
          <w:szCs w:val="21"/>
        </w:rPr>
        <w:t>T+2</w:t>
      </w:r>
      <w:r>
        <w:rPr>
          <w:rFonts w:ascii="Arial Unicode MS" w:hAnsi="Arial Unicode MS" w:cs="Arial" w:hint="eastAsia"/>
          <w:bCs/>
          <w:szCs w:val="21"/>
        </w:rPr>
        <w:t>日（港股通交易日，即为卖出当日之后第二个港股通交易日）才能在香港市场完成清算交收，卖出的资金在</w:t>
      </w:r>
      <w:r>
        <w:rPr>
          <w:rFonts w:ascii="Arial Unicode MS" w:hAnsi="Arial Unicode MS" w:cs="Arial" w:hint="eastAsia"/>
          <w:bCs/>
          <w:szCs w:val="21"/>
        </w:rPr>
        <w:t>T+3</w:t>
      </w:r>
      <w:r>
        <w:rPr>
          <w:rFonts w:ascii="Arial Unicode MS" w:hAnsi="Arial Unicode MS" w:cs="Arial" w:hint="eastAsia"/>
          <w:bCs/>
          <w:szCs w:val="21"/>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w:t>
      </w:r>
      <w:r>
        <w:rPr>
          <w:rFonts w:ascii="Arial Unicode MS" w:hAnsi="Arial Unicode MS" w:cs="Arial" w:hint="eastAsia"/>
          <w:bCs/>
          <w:szCs w:val="21"/>
        </w:rPr>
        <w:t>A</w:t>
      </w:r>
      <w:r>
        <w:rPr>
          <w:rFonts w:ascii="Arial Unicode MS" w:hAnsi="Arial Unicode MS" w:cs="Arial" w:hint="eastAsia"/>
          <w:bCs/>
          <w:szCs w:val="21"/>
        </w:rPr>
        <w:t>股和港股投资比例，造成比例超标的风险。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8</w:t>
      </w:r>
      <w:r>
        <w:rPr>
          <w:rFonts w:ascii="Arial Unicode MS" w:hAnsi="Arial Unicode MS" w:cs="Arial" w:hint="eastAsia"/>
          <w:bCs/>
          <w:szCs w:val="21"/>
        </w:rPr>
        <w:t>）港股通下对公司行为的处理规则带来的风险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根据现行的港股通规则，本基金因所持港股通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w:t>
      </w:r>
      <w:r>
        <w:rPr>
          <w:rFonts w:ascii="Arial Unicode MS" w:hAnsi="Arial Unicode MS" w:cs="Arial" w:hint="eastAsia"/>
          <w:bCs/>
          <w:szCs w:val="21"/>
        </w:rPr>
        <w:lastRenderedPageBreak/>
        <w:t>市公司被收购等所取得的非联交所上市证券，可以享有相关权益，但不得通过港股通买入或卖出。</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本基金存在因上述规则，利益得不到最大化甚至受损的风险。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9</w:t>
      </w:r>
      <w:r>
        <w:rPr>
          <w:rFonts w:ascii="Arial Unicode MS" w:hAnsi="Arial Unicode MS" w:cs="Arial" w:hint="eastAsia"/>
          <w:bCs/>
          <w:szCs w:val="21"/>
        </w:rPr>
        <w:t>）香港联合交易所停牌、退市等制度性差异带来的风险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香港联交所规定，在交易所认为所要求的停牌合理而且必要时，上市公司方可采取停牌措施。此外，不同于内地</w:t>
      </w:r>
      <w:r>
        <w:rPr>
          <w:rFonts w:ascii="Arial Unicode MS" w:hAnsi="Arial Unicode MS" w:cs="Arial" w:hint="eastAsia"/>
          <w:bCs/>
          <w:szCs w:val="21"/>
        </w:rPr>
        <w:t>A</w:t>
      </w:r>
      <w:r>
        <w:rPr>
          <w:rFonts w:ascii="Arial Unicode MS" w:hAnsi="Arial Unicode MS" w:cs="Arial" w:hint="eastAsia"/>
          <w:bCs/>
          <w:szCs w:val="21"/>
        </w:rPr>
        <w:t>股市场的停牌制度，联交所对停牌的具体时长并没有量化规定，只是确定了“尽量缩短停牌时间”的原则；同时与</w:t>
      </w:r>
      <w:r>
        <w:rPr>
          <w:rFonts w:ascii="Arial Unicode MS" w:hAnsi="Arial Unicode MS" w:cs="Arial" w:hint="eastAsia"/>
          <w:bCs/>
          <w:szCs w:val="21"/>
        </w:rPr>
        <w:t>A</w:t>
      </w:r>
      <w:r>
        <w:rPr>
          <w:rFonts w:ascii="Arial Unicode MS" w:hAnsi="Arial Unicode MS" w:cs="Arial" w:hint="eastAsia"/>
          <w:bCs/>
          <w:szCs w:val="21"/>
        </w:rPr>
        <w:t>股市场对存在退市可能的上市公司根据其财务状况在证券简称前加入相应标记</w:t>
      </w:r>
      <w:r>
        <w:rPr>
          <w:rFonts w:ascii="Arial Unicode MS" w:hAnsi="Arial Unicode MS" w:cs="Arial" w:hint="eastAsia"/>
          <w:bCs/>
          <w:szCs w:val="21"/>
        </w:rPr>
        <w:t>(</w:t>
      </w:r>
      <w:r>
        <w:rPr>
          <w:rFonts w:ascii="Arial Unicode MS" w:hAnsi="Arial Unicode MS" w:cs="Arial" w:hint="eastAsia"/>
          <w:bCs/>
          <w:szCs w:val="21"/>
        </w:rPr>
        <w:t>例如，</w:t>
      </w:r>
      <w:r>
        <w:rPr>
          <w:rFonts w:ascii="Arial Unicode MS" w:hAnsi="Arial Unicode MS" w:cs="Arial" w:hint="eastAsia"/>
          <w:bCs/>
          <w:szCs w:val="21"/>
        </w:rPr>
        <w:t>ST</w:t>
      </w:r>
      <w:r>
        <w:rPr>
          <w:rFonts w:ascii="Arial Unicode MS" w:hAnsi="Arial Unicode MS" w:cs="Arial" w:hint="eastAsia"/>
          <w:bCs/>
          <w:szCs w:val="21"/>
        </w:rPr>
        <w:t>及</w:t>
      </w:r>
      <w:r>
        <w:rPr>
          <w:rFonts w:ascii="Arial Unicode MS" w:hAnsi="Arial Unicode MS" w:cs="Arial" w:hint="eastAsia"/>
          <w:bCs/>
          <w:szCs w:val="21"/>
        </w:rPr>
        <w:t>*ST</w:t>
      </w:r>
      <w:r>
        <w:rPr>
          <w:rFonts w:ascii="Arial Unicode MS" w:hAnsi="Arial Unicode MS" w:cs="Arial" w:hint="eastAsia"/>
          <w:bCs/>
          <w:szCs w:val="21"/>
        </w:rPr>
        <w:t>等标记</w:t>
      </w:r>
      <w:r>
        <w:rPr>
          <w:rFonts w:ascii="Arial Unicode MS" w:hAnsi="Arial Unicode MS" w:cs="Arial" w:hint="eastAsia"/>
          <w:bCs/>
          <w:szCs w:val="21"/>
        </w:rPr>
        <w:t>)</w:t>
      </w:r>
      <w:r>
        <w:rPr>
          <w:rFonts w:ascii="Arial Unicode MS" w:hAnsi="Arial Unicode MS" w:cs="Arial" w:hint="eastAsia"/>
          <w:bCs/>
          <w:szCs w:val="21"/>
        </w:rPr>
        <w:t>以警示投资者风险的做法不同，在香港联交所市场没有风险警示板，联交所采用非量化的退市标准且在上市公司退市过程中拥有相对较大的主导权，使得联交所上市公司的退市情形较</w:t>
      </w:r>
      <w:r>
        <w:rPr>
          <w:rFonts w:ascii="Arial Unicode MS" w:hAnsi="Arial Unicode MS" w:cs="Arial" w:hint="eastAsia"/>
          <w:bCs/>
          <w:szCs w:val="21"/>
        </w:rPr>
        <w:t>A</w:t>
      </w:r>
      <w:r>
        <w:rPr>
          <w:rFonts w:ascii="Arial Unicode MS" w:hAnsi="Arial Unicode MS" w:cs="Arial" w:hint="eastAsia"/>
          <w:bCs/>
          <w:szCs w:val="21"/>
        </w:rPr>
        <w:t>股市场相对复杂。</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因该等制度性差异，本基金可能存在因所持个股遭遇非预期性的停牌甚至退市而给基金带来损失的风险。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10</w:t>
      </w:r>
      <w:r>
        <w:rPr>
          <w:rFonts w:ascii="Arial Unicode MS" w:hAnsi="Arial Unicode MS" w:cs="Arial" w:hint="eastAsia"/>
          <w:bCs/>
          <w:szCs w:val="21"/>
        </w:rPr>
        <w:t>）港股通规则变动带来的风险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本基金是在港股通机制和规则下参与香港联交所证券的投资，受港股通规则的限制和影响；本基金存在因港股通规则变动而带来基金投资受阻或所持资产组合价值发生波动的风险。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11</w:t>
      </w:r>
      <w:r>
        <w:rPr>
          <w:rFonts w:ascii="Arial Unicode MS" w:hAnsi="Arial Unicode MS" w:cs="Arial" w:hint="eastAsia"/>
          <w:bCs/>
          <w:szCs w:val="21"/>
        </w:rPr>
        <w:t>）其他可能的风险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除上述显著风险外，本基金参与港股通投资，还可能面临的其他风险，包括但不限于：</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①除因股票交易而发生的佣金、交易征费、交易费、交易系统费、印花税、过户费等税费外，在不进行交易时也可能要继续缴纳证券组合费等项费用，本基金存在因费用估算不准而导致账户透支的风险；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②在香港市场，部分中小市值港股成交量则相对较少，流动较为缺乏，本基金投资此类股票可能因缺乏交易对手而面临个股流动性风险；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③在本基金参与港股通交易中若香港联交所与内地交易所的证券交易服务公司之间的报盘系统或者通信链路出现故障，可能导致</w:t>
      </w:r>
      <w:r>
        <w:rPr>
          <w:rFonts w:ascii="Arial Unicode MS" w:hAnsi="Arial Unicode MS" w:cs="Arial" w:hint="eastAsia"/>
          <w:bCs/>
          <w:szCs w:val="21"/>
        </w:rPr>
        <w:t>15</w:t>
      </w:r>
      <w:r>
        <w:rPr>
          <w:rFonts w:ascii="Arial Unicode MS" w:hAnsi="Arial Unicode MS" w:cs="Arial" w:hint="eastAsia"/>
          <w:bCs/>
          <w:szCs w:val="21"/>
        </w:rPr>
        <w:t>分钟以上不能申报和撤销申报的交易中断风险；</w:t>
      </w:r>
    </w:p>
    <w:p w:rsidR="00D5306E" w:rsidRDefault="006D76AB">
      <w:pPr>
        <w:adjustRightInd w:val="0"/>
        <w:snapToGrid w:val="0"/>
        <w:spacing w:line="360" w:lineRule="auto"/>
        <w:ind w:firstLineChars="200" w:firstLine="420"/>
        <w:rPr>
          <w:rFonts w:ascii="Arial Unicode MS" w:hAnsi="Arial Unicode MS"/>
          <w:bCs/>
          <w:szCs w:val="21"/>
        </w:rPr>
      </w:pPr>
      <w:r>
        <w:rPr>
          <w:rFonts w:ascii="Arial Unicode MS" w:hAnsi="Arial Unicode MS" w:cs="Arial" w:hint="eastAsia"/>
          <w:bCs/>
          <w:szCs w:val="21"/>
        </w:rPr>
        <w:t>④存在港股通香港结算机构因极端情况下无法交付证券和资金的结算风险；另外港股通境内结算实施分级结算原则，本基金可能面临以下风险：（一）因结算参与人未完成与中国结算的集中交收，导致本基金应收资金或证券被暂不交付或处置；（二）结算参与人对本基金出现交收违约导致本基金未能取得应收证券或资金；（三）结算参与人向中国结算发送的有关本基金的证券划付指令有误的导致本基金权益受损；（四）其他因结算参与人未遵守相</w:t>
      </w:r>
      <w:r>
        <w:rPr>
          <w:rFonts w:ascii="Arial Unicode MS" w:hAnsi="Arial Unicode MS" w:cs="Arial" w:hint="eastAsia"/>
          <w:bCs/>
          <w:szCs w:val="21"/>
        </w:rPr>
        <w:lastRenderedPageBreak/>
        <w:t>关业务规则导致本基金利益受到损害的情况。</w:t>
      </w:r>
    </w:p>
    <w:p w:rsidR="00D5306E" w:rsidRDefault="006D76AB">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本基金可根据投资策略需要或不同配置地市场环境的变化，选择将部分基金资产投资于港股或选择不将基金资产投资于港股，基金资产并非必然投资港股。</w:t>
      </w:r>
    </w:p>
    <w:p w:rsidR="00D5306E" w:rsidRDefault="006D76AB">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szCs w:val="21"/>
        </w:rPr>
        <w:t>2</w:t>
      </w:r>
      <w:r>
        <w:rPr>
          <w:rFonts w:ascii="Arial Unicode MS" w:hAnsi="Arial Unicode MS" w:hint="eastAsia"/>
          <w:szCs w:val="21"/>
        </w:rPr>
        <w:t>）股指期货、国债期货、股票期权等金融衍生品投资风险</w:t>
      </w:r>
    </w:p>
    <w:p w:rsidR="00D5306E" w:rsidRDefault="006D76AB">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rsidR="00D5306E" w:rsidRDefault="006D76AB">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rsidR="00D5306E" w:rsidRDefault="006D76AB">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投资国债期货，国债期货市场的风险类型较为复杂，涉及面广，具有放大性与可预防性等特征。其风险主要有由利率波动原因造成的市场价格风险、由宏观因素和政策因素变化而引起的系统风险、由市场和资金流动性原因引起的流动性风险、由交易制度不完善而引发的制度性风险以及由技术系统故障及操作失误造成的技术系统风险等。</w:t>
      </w:r>
    </w:p>
    <w:p w:rsidR="00D5306E" w:rsidRDefault="006D76AB">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参与股票期权交易以套期保值为主要目的，投资股票期权的主要风险包括价格波动风险、市场流动性风险、强制平仓风险、合约到期风险、行权失败风险、交易违约风险等。影响期权价格的因素较多，有时会出现价格较大波动，而且期权有到期日，不同的期权合约又有不同的到期日，若到期日当天没有做好行权准备，期权合约就会作废，不再有任何价值。此外，行权失败和交收违约也是股票期权交易可能出现的风险，期权义务方无法在较首日备齐足额资金或证券用于交收履约，会被判为交收违约并受罚，相应地，行权投资者就会面临行权失败而失去交易机会。</w:t>
      </w:r>
    </w:p>
    <w:p w:rsidR="00D5306E" w:rsidRDefault="006D76AB">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szCs w:val="21"/>
        </w:rPr>
        <w:t>3</w:t>
      </w:r>
      <w:r>
        <w:rPr>
          <w:rFonts w:ascii="Arial Unicode MS" w:hAnsi="Arial Unicode MS" w:hint="eastAsia"/>
          <w:szCs w:val="21"/>
        </w:rPr>
        <w:t>）资产支持证券（</w:t>
      </w:r>
      <w:r>
        <w:rPr>
          <w:rFonts w:ascii="Arial Unicode MS" w:hAnsi="Arial Unicode MS" w:hint="eastAsia"/>
          <w:szCs w:val="21"/>
        </w:rPr>
        <w:t>ABS</w:t>
      </w:r>
      <w:r>
        <w:rPr>
          <w:rFonts w:ascii="Arial Unicode MS" w:hAnsi="Arial Unicode MS" w:hint="eastAsia"/>
          <w:szCs w:val="21"/>
        </w:rPr>
        <w:t>）的风险</w:t>
      </w:r>
    </w:p>
    <w:p w:rsidR="00D5306E" w:rsidRDefault="006D76AB">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资产支持证券（</w:t>
      </w:r>
      <w:r>
        <w:rPr>
          <w:rFonts w:ascii="Arial Unicode MS" w:hAnsi="Arial Unicode MS" w:hint="eastAsia"/>
          <w:szCs w:val="21"/>
        </w:rPr>
        <w:t>ABS</w:t>
      </w:r>
      <w:r>
        <w:rPr>
          <w:rFonts w:ascii="Arial Unicode MS" w:hAnsi="Arial Unicode MS" w:hint="eastAsia"/>
          <w:szCs w:val="21"/>
        </w:rPr>
        <w:t>）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rsidR="00D5306E" w:rsidRDefault="006D76AB">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Pr>
          <w:rFonts w:ascii="Arial Unicode MS" w:hAnsi="Arial Unicode MS"/>
          <w:bCs/>
          <w:szCs w:val="21"/>
        </w:rPr>
        <w:t>4</w:t>
      </w:r>
      <w:r>
        <w:rPr>
          <w:rFonts w:ascii="Arial Unicode MS" w:hAnsi="Arial Unicode MS" w:hint="eastAsia"/>
          <w:bCs/>
          <w:szCs w:val="21"/>
        </w:rPr>
        <w:t>）投资信用衍生品的风险</w:t>
      </w:r>
    </w:p>
    <w:p w:rsidR="00D5306E" w:rsidRDefault="006D76AB">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为对冲信用风险，本基金可能投资信用衍生品，信用衍生品的投资可能面临流动性风险、偿付风险以及价格波动风险。</w:t>
      </w:r>
    </w:p>
    <w:p w:rsidR="00D5306E" w:rsidRDefault="006D76AB">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lastRenderedPageBreak/>
        <w:t>1</w:t>
      </w:r>
      <w:r>
        <w:rPr>
          <w:rFonts w:ascii="Arial Unicode MS" w:hAnsi="Arial Unicode MS" w:hint="eastAsia"/>
          <w:bCs/>
          <w:szCs w:val="21"/>
        </w:rPr>
        <w:t>）流动性风险</w:t>
      </w:r>
    </w:p>
    <w:p w:rsidR="00D5306E" w:rsidRDefault="006D76AB">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信用衍生品在交易转让过程中因无法找到交易对手或交易对手较少，导致难以将信用衍生品以合理价格变现的风险。</w:t>
      </w:r>
    </w:p>
    <w:p w:rsidR="00D5306E" w:rsidRDefault="006D76AB">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）偿付风险</w:t>
      </w:r>
    </w:p>
    <w:p w:rsidR="00D5306E" w:rsidRDefault="006D76AB">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在信用衍生品存续期间，由于不可控制的市场及环境变化，创设机构可能出现经营状况不佳或创设机构的现金流与预期发生一定偏差，从而影响信用衍生品结算的风险。</w:t>
      </w:r>
    </w:p>
    <w:p w:rsidR="00D5306E" w:rsidRDefault="006D76AB">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）价格波动风险</w:t>
      </w:r>
    </w:p>
    <w:p w:rsidR="00D5306E" w:rsidRDefault="006D76AB">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由于创设机构或所受保护的债券主体经营状况或利率环境发生变化，引起信用衍生品价格出现波动的风险。</w:t>
      </w:r>
    </w:p>
    <w:p w:rsidR="00D5306E" w:rsidRDefault="006D76AB">
      <w:pPr>
        <w:adjustRightInd w:val="0"/>
        <w:snapToGrid w:val="0"/>
        <w:spacing w:line="360" w:lineRule="auto"/>
        <w:ind w:firstLineChars="200" w:firstLine="420"/>
        <w:rPr>
          <w:rFonts w:ascii="宋体" w:hAnsi="宋体" w:cs="Arial"/>
          <w:szCs w:val="21"/>
        </w:rPr>
      </w:pPr>
      <w:r>
        <w:rPr>
          <w:rFonts w:ascii="Arial Unicode MS" w:hAnsi="Arial Unicode MS" w:hint="eastAsia"/>
          <w:bCs/>
          <w:szCs w:val="21"/>
        </w:rPr>
        <w:t>（</w:t>
      </w:r>
      <w:r>
        <w:rPr>
          <w:rFonts w:ascii="Arial Unicode MS" w:hAnsi="Arial Unicode MS"/>
          <w:bCs/>
          <w:szCs w:val="21"/>
        </w:rPr>
        <w:t>5</w:t>
      </w:r>
      <w:r>
        <w:rPr>
          <w:rFonts w:ascii="Arial Unicode MS" w:hAnsi="Arial Unicode MS" w:hint="eastAsia"/>
          <w:bCs/>
          <w:szCs w:val="21"/>
        </w:rPr>
        <w:t>）《基金合同》生效后，连续</w:t>
      </w:r>
      <w:r>
        <w:rPr>
          <w:rFonts w:ascii="Arial Unicode MS" w:hAnsi="Arial Unicode MS" w:hint="eastAsia"/>
          <w:bCs/>
          <w:szCs w:val="21"/>
        </w:rPr>
        <w:t>20</w:t>
      </w:r>
      <w:r>
        <w:rPr>
          <w:rFonts w:ascii="Arial Unicode MS" w:hAnsi="Arial Unicode MS" w:hint="eastAsia"/>
          <w:bCs/>
          <w:szCs w:val="21"/>
        </w:rPr>
        <w:t>个工作日出现基金份额持有人数量不满</w:t>
      </w:r>
      <w:r>
        <w:rPr>
          <w:rFonts w:ascii="Arial Unicode MS" w:hAnsi="Arial Unicode MS" w:hint="eastAsia"/>
          <w:bCs/>
          <w:szCs w:val="21"/>
        </w:rPr>
        <w:t>200</w:t>
      </w:r>
      <w:r>
        <w:rPr>
          <w:rFonts w:ascii="Arial Unicode MS" w:hAnsi="Arial Unicode MS" w:hint="eastAsia"/>
          <w:bCs/>
          <w:szCs w:val="21"/>
        </w:rPr>
        <w:t>人或者基金资产净值低于</w:t>
      </w:r>
      <w:r>
        <w:rPr>
          <w:rFonts w:ascii="Arial Unicode MS" w:hAnsi="Arial Unicode MS" w:hint="eastAsia"/>
          <w:bCs/>
          <w:szCs w:val="21"/>
        </w:rPr>
        <w:t>5000</w:t>
      </w:r>
      <w:r>
        <w:rPr>
          <w:rFonts w:ascii="Arial Unicode MS" w:hAnsi="Arial Unicode MS" w:hint="eastAsia"/>
          <w:bCs/>
          <w:szCs w:val="21"/>
        </w:rPr>
        <w:t>万元情形的，基金管理人应当在定期报告中予以披露；连续</w:t>
      </w:r>
      <w:r>
        <w:rPr>
          <w:rFonts w:ascii="Arial Unicode MS" w:hAnsi="Arial Unicode MS" w:hint="eastAsia"/>
          <w:bCs/>
          <w:szCs w:val="21"/>
        </w:rPr>
        <w:t>50</w:t>
      </w:r>
      <w:r>
        <w:rPr>
          <w:rFonts w:ascii="Arial Unicode MS" w:hAnsi="Arial Unicode MS" w:hint="eastAsia"/>
          <w:bCs/>
          <w:szCs w:val="21"/>
        </w:rPr>
        <w:t>个工作日出现前述情形的，本基金将根据基金合同的约定进行基金财产清算并终止，且无需召开基金份额持有人大会。</w:t>
      </w:r>
      <w:r>
        <w:rPr>
          <w:rFonts w:ascii="宋体" w:hAnsi="宋体" w:cs="Arial" w:hint="eastAsia"/>
          <w:szCs w:val="21"/>
        </w:rPr>
        <w:t>因此本基金有面临自动清算的风险。</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（6）投资于存托凭证的风险</w:t>
      </w:r>
    </w:p>
    <w:p w:rsidR="00D5306E" w:rsidRDefault="006D76AB">
      <w:pPr>
        <w:adjustRightInd w:val="0"/>
        <w:snapToGrid w:val="0"/>
        <w:spacing w:line="360" w:lineRule="auto"/>
        <w:ind w:firstLineChars="200" w:firstLine="420"/>
        <w:rPr>
          <w:rFonts w:ascii="Arial Unicode MS" w:hAnsi="Arial Unicode MS"/>
          <w:bCs/>
          <w:szCs w:val="21"/>
        </w:rPr>
      </w:pPr>
      <w:r>
        <w:rPr>
          <w:rFonts w:ascii="宋体" w:hAnsi="宋体" w:cs="Arial" w:hint="eastAsia"/>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D5306E" w:rsidRDefault="006D76AB">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8</w:t>
      </w:r>
      <w:r>
        <w:rPr>
          <w:rFonts w:ascii="Arial Unicode MS" w:hAnsi="Arial Unicode MS" w:hint="eastAsia"/>
          <w:szCs w:val="21"/>
        </w:rPr>
        <w:t>、操作或技术风险</w:t>
      </w:r>
    </w:p>
    <w:p w:rsidR="00D5306E" w:rsidRDefault="006D76AB">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技术风险：在定向资产管理业务的日常交易中，可能因为技术系统的故障或者差错而影响交易的正常进行或者导致投资者的利益受到影响。这种技术风险可能来自管理人、托管人、证券交易所、期货交易所、证券登记结算机构等。</w:t>
      </w:r>
    </w:p>
    <w:p w:rsidR="00D5306E" w:rsidRDefault="006D76AB">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）操作风险：证券交易所、期货交易所、证券登记结算机构等在业务操作过程中，因操作失误或违反操作规程而引起的风险。</w:t>
      </w:r>
    </w:p>
    <w:p w:rsidR="00D5306E" w:rsidRDefault="006D76AB">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9</w:t>
      </w:r>
      <w:r>
        <w:rPr>
          <w:rFonts w:ascii="Arial Unicode MS" w:hAnsi="Arial Unicode MS" w:hint="eastAsia"/>
          <w:szCs w:val="21"/>
        </w:rPr>
        <w:t>、其它风险</w:t>
      </w:r>
      <w:r>
        <w:rPr>
          <w:rFonts w:ascii="Arial Unicode MS" w:hAnsi="Arial Unicode MS" w:hint="eastAsia"/>
          <w:szCs w:val="21"/>
        </w:rPr>
        <w:t xml:space="preserve"> </w:t>
      </w:r>
    </w:p>
    <w:p w:rsidR="00D5306E" w:rsidRDefault="006D76AB">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）战争、自然灾害等不可抗力因素的出现，将会严重影响证券市场的运行，可能导致委托财产的损失；</w:t>
      </w:r>
      <w:r>
        <w:rPr>
          <w:rFonts w:ascii="Arial Unicode MS" w:hAnsi="Arial Unicode MS" w:hint="eastAsia"/>
          <w:szCs w:val="21"/>
        </w:rPr>
        <w:t xml:space="preserve"> </w:t>
      </w:r>
    </w:p>
    <w:p w:rsidR="00D5306E" w:rsidRDefault="006D76AB">
      <w:pPr>
        <w:adjustRightInd w:val="0"/>
        <w:snapToGrid w:val="0"/>
        <w:spacing w:line="360" w:lineRule="auto"/>
        <w:ind w:firstLineChars="200" w:firstLine="420"/>
        <w:rPr>
          <w:rFonts w:ascii="Arial Unicode MS" w:hAnsi="Arial Unicode MS" w:cs="Arial"/>
          <w:b/>
          <w:bCs/>
          <w:szCs w:val="21"/>
        </w:rPr>
      </w:pPr>
      <w:r>
        <w:rPr>
          <w:rFonts w:ascii="Arial Unicode MS" w:hAnsi="Arial Unicode MS" w:hint="eastAsia"/>
          <w:szCs w:val="21"/>
        </w:rPr>
        <w:lastRenderedPageBreak/>
        <w:t>（</w:t>
      </w:r>
      <w:r>
        <w:rPr>
          <w:rFonts w:ascii="Arial Unicode MS" w:hAnsi="Arial Unicode MS" w:hint="eastAsia"/>
          <w:szCs w:val="21"/>
        </w:rPr>
        <w:t>2</w:t>
      </w:r>
      <w:r>
        <w:rPr>
          <w:rFonts w:ascii="Arial Unicode MS" w:hAnsi="Arial Unicode MS" w:hint="eastAsia"/>
          <w:szCs w:val="21"/>
        </w:rPr>
        <w:t>）金融市场危机、行业竞争、代理商违约等超出基金管理人自身直接控制能力之外的风险，也可能导致资产委托人利益受损。</w:t>
      </w:r>
    </w:p>
    <w:p w:rsidR="00D5306E" w:rsidRDefault="006D76AB">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二、声明</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、投资者投资于本基金，须自行承担投资风险；</w:t>
      </w:r>
    </w:p>
    <w:p w:rsidR="00D5306E" w:rsidRDefault="006D76A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、除基金管理人直接办理本基金的销售外，本基金还通过基金销售机构销售，基金管理人与其他销售机构都不能保证其收益或本金安全。</w:t>
      </w:r>
    </w:p>
    <w:p w:rsidR="00D5306E" w:rsidRDefault="00D5306E">
      <w:pPr>
        <w:adjustRightInd w:val="0"/>
        <w:snapToGrid w:val="0"/>
        <w:spacing w:line="360" w:lineRule="auto"/>
        <w:ind w:firstLineChars="200" w:firstLine="420"/>
        <w:rPr>
          <w:rFonts w:ascii="Arial Unicode MS" w:hAnsi="Arial Unicode MS" w:cs="Arial"/>
          <w:bCs/>
          <w:szCs w:val="21"/>
        </w:rPr>
        <w:sectPr w:rsidR="00D5306E">
          <w:footerReference w:type="default" r:id="rId47"/>
          <w:pgSz w:w="11906" w:h="16838"/>
          <w:pgMar w:top="1440" w:right="1800" w:bottom="1440" w:left="1800" w:header="851" w:footer="992" w:gutter="0"/>
          <w:pgNumType w:start="1"/>
          <w:cols w:space="720"/>
          <w:docGrid w:linePitch="312"/>
        </w:sectPr>
      </w:pPr>
    </w:p>
    <w:p w:rsidR="00D5306E" w:rsidRDefault="006D76AB">
      <w:pPr>
        <w:pStyle w:val="11"/>
        <w:snapToGrid w:val="0"/>
        <w:spacing w:before="0" w:after="0" w:line="360" w:lineRule="auto"/>
        <w:rPr>
          <w:rFonts w:ascii="Arial Unicode MS" w:eastAsia="宋体" w:hAnsi="Arial Unicode MS" w:cs="Arial"/>
          <w:b/>
          <w:bCs/>
          <w:sz w:val="28"/>
          <w:szCs w:val="28"/>
        </w:rPr>
      </w:pPr>
      <w:bookmarkStart w:id="151" w:name="_Toc524923235"/>
      <w:bookmarkStart w:id="152" w:name="_Toc520693803"/>
      <w:bookmarkStart w:id="153" w:name="_Toc520693901"/>
      <w:bookmarkStart w:id="154" w:name="_Toc454717524"/>
      <w:bookmarkStart w:id="155" w:name="_Toc429490294"/>
      <w:bookmarkStart w:id="156" w:name="_Toc320887656"/>
      <w:bookmarkStart w:id="157" w:name="_Toc317088551"/>
      <w:bookmarkStart w:id="158" w:name="_Toc47622430"/>
      <w:bookmarkStart w:id="159" w:name="_Toc317088154"/>
      <w:bookmarkStart w:id="160" w:name="_Toc47604322"/>
      <w:bookmarkStart w:id="161" w:name="_Toc335232705"/>
      <w:bookmarkStart w:id="162" w:name="_Toc214873606"/>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151"/>
      <w:bookmarkEnd w:id="152"/>
      <w:bookmarkEnd w:id="153"/>
      <w:bookmarkEnd w:id="154"/>
      <w:r>
        <w:rPr>
          <w:rFonts w:ascii="Arial Unicode MS" w:eastAsia="宋体" w:hAnsi="Arial Unicode MS" w:cs="Arial"/>
          <w:b/>
          <w:bCs/>
          <w:sz w:val="28"/>
          <w:szCs w:val="28"/>
        </w:rPr>
        <w:t>基金合同的变更、终止与基金财产的清算</w:t>
      </w:r>
      <w:bookmarkEnd w:id="155"/>
      <w:bookmarkEnd w:id="156"/>
      <w:bookmarkEnd w:id="157"/>
      <w:bookmarkEnd w:id="158"/>
      <w:bookmarkEnd w:id="159"/>
      <w:bookmarkEnd w:id="160"/>
      <w:bookmarkEnd w:id="161"/>
      <w:bookmarkEnd w:id="162"/>
    </w:p>
    <w:p w:rsidR="00D5306E" w:rsidRDefault="00D5306E">
      <w:pPr>
        <w:snapToGrid w:val="0"/>
        <w:spacing w:line="360" w:lineRule="auto"/>
        <w:ind w:firstLineChars="200" w:firstLine="422"/>
        <w:rPr>
          <w:rFonts w:ascii="Arial Unicode MS" w:hAnsi="Arial Unicode MS" w:cs="Arial"/>
          <w:b/>
          <w:szCs w:val="21"/>
        </w:rPr>
      </w:pPr>
      <w:bookmarkStart w:id="163" w:name="_Toc79392639"/>
    </w:p>
    <w:p w:rsidR="00D5306E" w:rsidRDefault="006D76AB">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一、《基金合同》的变更</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、关于《基金合同》变更的基金份额持有人大会决议自生效后方可执行，自决议生效后按规定在规定媒介公告。</w:t>
      </w:r>
    </w:p>
    <w:p w:rsidR="00D5306E" w:rsidRDefault="006D76AB">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二、《基金合同》的终止事由</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有下列情形之一的，经履行相关程序后，《基金合同》应当终止：</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、基金份额持有人大会决定终止的；</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、基金管理人、基金托管人职责终止，在</w:t>
      </w:r>
      <w:r>
        <w:rPr>
          <w:rFonts w:ascii="Arial Unicode MS" w:hAnsi="Arial Unicode MS" w:cs="Arial" w:hint="eastAsia"/>
          <w:szCs w:val="21"/>
        </w:rPr>
        <w:t>6</w:t>
      </w:r>
      <w:r>
        <w:rPr>
          <w:rFonts w:ascii="Arial Unicode MS" w:hAnsi="Arial Unicode MS" w:cs="Arial" w:hint="eastAsia"/>
          <w:szCs w:val="21"/>
        </w:rPr>
        <w:t>个月内没有新基金管理人、新基金托管人承接的；</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、《基金合同》约定的其他情形；</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、相关法律法规和中国证监会规定的其他情况。</w:t>
      </w:r>
    </w:p>
    <w:p w:rsidR="00D5306E" w:rsidRDefault="006D76AB">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三、基金财产的清算</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、基金财产清算小组：自出现《基金合同》终止事由之日起</w:t>
      </w:r>
      <w:r>
        <w:rPr>
          <w:rFonts w:ascii="Arial Unicode MS" w:hAnsi="Arial Unicode MS" w:cs="Arial" w:hint="eastAsia"/>
          <w:szCs w:val="21"/>
        </w:rPr>
        <w:t>30</w:t>
      </w:r>
      <w:r>
        <w:rPr>
          <w:rFonts w:ascii="Arial Unicode MS" w:hAnsi="Arial Unicode MS" w:cs="Arial" w:hint="eastAsia"/>
          <w:szCs w:val="21"/>
        </w:rPr>
        <w:t>个工作日内成立基金财产清算小组，基金管理人组织基金财产清算小组并在中国证监会的监督下进行基金清算。</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、在基金财产清算小组接管基金财产之前，基金管理人和基金托管人应按照《基金合同》和托管协议的规定继续履行保护基金财产安全的职责。</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、基金财产清算小组组成：基金财产清算小组成员由基金管理人、基金托管人、符合《证券法》规定的注册会计师、律师以及中国证监会指定的人员组成。基金财产清算小组可以聘用必要的工作人员。</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、基金财产清算小组职责：基金财产清算小组负责基金财产的保管、清理、估价、变现和分配。基金财产清算小组可以依法进行必要的民事活动。</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、在基金财产清算过程中，基金管理人和基金托管人应各自履行职责，继续忠实、勤勉、尽责地履行基金合同和托管协议规定的义务，维护基金份额持有人的合法权益。</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、基金财产清算程序：</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w:t>
      </w:r>
      <w:r>
        <w:rPr>
          <w:rFonts w:ascii="Arial Unicode MS" w:hAnsi="Arial Unicode MS" w:cs="Arial" w:hint="eastAsia"/>
          <w:szCs w:val="21"/>
        </w:rPr>
        <w:t>1</w:t>
      </w:r>
      <w:r>
        <w:rPr>
          <w:rFonts w:ascii="Arial Unicode MS" w:hAnsi="Arial Unicode MS" w:cs="Arial" w:hint="eastAsia"/>
          <w:szCs w:val="21"/>
        </w:rPr>
        <w:t>）《基金合同》终止情形出现时，由基金财产清算小组统一接管基金；</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）对基金财产和债权债务进行清理和确认；</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）对基金财产进行估值和变现；</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）制作清算报告；</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）聘请会计师事务所对清算报告进行外部审计，聘请律师事务所对清算报告出具法律意见书；</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）将清算报告报中国证监会备案并公告；</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）对基金剩余财产进行分配。</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、基金财产清算的期限为</w:t>
      </w:r>
      <w:r>
        <w:rPr>
          <w:rFonts w:ascii="Arial Unicode MS" w:hAnsi="Arial Unicode MS" w:cs="Arial" w:hint="eastAsia"/>
          <w:szCs w:val="21"/>
        </w:rPr>
        <w:t>6</w:t>
      </w:r>
      <w:r>
        <w:rPr>
          <w:rFonts w:ascii="Arial Unicode MS" w:hAnsi="Arial Unicode MS" w:cs="Arial" w:hint="eastAsia"/>
          <w:szCs w:val="21"/>
        </w:rPr>
        <w:t>个月，但因本基金所持证券的流动性受到限制而不能及时变现的，清算期限可相应顺延。</w:t>
      </w:r>
    </w:p>
    <w:p w:rsidR="00D5306E" w:rsidRDefault="006D76AB">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四、清算费用</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清算费用是指基金财产清算小组在进行基金清算过程中发生的所有合理费用，清算费用由基金财产清算小组优先从基金剩余财产中支付。</w:t>
      </w:r>
    </w:p>
    <w:p w:rsidR="00D5306E" w:rsidRDefault="006D76AB">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五、基金财产清算剩余资产的分配</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依据基金财产清算的分配方案，将基金财产清算后的全部剩余资产扣除基金财产清算费用、交纳所欠税款并清偿基金债务后，按基金份额持有人持有的各类基金份额比例进行分配。</w:t>
      </w:r>
    </w:p>
    <w:p w:rsidR="00D5306E" w:rsidRDefault="006D76AB">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六、基金财产清算的公告</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Arial Unicode MS" w:hAnsi="Arial Unicode MS" w:cs="Arial" w:hint="eastAsia"/>
          <w:szCs w:val="21"/>
        </w:rPr>
        <w:t>5</w:t>
      </w:r>
      <w:r>
        <w:rPr>
          <w:rFonts w:ascii="Arial Unicode MS" w:hAnsi="Arial Unicode MS" w:cs="Arial" w:hint="eastAsia"/>
          <w:szCs w:val="21"/>
        </w:rPr>
        <w:t>个工作日内由基金财产清算小组进行公告。</w:t>
      </w:r>
    </w:p>
    <w:p w:rsidR="00D5306E" w:rsidRDefault="006D76AB">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七、基金财产清算账册及文件的保存</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基金财产清算账册及有关文件由基金托管人保存</w:t>
      </w:r>
      <w:r>
        <w:rPr>
          <w:rFonts w:ascii="Arial Unicode MS" w:hAnsi="Arial Unicode MS" w:cs="Arial" w:hint="eastAsia"/>
          <w:szCs w:val="21"/>
        </w:rPr>
        <w:t>20</w:t>
      </w:r>
      <w:r>
        <w:rPr>
          <w:rFonts w:ascii="Arial Unicode MS" w:hAnsi="Arial Unicode MS" w:cs="Arial" w:hint="eastAsia"/>
          <w:szCs w:val="21"/>
        </w:rPr>
        <w:t>年以上，法律法规或监管规则另有规定的从其规定。</w:t>
      </w:r>
    </w:p>
    <w:p w:rsidR="00D5306E" w:rsidRDefault="006D76AB">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八、基金合并</w:t>
      </w:r>
    </w:p>
    <w:p w:rsidR="00D5306E" w:rsidRDefault="006D76AB">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本基金与其他基金的合并应当按照法律法规规定的程序进行。</w:t>
      </w:r>
    </w:p>
    <w:p w:rsidR="00D5306E" w:rsidRDefault="00D5306E">
      <w:pPr>
        <w:snapToGrid w:val="0"/>
        <w:spacing w:line="360" w:lineRule="auto"/>
        <w:ind w:firstLineChars="200" w:firstLine="422"/>
        <w:rPr>
          <w:rFonts w:ascii="Arial Unicode MS" w:hAnsi="Arial Unicode MS" w:cs="Arial"/>
          <w:b/>
          <w:szCs w:val="21"/>
        </w:rPr>
      </w:pPr>
    </w:p>
    <w:p w:rsidR="00D5306E" w:rsidRDefault="00D5306E">
      <w:pPr>
        <w:snapToGrid w:val="0"/>
        <w:spacing w:line="360" w:lineRule="auto"/>
        <w:ind w:firstLineChars="200" w:firstLine="420"/>
        <w:rPr>
          <w:rFonts w:ascii="Arial Unicode MS" w:hAnsi="Arial Unicode MS" w:cs="Arial"/>
          <w:szCs w:val="21"/>
        </w:rPr>
        <w:sectPr w:rsidR="00D5306E">
          <w:footerReference w:type="default" r:id="rId48"/>
          <w:footerReference w:type="first" r:id="rId49"/>
          <w:pgSz w:w="11906" w:h="16838"/>
          <w:pgMar w:top="1440" w:right="1800" w:bottom="1440" w:left="1800" w:header="851" w:footer="992" w:gutter="0"/>
          <w:pgNumType w:start="1"/>
          <w:cols w:space="720"/>
          <w:docGrid w:linePitch="312"/>
        </w:sectPr>
      </w:pPr>
    </w:p>
    <w:p w:rsidR="00D5306E" w:rsidRDefault="006D76AB">
      <w:pPr>
        <w:pStyle w:val="11"/>
        <w:snapToGrid w:val="0"/>
        <w:spacing w:before="0" w:after="0" w:line="360" w:lineRule="auto"/>
        <w:rPr>
          <w:rFonts w:ascii="Arial Unicode MS" w:eastAsia="宋体" w:hAnsi="Arial Unicode MS" w:cs="Arial"/>
          <w:b/>
          <w:bCs/>
          <w:sz w:val="28"/>
          <w:szCs w:val="28"/>
        </w:rPr>
      </w:pPr>
      <w:bookmarkStart w:id="164" w:name="_Toc317088155"/>
      <w:bookmarkStart w:id="165" w:name="_Toc317088552"/>
      <w:bookmarkStart w:id="166" w:name="_Toc47604323"/>
      <w:bookmarkStart w:id="167" w:name="_Toc214873607"/>
      <w:bookmarkStart w:id="168" w:name="_Toc320887657"/>
      <w:bookmarkStart w:id="169" w:name="_Toc335232706"/>
      <w:bookmarkStart w:id="170" w:name="_Toc429490295"/>
      <w:bookmarkStart w:id="171" w:name="_Toc47622431"/>
      <w:bookmarkEnd w:id="163"/>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十九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基金合同的内容摘要</w:t>
      </w:r>
      <w:bookmarkEnd w:id="164"/>
      <w:bookmarkEnd w:id="165"/>
      <w:bookmarkEnd w:id="166"/>
      <w:bookmarkEnd w:id="167"/>
      <w:bookmarkEnd w:id="168"/>
      <w:bookmarkEnd w:id="169"/>
      <w:bookmarkEnd w:id="170"/>
      <w:bookmarkEnd w:id="171"/>
    </w:p>
    <w:p w:rsidR="00D5306E" w:rsidRDefault="00D5306E">
      <w:pPr>
        <w:autoSpaceDE w:val="0"/>
        <w:autoSpaceDN w:val="0"/>
        <w:adjustRightInd w:val="0"/>
        <w:spacing w:line="360" w:lineRule="auto"/>
        <w:ind w:firstLineChars="200" w:firstLine="422"/>
        <w:jc w:val="left"/>
        <w:rPr>
          <w:rFonts w:ascii="Arial Unicode MS" w:hAnsi="Arial Unicode MS"/>
          <w:b/>
          <w:bCs/>
          <w:szCs w:val="21"/>
        </w:rPr>
      </w:pPr>
    </w:p>
    <w:p w:rsidR="00D5306E" w:rsidRDefault="006D76AB">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一、基金管理人、基金托管人及基金份额持有人的权利与义务</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（一）基金管理人的权利与义务</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、根据《基金法》、《运作办法》及其他有关规定，基金管理人的权利包括但不限于：</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）依法募集资金；</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）自《基金合同》生效之日起，根据法律法规和《基金合同》独立运用并管理基金财产；</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）依照《基金合同》收取基金管理费以及法律法规规定或中国证监会批准的其他费用；</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）销售基金份额；</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）按照规定召集基金份额持有人大会；</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）在基金托管人更换时，提名新的基金托管人；</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）选择、更换基金销售机构，对基金销售机构的相关行为进行监督和处理；</w:t>
      </w:r>
      <w:r>
        <w:rPr>
          <w:rFonts w:ascii="Arial Unicode MS" w:hAnsi="Arial Unicode MS" w:hint="eastAsia"/>
          <w:bCs/>
          <w:szCs w:val="21"/>
        </w:rPr>
        <w:t xml:space="preserve"> </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）担任或委托其他符合条件的机构担任基金登记机构办理基金登记业务并获得《基金合同》规定的费用；</w:t>
      </w:r>
      <w:r>
        <w:rPr>
          <w:rFonts w:ascii="Arial Unicode MS" w:hAnsi="Arial Unicode MS" w:hint="eastAsia"/>
          <w:bCs/>
          <w:szCs w:val="21"/>
        </w:rPr>
        <w:t xml:space="preserve"> </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）依据《基金合同》及有关法律规定决定基金收益的分配方案；</w:t>
      </w:r>
      <w:r>
        <w:rPr>
          <w:rFonts w:ascii="Arial Unicode MS" w:hAnsi="Arial Unicode MS" w:hint="eastAsia"/>
          <w:bCs/>
          <w:szCs w:val="21"/>
        </w:rPr>
        <w:tab/>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）在《基金合同》约定的范围内，拒绝或暂停受理申购、赎回与转换申请；</w:t>
      </w:r>
      <w:r>
        <w:rPr>
          <w:rFonts w:ascii="Arial Unicode MS" w:hAnsi="Arial Unicode MS" w:hint="eastAsia"/>
          <w:bCs/>
          <w:szCs w:val="21"/>
        </w:rPr>
        <w:t xml:space="preserve"> </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）依照法律法规为基金的利益对被投资公司行使股东权利，为基金的利益行使因基金财产投资于证券所产生的权利；</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）在法律法规允许的前提下，为基金的利益依法为基金进行融资；</w:t>
      </w:r>
      <w:r>
        <w:rPr>
          <w:rFonts w:ascii="Arial Unicode MS" w:hAnsi="Arial Unicode MS" w:hint="eastAsia"/>
          <w:bCs/>
          <w:szCs w:val="21"/>
        </w:rPr>
        <w:t xml:space="preserve"> </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）以基金管理人的名义，代表基金份额持有人的利益行使诉讼权利或者实施其他法律行为；</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15</w:t>
      </w:r>
      <w:r>
        <w:rPr>
          <w:rFonts w:ascii="Arial Unicode MS" w:hAnsi="Arial Unicode MS" w:hint="eastAsia"/>
          <w:bCs/>
          <w:szCs w:val="21"/>
        </w:rPr>
        <w:t>）选择、更换律师事务所、会计师事务所、证券、期货经纪商或其他为基金提供服务的外部机构；</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16</w:t>
      </w:r>
      <w:r>
        <w:rPr>
          <w:rFonts w:ascii="Arial Unicode MS" w:hAnsi="Arial Unicode MS" w:hint="eastAsia"/>
          <w:bCs/>
          <w:szCs w:val="21"/>
        </w:rPr>
        <w:t>）在符合有关法律、法规的前提下，制订和调整有关基金认购、申购、赎回、转换、定期定额投资和非交易过户等业务规则；</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）法律法规及中国证监会规定的和《基金合同》约定的其他权利。</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、根据《基金法》、《运作办法》及其他有关规定，基金管理人的义务包括但不限于：</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）依法募集资金，办理或者委托经中国证监会认定的其他机构代为办理基金份额的发售、申购、赎回和登记事宜；</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）办理基金备案手续；</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）自《基金合同》生效之日起，以诚实信用、谨慎勤勉的原则管理和运用基金财产；</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）配备足够的具有专业资格的人员进行基金投资分析、决策，以专业化的经营方式管理和运作基金财产；</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）建立健全内部风险控制、监察与稽核、财务管理及人事管理等制度，保证所管理的基金财产和基金管理人的财产相互独立，对所管理的不同基金分别管理，分别记账，进行证券投资；</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）除依据《基金法》、《基金合同》及其他有关规定外，不得利用基金财产为自己及任何第三人谋取利益，不得委托第三人运作基金财产；</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）依法接受基金托管人的监督；</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）采取适当合理的措施使计算基金份额认购、申购、赎回和注销价格的方法符合《基金合同》等法律文件的规定，按有关规定计算并公告基金净值信息，确定基金份额申购、赎回的价格；</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）进行基金会计核算并编制基金财务会计报告；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）编制季度报告、中期报告和年度报告；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）严格按照《基金法》、《基金合同》及其他有关规定，履行信息披露及报告义务；</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保守基金商业秘密，不泄露基金投资计划、投资意向等。除《基金法》、《基金合同》及其他有关规定另有规定外，在基金信息公开披露前应予保密，不向他人泄露，但向审计、法律等外部专业顾问提供的除外；</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）按《基金合同》的约定确定基金收益分配方案，及时向基金份额持有人分配基金收益；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）按规定受理申购与赎回申请，及时、足额支付赎回款项；</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15</w:t>
      </w:r>
      <w:r>
        <w:rPr>
          <w:rFonts w:ascii="Arial Unicode MS" w:hAnsi="Arial Unicode MS" w:hint="eastAsia"/>
          <w:bCs/>
          <w:szCs w:val="21"/>
        </w:rPr>
        <w:t>）依据《基金法》、《基金合同》及其他有关规定召集基金份额持有人大会或配合基金托管人、基金份额持有人依法召集基金份额持有人大会；</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16</w:t>
      </w:r>
      <w:r>
        <w:rPr>
          <w:rFonts w:ascii="Arial Unicode MS" w:hAnsi="Arial Unicode MS" w:hint="eastAsia"/>
          <w:bCs/>
          <w:szCs w:val="21"/>
        </w:rPr>
        <w:t>）按规定保存基金财产管理业务活动的会计账册、报表、记录和其他相关资料</w:t>
      </w:r>
      <w:r>
        <w:rPr>
          <w:rFonts w:ascii="Arial Unicode MS" w:hAnsi="Arial Unicode MS" w:hint="eastAsia"/>
          <w:bCs/>
          <w:szCs w:val="21"/>
        </w:rPr>
        <w:t>15</w:t>
      </w:r>
      <w:r>
        <w:rPr>
          <w:rFonts w:ascii="Arial Unicode MS" w:hAnsi="Arial Unicode MS" w:hint="eastAsia"/>
          <w:bCs/>
          <w:szCs w:val="21"/>
        </w:rPr>
        <w:t>年以上；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18</w:t>
      </w:r>
      <w:r>
        <w:rPr>
          <w:rFonts w:ascii="Arial Unicode MS" w:hAnsi="Arial Unicode MS" w:hint="eastAsia"/>
          <w:bCs/>
          <w:szCs w:val="21"/>
        </w:rPr>
        <w:t>）组织并参加基金财产清算小组，参与基金财产的保管、清理、估价、变现和分配；</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19</w:t>
      </w:r>
      <w:r>
        <w:rPr>
          <w:rFonts w:ascii="Arial Unicode MS" w:hAnsi="Arial Unicode MS" w:hint="eastAsia"/>
          <w:bCs/>
          <w:szCs w:val="21"/>
        </w:rPr>
        <w:t>）面临解散、依法被撤销或者被依法宣告破产时，及时报告中国证监会并通知基金托管人；</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20</w:t>
      </w:r>
      <w:r>
        <w:rPr>
          <w:rFonts w:ascii="Arial Unicode MS" w:hAnsi="Arial Unicode MS" w:hint="eastAsia"/>
          <w:bCs/>
          <w:szCs w:val="21"/>
        </w:rPr>
        <w:t>）因违反《基金合同》导致基金财产的损失或损害基金份额持有人合法权益时，应当承担赔偿责任，其赔偿责任不因其退任而免除；</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21</w:t>
      </w:r>
      <w:r>
        <w:rPr>
          <w:rFonts w:ascii="Arial Unicode MS" w:hAnsi="Arial Unicode MS" w:hint="eastAsia"/>
          <w:bCs/>
          <w:szCs w:val="21"/>
        </w:rPr>
        <w:t>）监督基金托管人按法律法规和《基金合同》规定履行自己的义务，基金托管人违反《基金合同》造成基金财产损失时，基金管理人应为基金份额持有人利益向基金托管人追偿；</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22</w:t>
      </w:r>
      <w:r>
        <w:rPr>
          <w:rFonts w:ascii="Arial Unicode MS" w:hAnsi="Arial Unicode MS" w:hint="eastAsia"/>
          <w:bCs/>
          <w:szCs w:val="21"/>
        </w:rPr>
        <w:t>）当基金管理人将其义务委托第三方处理时，应当对第三方处理有关基金事务的行为承担责任；</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23</w:t>
      </w:r>
      <w:r>
        <w:rPr>
          <w:rFonts w:ascii="Arial Unicode MS" w:hAnsi="Arial Unicode MS" w:hint="eastAsia"/>
          <w:bCs/>
          <w:szCs w:val="21"/>
        </w:rPr>
        <w:t>）以基金管理人名义，代表基金份额持有人利益行使诉讼权利或实施其他法律行为；</w:t>
      </w:r>
      <w:r>
        <w:rPr>
          <w:rFonts w:ascii="Arial Unicode MS" w:hAnsi="Arial Unicode MS" w:hint="eastAsia"/>
          <w:bCs/>
          <w:szCs w:val="21"/>
        </w:rPr>
        <w:tab/>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24</w:t>
      </w:r>
      <w:r>
        <w:rPr>
          <w:rFonts w:ascii="Arial Unicode MS" w:hAnsi="Arial Unicode MS" w:hint="eastAsia"/>
          <w:bCs/>
          <w:szCs w:val="21"/>
        </w:rPr>
        <w:t>）基金管理人在募集期间未能达到基金的备案条件，《基金合同》不能生效，基金管理人承担全部募集费用，将已募集资金并加计银行同期活期存款利息在基金募集期结束后</w:t>
      </w:r>
      <w:r>
        <w:rPr>
          <w:rFonts w:ascii="Arial Unicode MS" w:hAnsi="Arial Unicode MS" w:hint="eastAsia"/>
          <w:bCs/>
          <w:szCs w:val="21"/>
        </w:rPr>
        <w:t>30</w:t>
      </w:r>
      <w:r>
        <w:rPr>
          <w:rFonts w:ascii="Arial Unicode MS" w:hAnsi="Arial Unicode MS" w:hint="eastAsia"/>
          <w:bCs/>
          <w:szCs w:val="21"/>
        </w:rPr>
        <w:t>日内退还基金认购人；</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25</w:t>
      </w:r>
      <w:r>
        <w:rPr>
          <w:rFonts w:ascii="Arial Unicode MS" w:hAnsi="Arial Unicode MS" w:hint="eastAsia"/>
          <w:bCs/>
          <w:szCs w:val="21"/>
        </w:rPr>
        <w:t>）执行生效的基金份额持有人大会的决议；</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26</w:t>
      </w:r>
      <w:r>
        <w:rPr>
          <w:rFonts w:ascii="Arial Unicode MS" w:hAnsi="Arial Unicode MS" w:hint="eastAsia"/>
          <w:bCs/>
          <w:szCs w:val="21"/>
        </w:rPr>
        <w:t>）建立并保存基金份额持有人名册；</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27</w:t>
      </w:r>
      <w:r>
        <w:rPr>
          <w:rFonts w:ascii="Arial Unicode MS" w:hAnsi="Arial Unicode MS" w:hint="eastAsia"/>
          <w:bCs/>
          <w:szCs w:val="21"/>
        </w:rPr>
        <w:t>）法律法规及中国证监会规定的和《基金合同》约定的其他义务。</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（二）基金托管人的权利与义务</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、根据《基金法》、《运作办法》及其他有关规定，基金托管人的权利包括但不限于：</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）自《基金合同》生效之日起，依法律法规和《基金合同》的规定安全保管基金财</w:t>
      </w:r>
      <w:r>
        <w:rPr>
          <w:rFonts w:ascii="Arial Unicode MS" w:hAnsi="Arial Unicode MS" w:hint="eastAsia"/>
          <w:bCs/>
          <w:szCs w:val="21"/>
        </w:rPr>
        <w:lastRenderedPageBreak/>
        <w:t>产；</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）依《基金合同》约定获得基金托管费以及法律法规规定或监管部门批准的其他费用；</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）根据相关市场规则，为基金开设资金账户、证券账户等投资所需账户，为基金办理证券交易资金清算；</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）提议召开或召集基金份额持有人大会；</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）在基金管理人更换时，提名新的基金管理人；</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）法律法规及中国证监会规定的和《基金合同》约定的其他权利。</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、根据《基金法》、《运作办法》及其他有关规定，基金托管人的义务包括但不限于：</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）以诚实信用、勤勉尽责的原则持有并安全保管基金财产；</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）设立专门的基金托管部门，具有符合要求的营业场所，配备足够的、合格的熟悉基金托管业务的专职人员，负责基金财产托管事宜；</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）除依据《基金法》、《基金合同》及其他有关规定外，不得利用基金财产为自己及任何第三人谋取利益，不得委托第三人托管基金财产；</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）保管由基金管理人代表基金签订的与基金有关的重大合同及有关凭证；</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）按规定开设基金财产的资金账户、证券账户等投资所需账户，按照《基金合同》的约定，根据基金管理人的投资指令，及时办理清算、交割事宜；</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）保守基金商业秘密，除《基金法》、《基金合同》及其他有关规定另有规定外，在基金信息公开披露前予以保密，不得向他人泄露，但向审计、法律等外部专业顾问提供的除外；</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）复核、审查基金管理人计算的基金资产净值、基金份额净值、基金份额申购、赎回价格；</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9</w:t>
      </w:r>
      <w:r>
        <w:rPr>
          <w:rFonts w:ascii="Arial Unicode MS" w:hAnsi="Arial Unicode MS" w:hint="eastAsia"/>
          <w:bCs/>
          <w:szCs w:val="21"/>
        </w:rPr>
        <w:t>）办理与基金托管业务活动有关的信息披露事项；</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）保存基金托管业务活动的记录、账册、报表和其他相关资料</w:t>
      </w:r>
      <w:r>
        <w:rPr>
          <w:rFonts w:ascii="Arial Unicode MS" w:hAnsi="Arial Unicode MS" w:hint="eastAsia"/>
          <w:bCs/>
          <w:szCs w:val="21"/>
        </w:rPr>
        <w:t>20</w:t>
      </w:r>
      <w:r>
        <w:rPr>
          <w:rFonts w:ascii="Arial Unicode MS" w:hAnsi="Arial Unicode MS" w:hint="eastAsia"/>
          <w:bCs/>
          <w:szCs w:val="21"/>
        </w:rPr>
        <w:t>年以上，法律法规或监管规则另有规定的从其规定；</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）从基金管理人或其委托的登记机构处接收并保存基金份额持有人名册；</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）按规定制作相关账册并与基金管理人核对；</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）依据基金管理人的指令或有关规定向基金份额持有人支付基金收益和赎回款项；</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15</w:t>
      </w:r>
      <w:r>
        <w:rPr>
          <w:rFonts w:ascii="Arial Unicode MS" w:hAnsi="Arial Unicode MS" w:hint="eastAsia"/>
          <w:bCs/>
          <w:szCs w:val="21"/>
        </w:rPr>
        <w:t>）依据《基金法》、《基金合同》及其他有关规定，召集基金份额持有人大会或配合基金管理人、基金份额持有人依法召集基金份额持有人大会；</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16</w:t>
      </w:r>
      <w:r>
        <w:rPr>
          <w:rFonts w:ascii="Arial Unicode MS" w:hAnsi="Arial Unicode MS" w:hint="eastAsia"/>
          <w:bCs/>
          <w:szCs w:val="21"/>
        </w:rPr>
        <w:t>）按照法律法规和《基金合同》的规定监督基金管理人的投资运作；</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）参加基金财产清算小组，参与基金财产的保管、清理、估价、变现和分配；</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18</w:t>
      </w:r>
      <w:r>
        <w:rPr>
          <w:rFonts w:ascii="Arial Unicode MS" w:hAnsi="Arial Unicode MS" w:hint="eastAsia"/>
          <w:bCs/>
          <w:szCs w:val="21"/>
        </w:rPr>
        <w:t>）面临解散、依法被撤销或者被依法宣告破产时，及时报告中国证监会和银行监管机构，并通知基金管理人；</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19</w:t>
      </w:r>
      <w:r>
        <w:rPr>
          <w:rFonts w:ascii="Arial Unicode MS" w:hAnsi="Arial Unicode MS" w:hint="eastAsia"/>
          <w:bCs/>
          <w:szCs w:val="21"/>
        </w:rPr>
        <w:t>）因违反《基金合同》导致基金财产损失时，应承担赔偿责任，其赔偿责任不因其退任而免除；</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20</w:t>
      </w:r>
      <w:r>
        <w:rPr>
          <w:rFonts w:ascii="Arial Unicode MS" w:hAnsi="Arial Unicode MS" w:hint="eastAsia"/>
          <w:bCs/>
          <w:szCs w:val="21"/>
        </w:rPr>
        <w:t>）按规定监督基金管理人按法律法规和《基金合同》规定履行自己的义务，基金管理人因违反《基金合同》造成基金财产损失时，应为基金份额持有人利益向基金管理人追偿；</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21</w:t>
      </w:r>
      <w:r>
        <w:rPr>
          <w:rFonts w:ascii="Arial Unicode MS" w:hAnsi="Arial Unicode MS" w:hint="eastAsia"/>
          <w:bCs/>
          <w:szCs w:val="21"/>
        </w:rPr>
        <w:t>）执行生效的基金份额持有人大会的决议；</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22</w:t>
      </w:r>
      <w:r>
        <w:rPr>
          <w:rFonts w:ascii="Arial Unicode MS" w:hAnsi="Arial Unicode MS" w:hint="eastAsia"/>
          <w:bCs/>
          <w:szCs w:val="21"/>
        </w:rPr>
        <w:t>）法律法规及中国证监会规定的和《基金合同》约定的其他义务。</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（三）基金份额持有人</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除法律法规另有规定或本基金合同另有约定外，同一类别每份基金份额具有同等的合法权益。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1</w:t>
      </w:r>
      <w:r>
        <w:rPr>
          <w:rFonts w:ascii="Arial Unicode MS" w:hAnsi="Arial Unicode MS" w:hint="eastAsia"/>
          <w:bCs/>
          <w:szCs w:val="21"/>
        </w:rPr>
        <w:t>、根据《基金法》、《运作办法》及其他有关规定，基金份额持有人的权利包括但不限于：</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）分享基金财产收益；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）参与分配清算后的剩余基金财产；</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）依法转让或者申请赎回其持有的基金份额；</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）按照规定要求召开基金份额持有人大会或者召集基金份额持有人大会；</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）出席或者委派代表出席基金份额持有人大会，对基金份额持有人大会审议事项行使表决权；</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）查阅或者复制公开披露的基金信息资料；</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）监督基金管理人的投资运作；</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）对基金管理人、基金托管人、基金服务机构损害其合法权益的行为依法提起诉讼或仲裁；</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）法律法规及中国证监会规定的和《基金合同》约定的其他权利。</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、根据《基金法》、《运作办法》及其他有关规定，基金份额持有人的义务包括但不限于：</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）认真阅读并遵守《基金合同》、招募说明书等信息披露文件；</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）了解所投资基金产品，了解自身风险承受能力，自主判断基金的投资价值，自主做出投资决策，自行承担投资风险；</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）关注基金信息披露，及时行使权利和履行义务；</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）交纳基金认购、申购款项及法律法规和《基金合同》所规定的费用；</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）在其持有的基金份额范围内，承担基金亏损或者《基金合同》终止的有限责任；</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）不从事任何有损基金及其他《基金合同》当事人合法权益的活动；</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）执行生效的基金份额持有人大会的决议；</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）返还在基金交易过程中因任何原因获得的不当得利；</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）法律法规及中国证监会规定的和《基金合同》约定的其他义务。</w:t>
      </w:r>
    </w:p>
    <w:p w:rsidR="00D5306E" w:rsidRDefault="006D76AB">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二、基金份额持有人大会召集、议事及表决的程序和规则</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基金份额持有人大会由基金份额持有人组成，基金份额持有人的合法授权代表有权代表</w:t>
      </w:r>
      <w:r>
        <w:rPr>
          <w:rFonts w:ascii="Arial Unicode MS" w:hAnsi="Arial Unicode MS" w:hint="eastAsia"/>
          <w:bCs/>
          <w:szCs w:val="21"/>
        </w:rPr>
        <w:lastRenderedPageBreak/>
        <w:t>基金份额持有人出席会议并表决。除法律法规另有规定或本基金合同另有约定外，基金份额持有人持有的同一类别每一基金份额拥有平等的投票权。</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本基金份额持有人大会不设日常机构。</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（一）召开事由</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、除法律法规和中国证监会另有规定或《基金合同》另有约定外，当出现或需要决定下列事由之一的，应当召开基金份额持有人大会：</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）终止《基金合同》；</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）更换基金管理人；</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）更换基金托管人；</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）转换基金运作方式；</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）调整基金管理人、基金托管人的报酬标准或提高销售服务费率；</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）变更基金类别；</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）本基金与其他基金的合并；</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）变更基金投资目标、范围或策略；</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）变更基金份额持有人大会程序；</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）基金管理人或基金托管人要求召开基金份额持有人大会；</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）单独或合计持有本基金总份额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）基金份额的基金份额持有人（以基金管理人收到提议当日的基金份额计算，下同）就同一事项书面要求召开基金份额持有人大会；</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）对基金合同当事人权利和义务产生重大影响的其他事项；</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）法律法规、《基金合同》或中国证监会规定的其他应当召开基金份额持有人大会的事项。</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）法律法规要求增加的基金费用的收取；</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）调整本基金的申购费率、调低赎回费率、调低销售服务费率或变更收费方式，调整基金份额类别设置、对基金份额分类办法及规则进行调整；</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3</w:t>
      </w:r>
      <w:r>
        <w:rPr>
          <w:rFonts w:ascii="Arial Unicode MS" w:hAnsi="Arial Unicode MS" w:hint="eastAsia"/>
          <w:bCs/>
          <w:szCs w:val="21"/>
        </w:rPr>
        <w:t>）因相应的法律法规发生变动而应当对《基金合同》进行修改；</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）对《基金合同》的修改对基金份额持有人利益无实质性不利影响或修改不涉及《基金合同》当事人权利义务关系发生重大变化；</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）基金管理人、登记机构、基金销售机构调整有关认购、申购、赎回、转换、基金交易、非交易过户、转托管等业务规则；</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）履行相关程序后，基金推出新业务或服务；</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）按照法律法规和《基金合同》规定不需召开基金份额持有人大会的其他情形。</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（二）会议召集人及召集方式</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、除法律法规规定或《基金合同》另有约定外，基金份额持有人大会由基金管理人召集。</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、基金管理人未按规定召集或不能召集时，由基金托管人召集。</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、基金托管人认为有必要召开基金份额持有人大会的，应当向基金管理人提出书面提议。基金管理人应当自收到书面提议之日起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日内决定是否召集，并书面告知基金托管人。基金管理人决定召集的，应当自出具书面决定之日起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日内召开；基金管理人决定不召集，基金托管人仍认为有必要召开的，应当由基金托管人自行召集，并自出具书面决定之日起</w:t>
      </w:r>
      <w:r>
        <w:rPr>
          <w:rFonts w:ascii="Arial Unicode MS" w:hAnsi="Arial Unicode MS" w:hint="eastAsia"/>
          <w:bCs/>
          <w:szCs w:val="21"/>
        </w:rPr>
        <w:t>60</w:t>
      </w:r>
      <w:r>
        <w:rPr>
          <w:rFonts w:ascii="Arial Unicode MS" w:hAnsi="Arial Unicode MS" w:hint="eastAsia"/>
          <w:bCs/>
          <w:szCs w:val="21"/>
        </w:rPr>
        <w:t>日内召开并告知基金管理人，基金管理人应当配合。</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）的基金份额持有人就同一事项书面要求召开基金份额持有人大会，应当向基金管理人提出书面提议。基金管理人应当自收到书面提议之日起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日内决定是否召集，并书面告知提出提议的基金份额持有人代表和基金托管人。基金管理人决定召集的，应当自出具书面决定之日起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日内召开；基金管理人决定不召集，代表基金份额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）的基金份额持有人仍认为有必要召开的，应当向基金托管人提出书面提议。基金托管人应当自收到书面提议之日起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日内决定是否召集，并书面告知提出提议的基金份额持有人代表和基金管理人；基金托管人决定召集的，应当自出具书面决定之日起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日内召开并告知基金管理人，基金管理人应当配合。</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）的基金份额持有人就同一事项要求召开基金份额持有人大会，而基金管理人、基金托管人都不召集的，单独或合计代表基金份额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）的基金份额持有人有权自行召集，并至少提前</w:t>
      </w:r>
      <w:r>
        <w:rPr>
          <w:rFonts w:ascii="Arial Unicode MS" w:hAnsi="Arial Unicode MS" w:hint="eastAsia"/>
          <w:bCs/>
          <w:szCs w:val="21"/>
        </w:rPr>
        <w:t>30</w:t>
      </w:r>
      <w:r>
        <w:rPr>
          <w:rFonts w:ascii="Arial Unicode MS" w:hAnsi="Arial Unicode MS" w:hint="eastAsia"/>
          <w:bCs/>
          <w:szCs w:val="21"/>
        </w:rPr>
        <w:t>日报中国证监会备案。基金份额持</w:t>
      </w:r>
      <w:r>
        <w:rPr>
          <w:rFonts w:ascii="Arial Unicode MS" w:hAnsi="Arial Unicode MS" w:hint="eastAsia"/>
          <w:bCs/>
          <w:szCs w:val="21"/>
        </w:rPr>
        <w:lastRenderedPageBreak/>
        <w:t>有人依法自行召集基金份额持有人大会的，基金管理人、基金托管人应当配合，不得阻碍、干扰。</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、基金份额持有人会议的召集人负责选择确定开会时间、地点、方式和权益登记日。</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（三）召开基金份额持有人大会的通知时间、通知内容、通知方式</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、召开基金份额持有人大会，召集人应于会议召开前</w:t>
      </w:r>
      <w:r>
        <w:rPr>
          <w:rFonts w:ascii="Arial Unicode MS" w:hAnsi="Arial Unicode MS" w:hint="eastAsia"/>
          <w:bCs/>
          <w:szCs w:val="21"/>
        </w:rPr>
        <w:t>30</w:t>
      </w:r>
      <w:r>
        <w:rPr>
          <w:rFonts w:ascii="Arial Unicode MS" w:hAnsi="Arial Unicode MS" w:hint="eastAsia"/>
          <w:bCs/>
          <w:szCs w:val="21"/>
        </w:rPr>
        <w:t>日，在规定媒介公告。基金份额持有人大会通知应至少载明以下内容：</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）会议召开的时间、地点和会议形式；</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）会议拟审议的事项、议事程序和表决方式；</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）有权出席基金份额持有人大会的基金份额持有人的权益登记日；</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）授权委托证明的内容要求（包括但不限于代理人身份，代理权限和代理有效期限等）、送达时间和地点；</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）会务常设联系人姓名及联系电话；</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）出席会议者必须准备的文件和必须履行的手续；</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）召集人需要通知的其他事项。</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（四）基金份额持有人出席会议的方式</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基金份额持有人大会可通过现场开会方式、通讯开会方式或法律法规、监管机构允许的其他方式召开，会议的召开方式由会议召集人确定。</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）亲自出席会议者持有基金份额的凭证、受托出席会议者出具的委托人持有基金份</w:t>
      </w:r>
      <w:r>
        <w:rPr>
          <w:rFonts w:ascii="Arial Unicode MS" w:hAnsi="Arial Unicode MS" w:hint="eastAsia"/>
          <w:bCs/>
          <w:szCs w:val="21"/>
        </w:rPr>
        <w:lastRenderedPageBreak/>
        <w:t>额的凭证及委托人的代理投票授权委托证明符合法律法规、《基金合同》和会议通知的规定，并且持有基金份额的凭证与基金管理人持有的登记资料相符；</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在同时符合以下条件时，通讯开会的方式视为有效：</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）会议召集人按《基金合同》约定公布会议通知后，在</w:t>
      </w:r>
      <w:r>
        <w:rPr>
          <w:rFonts w:ascii="Arial Unicode MS" w:hAnsi="Arial Unicode MS" w:hint="eastAsia"/>
          <w:bCs/>
          <w:szCs w:val="21"/>
        </w:rPr>
        <w:t>2</w:t>
      </w:r>
      <w:r>
        <w:rPr>
          <w:rFonts w:ascii="Arial Unicode MS" w:hAnsi="Arial Unicode MS" w:hint="eastAsia"/>
          <w:bCs/>
          <w:szCs w:val="21"/>
        </w:rPr>
        <w:t>个工作日内连续公布相关提示性公告；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）上述第（</w:t>
      </w:r>
      <w:r>
        <w:rPr>
          <w:rFonts w:ascii="Arial Unicode MS" w:hAnsi="Arial Unicode MS" w:hint="eastAsia"/>
          <w:bCs/>
          <w:szCs w:val="21"/>
        </w:rPr>
        <w:t>3</w:t>
      </w:r>
      <w:r>
        <w:rPr>
          <w:rFonts w:ascii="Arial Unicode MS" w:hAnsi="Arial Unicode M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、在法律法规和监管机关允许的情况下，本基金的基金份额持有人亦可采用其他非书面方式授权其代理人出席基金份额持有人大会，授权方式可以采用书面、网络、电话、短信</w:t>
      </w:r>
      <w:r>
        <w:rPr>
          <w:rFonts w:ascii="Arial Unicode MS" w:hAnsi="Arial Unicode MS" w:hint="eastAsia"/>
          <w:bCs/>
          <w:szCs w:val="21"/>
        </w:rPr>
        <w:lastRenderedPageBreak/>
        <w:t>或其他方式，具体方式由会议召集人确定并在会议通知中列明。</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（五）议事内容与程序</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、议事内容及提案权</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基金份额持有人大会的召集人发出召集会议的通知后，对原有提案的修改应当在基金份额持有人大会召开前及时公告。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基金份额持有人大会不得对未事先公告的议事内容进行表决。</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、议事程序</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）现场开会</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在现场开会的方式下，首先由大会主持人按照下列第</w:t>
      </w:r>
      <w:r>
        <w:rPr>
          <w:rFonts w:ascii="Arial Unicode MS" w:hAnsi="Arial Unicode MS"/>
          <w:bCs/>
          <w:szCs w:val="21"/>
        </w:rPr>
        <w:t>（</w:t>
      </w:r>
      <w:r>
        <w:rPr>
          <w:rFonts w:ascii="Arial Unicode MS" w:hAnsi="Arial Unicode MS" w:hint="eastAsia"/>
          <w:bCs/>
          <w:szCs w:val="21"/>
        </w:rPr>
        <w:t>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）通讯开会</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在通讯开会的情况下，首先由召集人提前</w:t>
      </w:r>
      <w:r>
        <w:rPr>
          <w:rFonts w:ascii="Arial Unicode MS" w:hAnsi="Arial Unicode MS" w:hint="eastAsia"/>
          <w:bCs/>
          <w:szCs w:val="21"/>
        </w:rPr>
        <w:t>30</w:t>
      </w:r>
      <w:r>
        <w:rPr>
          <w:rFonts w:ascii="Arial Unicode MS" w:hAnsi="Arial Unicode MS" w:hint="eastAsia"/>
          <w:bCs/>
          <w:szCs w:val="21"/>
        </w:rPr>
        <w:t>日公布提案，在所通知的表决截止日期后</w:t>
      </w:r>
      <w:r>
        <w:rPr>
          <w:rFonts w:ascii="Arial Unicode MS" w:hAnsi="Arial Unicode MS" w:hint="eastAsia"/>
          <w:bCs/>
          <w:szCs w:val="21"/>
        </w:rPr>
        <w:t>2</w:t>
      </w:r>
      <w:r>
        <w:rPr>
          <w:rFonts w:ascii="Arial Unicode MS" w:hAnsi="Arial Unicode MS" w:hint="eastAsia"/>
          <w:bCs/>
          <w:szCs w:val="21"/>
        </w:rPr>
        <w:t>个工作日内在公证机关监督下由召集人统计全部有效表决，在公证机关监督下形成决议。</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（六）表决</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基金份额持有人所持每份基金份额有一票表决权。</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基金份额持有人大会决议分为一般决议和特别决议：</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、一般决议，一般决议须经参加大会的基金份额持有人或其代理人所持表决权的二分</w:t>
      </w:r>
      <w:r>
        <w:rPr>
          <w:rFonts w:ascii="Arial Unicode MS" w:hAnsi="Arial Unicode MS" w:hint="eastAsia"/>
          <w:bCs/>
          <w:szCs w:val="21"/>
        </w:rPr>
        <w:lastRenderedPageBreak/>
        <w:t>之一以上（含二分之一）通过方为有效；除下列第</w:t>
      </w:r>
      <w:r>
        <w:rPr>
          <w:rFonts w:ascii="Arial Unicode MS" w:hAnsi="Arial Unicode MS" w:hint="eastAsia"/>
          <w:bCs/>
          <w:szCs w:val="21"/>
        </w:rPr>
        <w:t>2</w:t>
      </w:r>
      <w:r>
        <w:rPr>
          <w:rFonts w:ascii="Arial Unicode MS" w:hAnsi="Arial Unicode MS" w:hint="eastAsia"/>
          <w:bCs/>
          <w:szCs w:val="21"/>
        </w:rPr>
        <w:t>项所规定的须以特别决议通过事项以外的其他事项均以一般决议的方式通过。</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基金份额持有人大会采取记名方式进行投票表决。</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基金份额持有人大会的各项提案或同一项提案内并列的各项议题应当分开审议、逐项表决。</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（七）计票</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、现场开会</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）监票人应当在基金份额持有人表决后立即进行清点并由大会主持人当场公布计票结果。</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）计票过程应由公证机关予以公证，基金管理人或基金托管人拒不出席大会的，不影响计票的效力。</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、通讯开会</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在通讯开会的情况下，计票方式为：由大会召集人授权的两名监督员在基金托管人授权代表（若由基金托管人召集，则为基金管理人授权代表）的监督下进行计票，并由公证机关</w:t>
      </w:r>
      <w:r>
        <w:rPr>
          <w:rFonts w:ascii="Arial Unicode MS" w:hAnsi="Arial Unicode MS" w:hint="eastAsia"/>
          <w:bCs/>
          <w:szCs w:val="21"/>
        </w:rPr>
        <w:lastRenderedPageBreak/>
        <w:t>对其计票过程予以公证。基金管理人或基金托管人拒派代表对表决意见的计票进行监督的，不影响计票和表决结果。</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（八）生效与公告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基金份额持有人大会的决议，召集人应当自通过之日起</w:t>
      </w:r>
      <w:r>
        <w:rPr>
          <w:rFonts w:ascii="Arial Unicode MS" w:hAnsi="Arial Unicode MS" w:hint="eastAsia"/>
          <w:bCs/>
          <w:szCs w:val="21"/>
        </w:rPr>
        <w:t>5</w:t>
      </w:r>
      <w:r>
        <w:rPr>
          <w:rFonts w:ascii="Arial Unicode MS" w:hAnsi="Arial Unicode MS" w:hint="eastAsia"/>
          <w:bCs/>
          <w:szCs w:val="21"/>
        </w:rPr>
        <w:t>日内报中国证监会备案。</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基金份额持有人大会的决议自表决通过之日起生效。</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基金份额持有人大会决议自生效之日起按规定在规定媒介上公告。如果采用通讯方式进行表决，在公告基金份额持有人大会决议时，必须将公证书全文、公证机构、公证员姓名等一同公告。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（九）实施侧袋机制期间基金份额持有人大会的特殊约定</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、基金份额持有人行使提议权、召集权、提名权所需单独或合计代表相关基金份额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、现场开会的到会者在权益登记日代表的基金份额不少于本基金在权益登记日相关基金份额的二分之一（含二分之一）；</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、通讯开会的直接出具书面意见或授权他人代表出具书面意见的基金份额持有人所持有的基金份额不小于在权益登记日相关基金份额的二分之一（含二分之一）；</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、在参与基金份额持有人大会投票的基金份额持有人所持有的基金份额小于在权益登记日相关基金份额的二分之一，召集人在原公告的基金份额持有人大会召开时间的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个月以内就原定审议事项重新召集的基金份额持有人大会应当有代表三分之一以上（含三分之一）相关基金份额的持有人参与或授权他人参与基金份额持有人大会投票；</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、现场开会由出席大会的基金份额持有人和代理人所持表决权的</w:t>
      </w:r>
      <w:r>
        <w:rPr>
          <w:rFonts w:ascii="Arial Unicode MS" w:hAnsi="Arial Unicode MS" w:hint="eastAsia"/>
          <w:bCs/>
          <w:szCs w:val="21"/>
        </w:rPr>
        <w:t>50%</w:t>
      </w:r>
      <w:r>
        <w:rPr>
          <w:rFonts w:ascii="Arial Unicode MS" w:hAnsi="Arial Unicode MS" w:hint="eastAsia"/>
          <w:bCs/>
          <w:szCs w:val="21"/>
        </w:rPr>
        <w:t>以上（含</w:t>
      </w:r>
      <w:r>
        <w:rPr>
          <w:rFonts w:ascii="Arial Unicode MS" w:hAnsi="Arial Unicode MS" w:hint="eastAsia"/>
          <w:bCs/>
          <w:szCs w:val="21"/>
        </w:rPr>
        <w:t>50%</w:t>
      </w:r>
      <w:r>
        <w:rPr>
          <w:rFonts w:ascii="Arial Unicode MS" w:hAnsi="Arial Unicode MS" w:hint="eastAsia"/>
          <w:bCs/>
          <w:szCs w:val="21"/>
        </w:rPr>
        <w:t>）选举产生一名基金份额持有人作为该次基金份额持有人大会的主持人；</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、一般决议须经参加大会的基金份额持有人或其代理人所持表决权的二分之一以上（含二分之一）通过；</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7</w:t>
      </w:r>
      <w:r>
        <w:rPr>
          <w:rFonts w:ascii="Arial Unicode MS" w:hAnsi="Arial Unicode MS" w:hint="eastAsia"/>
          <w:bCs/>
          <w:szCs w:val="21"/>
        </w:rPr>
        <w:t>、特别决议应当经参加大会的基金份额持有人或其代理人所持表决权的三分之二以上（含三分之二）通过。</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侧袋机制实施期间，基金份额持有人大会审议事项涉及主袋账户和侧袋账户的，应分别由主袋账户、侧袋账户的基金份额持有人进行表决，同一主侧袋账户内的同一类别每份基金份额具有平等的表决权。表决事项未涉及侧袋账户的，侧袋账户份额无表决权。</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侧袋机制实施期间，关于基金份额持有人大会的相关规定以本节特殊约定内容为准，本节没有规定的适用本部分相关约定。</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十）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rsidR="00D5306E" w:rsidRDefault="006D76AB">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三、基金合同的变更、终止与基金财产的清算</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（一）《基金合同》的变更</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、关于《基金合同》变更的基金份额持有人大会决议自生效后方可执行，自决议生效后按规定在规定媒介公告。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（二）《基金合同》的终止事由</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有下列情形之一的，经履行相关程序后，《基金合同》应当终止：</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、基金份额持有人大会决定终止的；</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、基金管理人、基金托管人职责终止，在</w:t>
      </w:r>
      <w:r>
        <w:rPr>
          <w:rFonts w:ascii="Arial Unicode MS" w:hAnsi="Arial Unicode MS" w:hint="eastAsia"/>
          <w:bCs/>
          <w:szCs w:val="21"/>
        </w:rPr>
        <w:t>6</w:t>
      </w:r>
      <w:r>
        <w:rPr>
          <w:rFonts w:ascii="Arial Unicode MS" w:hAnsi="Arial Unicode MS" w:hint="eastAsia"/>
          <w:bCs/>
          <w:szCs w:val="21"/>
        </w:rPr>
        <w:t>个月内没有新基金管理人、新基金托管人承接的；</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、《基金合同》约定的其他情形；</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、相关法律法规和中国证监会规定的其他情况。</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（三）基金财产的清算</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、基金财产清算小组：自出现《基金合同》终止事由之日起</w:t>
      </w:r>
      <w:r>
        <w:rPr>
          <w:rFonts w:ascii="Arial Unicode MS" w:hAnsi="Arial Unicode MS" w:hint="eastAsia"/>
          <w:bCs/>
          <w:szCs w:val="21"/>
        </w:rPr>
        <w:t>30</w:t>
      </w:r>
      <w:r>
        <w:rPr>
          <w:rFonts w:ascii="Arial Unicode MS" w:hAnsi="Arial Unicode MS" w:hint="eastAsia"/>
          <w:bCs/>
          <w:szCs w:val="21"/>
        </w:rPr>
        <w:t>个工作日内成立基金财产清算小组，基金管理人组织基金财产清算小组并在中国证监会的监督下进行基金清算。</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、在基金财产清算小组接管基金财产之前，基金管理人和基金托管人应按照《基金合同》和托管协议的规定继续履行保护基金财产安全的职责。</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3</w:t>
      </w:r>
      <w:r>
        <w:rPr>
          <w:rFonts w:ascii="Arial Unicode MS" w:hAnsi="Arial Unicode MS" w:hint="eastAsia"/>
          <w:bCs/>
          <w:szCs w:val="21"/>
        </w:rPr>
        <w:t>、基金财产清算小组组成：基金财产清算小组成员由基金管理人、基金托管人、符合《证券法》规定的注册会计师、律师以及中国证监会指定的人员组成。基金财产清算小组可以聘用必要的工作人员。</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、基金财产清算小组职责：基金财产清算小组负责基金财产的保管、清理、估价、变现和分配。基金财产清算小组可以依法进行必要的民事活动。</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、在基金财产清算过程中，基金管理人和基金托管人应各自履行职责，继续忠实、勤勉、尽责地履行基金合同和托管协议规定的义务，维护基金份额持有人的合法权益。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、基金财产清算程序：</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）《基金合同》终止情形出现时，由基金财产清算小组统一接管基金；</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）对基金财产和债权债务进行清理和确认；</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）对基金财产进行估值和变现；</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）制作清算报告；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）聘请会计师事务所对清算报告进行外部审计，聘请律师事务所对清算报告出具法律意见书；</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）将清算报告报中国证监会备案并公告；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）对基金剩余财产进行分配。</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7</w:t>
      </w:r>
      <w:r>
        <w:rPr>
          <w:rFonts w:ascii="Arial Unicode MS" w:hAnsi="Arial Unicode MS" w:hint="eastAsia"/>
          <w:bCs/>
          <w:szCs w:val="21"/>
        </w:rPr>
        <w:t>、基金财产清算的期限为</w:t>
      </w:r>
      <w:r>
        <w:rPr>
          <w:rFonts w:ascii="Arial Unicode MS" w:hAnsi="Arial Unicode MS" w:hint="eastAsia"/>
          <w:bCs/>
          <w:szCs w:val="21"/>
        </w:rPr>
        <w:t>6</w:t>
      </w:r>
      <w:r>
        <w:rPr>
          <w:rFonts w:ascii="Arial Unicode MS" w:hAnsi="Arial Unicode MS" w:hint="eastAsia"/>
          <w:bCs/>
          <w:szCs w:val="21"/>
        </w:rPr>
        <w:t>个月，但因本基金所持证券的流动性受到限制而不能及时变现的，清算期限可相应顺延。</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（四）清算费用</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清算费用是指基金财产清算小组在进行基金清算过程中发生的所有合理费用，清算费用由基金财产清算小组优先从基金剩余财产中支付。</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（五）基金财产清算剩余资产的分配</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依据基金财产清算的分配方案，将基金财产清算后的全部剩余资产扣除基金财产清算费用、交纳所欠税款并清偿基金债务后，按基金份额持有人持有的各类基金份额比例进行分配。</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（六）基金财产清算的公告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Arial Unicode MS" w:hAnsi="Arial Unicode MS" w:hint="eastAsia"/>
          <w:bCs/>
          <w:szCs w:val="21"/>
        </w:rPr>
        <w:t>5</w:t>
      </w:r>
      <w:r>
        <w:rPr>
          <w:rFonts w:ascii="Arial Unicode MS" w:hAnsi="Arial Unicode MS" w:hint="eastAsia"/>
          <w:bCs/>
          <w:szCs w:val="21"/>
        </w:rPr>
        <w:t>个工作日内由基金财产清算小组进行公告。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（七）基金财产清算账册及文件的保存</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基金财产清算账册及有关文件由基金托管人保存</w:t>
      </w:r>
      <w:r>
        <w:rPr>
          <w:rFonts w:ascii="Arial Unicode MS" w:hAnsi="Arial Unicode MS" w:hint="eastAsia"/>
          <w:bCs/>
          <w:szCs w:val="21"/>
        </w:rPr>
        <w:t>20</w:t>
      </w:r>
      <w:r>
        <w:rPr>
          <w:rFonts w:ascii="Arial Unicode MS" w:hAnsi="Arial Unicode MS" w:hint="eastAsia"/>
          <w:bCs/>
          <w:szCs w:val="21"/>
        </w:rPr>
        <w:t>年以上，法律法规或监管规则另有规定的从其规定。</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（八）基金合并</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本基金与其他基金的合并应当按照法律法规规定的程序进行。</w:t>
      </w:r>
    </w:p>
    <w:p w:rsidR="00D5306E" w:rsidRDefault="006D76AB">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b/>
          <w:bCs/>
          <w:szCs w:val="21"/>
        </w:rPr>
        <w:t>四</w:t>
      </w:r>
      <w:r>
        <w:rPr>
          <w:rFonts w:ascii="Arial Unicode MS" w:hAnsi="Arial Unicode MS" w:hint="eastAsia"/>
          <w:b/>
          <w:bCs/>
          <w:szCs w:val="21"/>
        </w:rPr>
        <w:t>、争议的处理和适用的法律</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各方当事人同意，因《基金合同》而产生的或与《基金合同》有关的一切争议，如不愿或者不能通过协商、调解解决的，任何一方均有权将争议提交深圳国际仲裁院（深圳仲裁委员会），按照深圳国际仲裁院（深圳仲裁委员会）届时有效的仲裁规则进行仲裁。仲裁地点为深圳市。仲裁裁决是终局的，对各方当事人均有约束力。除非仲裁裁决另有规定，仲裁费用、律师费用由败诉方承担。</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争议处理期间，基金管理人、基金托管人应恪守基金管理人和基金托管人的职责，各自继续忠实、勤勉、尽责地履行基金合同和基金托管协议规定的义务，维护基金份额持有人的合法权益。</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《基金合同》受中国法律（为本基金合同之目的，在此不包括香港、澳门特别行政区和台湾地区法律）管辖。</w:t>
      </w:r>
    </w:p>
    <w:p w:rsidR="00D5306E" w:rsidRDefault="006D76AB">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b/>
          <w:bCs/>
          <w:szCs w:val="21"/>
        </w:rPr>
        <w:t>五</w:t>
      </w:r>
      <w:r>
        <w:rPr>
          <w:rFonts w:ascii="Arial Unicode MS" w:hAnsi="Arial Unicode MS" w:hint="eastAsia"/>
          <w:b/>
          <w:bCs/>
          <w:szCs w:val="21"/>
        </w:rPr>
        <w:t>、基金合同的存放地和投资者取得基金合同的方式</w:t>
      </w:r>
    </w:p>
    <w:p w:rsidR="00D5306E" w:rsidRDefault="006D76AB">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《基金合同》可印制成册，供投资者在基金管理人、基金托管人、销售机构的办公场所和营业场所查阅。</w:t>
      </w:r>
    </w:p>
    <w:p w:rsidR="00D5306E" w:rsidRDefault="00D5306E">
      <w:pPr>
        <w:autoSpaceDE w:val="0"/>
        <w:autoSpaceDN w:val="0"/>
        <w:adjustRightInd w:val="0"/>
        <w:spacing w:line="360" w:lineRule="auto"/>
        <w:ind w:firstLineChars="200" w:firstLine="420"/>
        <w:jc w:val="left"/>
        <w:rPr>
          <w:rFonts w:ascii="Arial Unicode MS" w:hAnsi="Arial Unicode MS"/>
          <w:bCs/>
          <w:szCs w:val="21"/>
        </w:rPr>
        <w:sectPr w:rsidR="00D5306E">
          <w:footerReference w:type="default" r:id="rId50"/>
          <w:footerReference w:type="first" r:id="rId51"/>
          <w:pgSz w:w="11906" w:h="16838"/>
          <w:pgMar w:top="1440" w:right="1800" w:bottom="1440" w:left="1800" w:header="851" w:footer="992" w:gutter="0"/>
          <w:pgNumType w:start="1"/>
          <w:cols w:space="720"/>
          <w:docGrid w:linePitch="312"/>
        </w:sectPr>
      </w:pPr>
    </w:p>
    <w:p w:rsidR="00D5306E" w:rsidRDefault="006D76AB">
      <w:pPr>
        <w:pStyle w:val="11"/>
        <w:snapToGrid w:val="0"/>
        <w:spacing w:before="0" w:after="0" w:line="360" w:lineRule="auto"/>
        <w:rPr>
          <w:rFonts w:ascii="Arial Unicode MS" w:eastAsia="宋体" w:hAnsi="Arial Unicode MS" w:cs="Arial"/>
          <w:b/>
          <w:bCs/>
          <w:sz w:val="28"/>
          <w:szCs w:val="28"/>
        </w:rPr>
      </w:pPr>
      <w:bookmarkStart w:id="172" w:name="_Toc214873614"/>
      <w:bookmarkStart w:id="173" w:name="_Toc317088156"/>
      <w:bookmarkStart w:id="174" w:name="_Toc47622432"/>
      <w:bookmarkStart w:id="175" w:name="_Toc47604324"/>
      <w:bookmarkStart w:id="176" w:name="_Toc335232707"/>
      <w:bookmarkStart w:id="177" w:name="_Toc320887658"/>
      <w:bookmarkStart w:id="178" w:name="_Toc429490296"/>
      <w:bookmarkStart w:id="179" w:name="_Toc317088553"/>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二十</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基金托管协议的内容摘要</w:t>
      </w:r>
      <w:bookmarkEnd w:id="172"/>
      <w:bookmarkEnd w:id="173"/>
      <w:bookmarkEnd w:id="174"/>
      <w:bookmarkEnd w:id="175"/>
      <w:bookmarkEnd w:id="176"/>
      <w:bookmarkEnd w:id="177"/>
      <w:bookmarkEnd w:id="178"/>
      <w:bookmarkEnd w:id="179"/>
    </w:p>
    <w:p w:rsidR="00D5306E" w:rsidRDefault="00D5306E">
      <w:pPr>
        <w:adjustRightInd w:val="0"/>
        <w:snapToGrid w:val="0"/>
        <w:spacing w:line="360" w:lineRule="auto"/>
        <w:ind w:firstLineChars="200" w:firstLine="422"/>
        <w:rPr>
          <w:rFonts w:ascii="Arial Unicode MS" w:hAnsi="Arial Unicode MS" w:cs="Arial"/>
          <w:b/>
          <w:szCs w:val="21"/>
        </w:rPr>
      </w:pPr>
    </w:p>
    <w:p w:rsidR="00D5306E" w:rsidRDefault="006D76AB">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一、托管协议当事人</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（一）基金管理人</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名称：博时基金管理有限公司</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住所：深圳市福田区莲花街道福新社区益田路</w:t>
      </w:r>
      <w:r>
        <w:rPr>
          <w:rFonts w:ascii="Arial Unicode MS" w:hAnsi="Arial Unicode MS" w:cs="Arial" w:hint="eastAsia"/>
          <w:kern w:val="0"/>
          <w:szCs w:val="21"/>
        </w:rPr>
        <w:t>5999</w:t>
      </w:r>
      <w:r>
        <w:rPr>
          <w:rFonts w:ascii="Arial Unicode MS" w:hAnsi="Arial Unicode MS" w:cs="Arial" w:hint="eastAsia"/>
          <w:kern w:val="0"/>
          <w:szCs w:val="21"/>
        </w:rPr>
        <w:t>号基金大厦</w:t>
      </w:r>
      <w:r>
        <w:rPr>
          <w:rFonts w:ascii="Arial Unicode MS" w:hAnsi="Arial Unicode MS" w:cs="Arial" w:hint="eastAsia"/>
          <w:kern w:val="0"/>
          <w:szCs w:val="21"/>
        </w:rPr>
        <w:t>21</w:t>
      </w:r>
      <w:r>
        <w:rPr>
          <w:rFonts w:ascii="Arial Unicode MS" w:hAnsi="Arial Unicode MS" w:cs="Arial" w:hint="eastAsia"/>
          <w:kern w:val="0"/>
          <w:szCs w:val="21"/>
        </w:rPr>
        <w:t>层</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法定代表人</w:t>
      </w:r>
      <w:r>
        <w:rPr>
          <w:rFonts w:ascii="Arial Unicode MS" w:hAnsi="Arial Unicode MS" w:cs="Arial" w:hint="eastAsia"/>
          <w:kern w:val="0"/>
          <w:szCs w:val="21"/>
        </w:rPr>
        <w:t xml:space="preserve">: </w:t>
      </w:r>
      <w:r>
        <w:rPr>
          <w:rFonts w:ascii="Arial Unicode MS" w:hAnsi="Arial Unicode MS" w:cs="Arial" w:hint="eastAsia"/>
          <w:kern w:val="0"/>
          <w:szCs w:val="21"/>
        </w:rPr>
        <w:t>江向阳</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设立日期：</w:t>
      </w:r>
      <w:r>
        <w:rPr>
          <w:rFonts w:ascii="Arial Unicode MS" w:hAnsi="Arial Unicode MS" w:cs="Arial" w:hint="eastAsia"/>
          <w:kern w:val="0"/>
          <w:szCs w:val="21"/>
        </w:rPr>
        <w:t xml:space="preserve"> 1998</w:t>
      </w:r>
      <w:r>
        <w:rPr>
          <w:rFonts w:ascii="Arial Unicode MS" w:hAnsi="Arial Unicode MS" w:cs="Arial" w:hint="eastAsia"/>
          <w:kern w:val="0"/>
          <w:szCs w:val="21"/>
        </w:rPr>
        <w:t>年</w:t>
      </w:r>
      <w:r>
        <w:rPr>
          <w:rFonts w:ascii="Arial Unicode MS" w:hAnsi="Arial Unicode MS" w:cs="Arial" w:hint="eastAsia"/>
          <w:kern w:val="0"/>
          <w:szCs w:val="21"/>
        </w:rPr>
        <w:t>7</w:t>
      </w:r>
      <w:r>
        <w:rPr>
          <w:rFonts w:ascii="Arial Unicode MS" w:hAnsi="Arial Unicode MS" w:cs="Arial" w:hint="eastAsia"/>
          <w:kern w:val="0"/>
          <w:szCs w:val="21"/>
        </w:rPr>
        <w:t>月</w:t>
      </w:r>
      <w:r>
        <w:rPr>
          <w:rFonts w:ascii="Arial Unicode MS" w:hAnsi="Arial Unicode MS" w:cs="Arial" w:hint="eastAsia"/>
          <w:kern w:val="0"/>
          <w:szCs w:val="21"/>
        </w:rPr>
        <w:t>13</w:t>
      </w:r>
      <w:r>
        <w:rPr>
          <w:rFonts w:ascii="Arial Unicode MS" w:hAnsi="Arial Unicode MS" w:cs="Arial" w:hint="eastAsia"/>
          <w:kern w:val="0"/>
          <w:szCs w:val="21"/>
        </w:rPr>
        <w:t>日</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批准设立机关及批准设立文号：中国证监会证监基字【</w:t>
      </w:r>
      <w:r>
        <w:rPr>
          <w:rFonts w:ascii="Arial Unicode MS" w:hAnsi="Arial Unicode MS" w:cs="Arial" w:hint="eastAsia"/>
          <w:kern w:val="0"/>
          <w:szCs w:val="21"/>
        </w:rPr>
        <w:t>1998</w:t>
      </w:r>
      <w:r>
        <w:rPr>
          <w:rFonts w:ascii="Arial Unicode MS" w:hAnsi="Arial Unicode MS" w:cs="Arial" w:hint="eastAsia"/>
          <w:kern w:val="0"/>
          <w:szCs w:val="21"/>
        </w:rPr>
        <w:t>】</w:t>
      </w:r>
      <w:r>
        <w:rPr>
          <w:rFonts w:ascii="Arial Unicode MS" w:hAnsi="Arial Unicode MS" w:cs="Arial" w:hint="eastAsia"/>
          <w:kern w:val="0"/>
          <w:szCs w:val="21"/>
        </w:rPr>
        <w:t>26</w:t>
      </w:r>
      <w:r>
        <w:rPr>
          <w:rFonts w:ascii="Arial Unicode MS" w:hAnsi="Arial Unicode MS" w:cs="Arial" w:hint="eastAsia"/>
          <w:kern w:val="0"/>
          <w:szCs w:val="21"/>
        </w:rPr>
        <w:t>号</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组织形式：有限责任公司</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注册资本：</w:t>
      </w:r>
      <w:r>
        <w:rPr>
          <w:rFonts w:ascii="Arial Unicode MS" w:hAnsi="Arial Unicode MS" w:cs="Arial" w:hint="eastAsia"/>
          <w:kern w:val="0"/>
          <w:szCs w:val="21"/>
        </w:rPr>
        <w:tab/>
        <w:t>2.5</w:t>
      </w:r>
      <w:r>
        <w:rPr>
          <w:rFonts w:ascii="Arial Unicode MS" w:hAnsi="Arial Unicode MS" w:cs="Arial" w:hint="eastAsia"/>
          <w:kern w:val="0"/>
          <w:szCs w:val="21"/>
        </w:rPr>
        <w:t>亿元人民币</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经营范围：</w:t>
      </w:r>
      <w:r>
        <w:rPr>
          <w:rFonts w:ascii="Arial Unicode MS" w:hAnsi="Arial Unicode MS" w:cs="Arial" w:hint="eastAsia"/>
          <w:kern w:val="0"/>
          <w:szCs w:val="21"/>
        </w:rPr>
        <w:tab/>
      </w:r>
      <w:r>
        <w:rPr>
          <w:rFonts w:ascii="Arial Unicode MS" w:hAnsi="Arial Unicode MS" w:cs="Arial" w:hint="eastAsia"/>
          <w:kern w:val="0"/>
          <w:szCs w:val="21"/>
        </w:rPr>
        <w:t>基金募集；基金销售；资产管理以及中国证监会许可的其它业务</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存续期间：</w:t>
      </w:r>
      <w:r>
        <w:rPr>
          <w:rFonts w:ascii="Arial Unicode MS" w:hAnsi="Arial Unicode MS" w:cs="Arial" w:hint="eastAsia"/>
          <w:kern w:val="0"/>
          <w:szCs w:val="21"/>
        </w:rPr>
        <w:tab/>
      </w:r>
      <w:r>
        <w:rPr>
          <w:rFonts w:ascii="Arial Unicode MS" w:hAnsi="Arial Unicode MS" w:cs="Arial" w:hint="eastAsia"/>
          <w:kern w:val="0"/>
          <w:szCs w:val="21"/>
        </w:rPr>
        <w:t>持续经营</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（二）基金托管人</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名称：平安银行股份有限公司</w:t>
      </w:r>
      <w:r>
        <w:rPr>
          <w:rFonts w:ascii="Arial Unicode MS" w:hAnsi="Arial Unicode MS" w:cs="Arial" w:hint="eastAsia"/>
          <w:kern w:val="0"/>
          <w:szCs w:val="21"/>
        </w:rPr>
        <w:t>(</w:t>
      </w:r>
      <w:r>
        <w:rPr>
          <w:rFonts w:ascii="Arial Unicode MS" w:hAnsi="Arial Unicode MS" w:cs="Arial" w:hint="eastAsia"/>
          <w:kern w:val="0"/>
          <w:szCs w:val="21"/>
        </w:rPr>
        <w:t>简称：平安银行</w:t>
      </w:r>
      <w:r>
        <w:rPr>
          <w:rFonts w:ascii="Arial Unicode MS" w:hAnsi="Arial Unicode MS" w:cs="Arial" w:hint="eastAsia"/>
          <w:kern w:val="0"/>
          <w:szCs w:val="21"/>
        </w:rPr>
        <w:t>)</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注册住所：广东省深圳市罗湖区深南东路</w:t>
      </w:r>
      <w:r>
        <w:rPr>
          <w:rFonts w:ascii="Arial Unicode MS" w:hAnsi="Arial Unicode MS" w:cs="Arial" w:hint="eastAsia"/>
          <w:kern w:val="0"/>
          <w:szCs w:val="21"/>
        </w:rPr>
        <w:t>5047</w:t>
      </w:r>
      <w:r>
        <w:rPr>
          <w:rFonts w:ascii="Arial Unicode MS" w:hAnsi="Arial Unicode MS" w:cs="Arial" w:hint="eastAsia"/>
          <w:kern w:val="0"/>
          <w:szCs w:val="21"/>
        </w:rPr>
        <w:t>号</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办公地址：广东省深圳市福田区益田路</w:t>
      </w:r>
      <w:r>
        <w:rPr>
          <w:rFonts w:ascii="Arial Unicode MS" w:hAnsi="Arial Unicode MS" w:cs="Arial" w:hint="eastAsia"/>
          <w:kern w:val="0"/>
          <w:szCs w:val="21"/>
        </w:rPr>
        <w:t>5023</w:t>
      </w:r>
      <w:r>
        <w:rPr>
          <w:rFonts w:ascii="Arial Unicode MS" w:hAnsi="Arial Unicode MS" w:cs="Arial" w:hint="eastAsia"/>
          <w:kern w:val="0"/>
          <w:szCs w:val="21"/>
        </w:rPr>
        <w:t>号</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法定代表人：谢永林</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成立日期：</w:t>
      </w:r>
      <w:r>
        <w:rPr>
          <w:rFonts w:ascii="Arial Unicode MS" w:hAnsi="Arial Unicode MS" w:cs="Arial" w:hint="eastAsia"/>
          <w:kern w:val="0"/>
          <w:szCs w:val="21"/>
        </w:rPr>
        <w:t xml:space="preserve">1987 </w:t>
      </w:r>
      <w:r>
        <w:rPr>
          <w:rFonts w:ascii="Arial Unicode MS" w:hAnsi="Arial Unicode MS" w:cs="Arial" w:hint="eastAsia"/>
          <w:kern w:val="0"/>
          <w:szCs w:val="21"/>
        </w:rPr>
        <w:t>年</w:t>
      </w:r>
      <w:r>
        <w:rPr>
          <w:rFonts w:ascii="Arial Unicode MS" w:hAnsi="Arial Unicode MS" w:cs="Arial" w:hint="eastAsia"/>
          <w:kern w:val="0"/>
          <w:szCs w:val="21"/>
        </w:rPr>
        <w:t xml:space="preserve">12 </w:t>
      </w:r>
      <w:r>
        <w:rPr>
          <w:rFonts w:ascii="Arial Unicode MS" w:hAnsi="Arial Unicode MS" w:cs="Arial" w:hint="eastAsia"/>
          <w:kern w:val="0"/>
          <w:szCs w:val="21"/>
        </w:rPr>
        <w:t>月</w:t>
      </w:r>
      <w:r>
        <w:rPr>
          <w:rFonts w:ascii="Arial Unicode MS" w:hAnsi="Arial Unicode MS" w:cs="Arial" w:hint="eastAsia"/>
          <w:kern w:val="0"/>
          <w:szCs w:val="21"/>
        </w:rPr>
        <w:t xml:space="preserve">22 </w:t>
      </w:r>
      <w:r>
        <w:rPr>
          <w:rFonts w:ascii="Arial Unicode MS" w:hAnsi="Arial Unicode MS" w:cs="Arial" w:hint="eastAsia"/>
          <w:kern w:val="0"/>
          <w:szCs w:val="21"/>
        </w:rPr>
        <w:t>日。</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组织形式：股份有限公司</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注册资本：</w:t>
      </w:r>
      <w:r>
        <w:rPr>
          <w:rFonts w:ascii="Arial Unicode MS" w:hAnsi="Arial Unicode MS" w:cs="Arial" w:hint="eastAsia"/>
          <w:kern w:val="0"/>
          <w:szCs w:val="21"/>
        </w:rPr>
        <w:t xml:space="preserve">19,405,918,198 </w:t>
      </w:r>
      <w:r>
        <w:rPr>
          <w:rFonts w:ascii="Arial Unicode MS" w:hAnsi="Arial Unicode MS" w:cs="Arial" w:hint="eastAsia"/>
          <w:kern w:val="0"/>
          <w:szCs w:val="21"/>
        </w:rPr>
        <w:t>元人民币</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存续期间：持续经营</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基金托管资格批文及文号：中国证监会证监许可</w:t>
      </w:r>
      <w:r>
        <w:rPr>
          <w:rFonts w:ascii="Arial Unicode MS" w:hAnsi="Arial Unicode MS" w:cs="Arial" w:hint="eastAsia"/>
          <w:kern w:val="0"/>
          <w:szCs w:val="21"/>
        </w:rPr>
        <w:t xml:space="preserve">[2008]1037 </w:t>
      </w:r>
      <w:r>
        <w:rPr>
          <w:rFonts w:ascii="Arial Unicode MS" w:hAnsi="Arial Unicode MS" w:cs="Arial" w:hint="eastAsia"/>
          <w:kern w:val="0"/>
          <w:szCs w:val="21"/>
        </w:rPr>
        <w:t>号</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联系人：高希泉</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联系电话：</w:t>
      </w:r>
      <w:r>
        <w:rPr>
          <w:rFonts w:ascii="Arial Unicode MS" w:hAnsi="Arial Unicode MS" w:cs="Arial" w:hint="eastAsia"/>
          <w:kern w:val="0"/>
          <w:szCs w:val="21"/>
        </w:rPr>
        <w:t>(0755) 2219 7701</w:t>
      </w:r>
    </w:p>
    <w:p w:rsidR="00D5306E" w:rsidRDefault="006D76AB">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经营范围：办理人民币存、贷、结算、汇兑业务；人民币票据承兑和贴现；各项信托业务；经监管机构批准发行或买卖人民币有价证券；外汇存款、汇款；境内境外借款；在境内境外发行或代理发行外币有价证券；贸易、非贸易结算；外币票据的承兑和贴现；外汇放款；代客买卖外汇及外币有价证券，自营外汇买卖；资信调查、咨询、见证业务；保险兼业代理</w:t>
      </w:r>
      <w:r>
        <w:rPr>
          <w:rFonts w:ascii="Arial Unicode MS" w:hAnsi="Arial Unicode MS" w:cs="Arial" w:hint="eastAsia"/>
          <w:kern w:val="0"/>
          <w:szCs w:val="21"/>
        </w:rPr>
        <w:lastRenderedPageBreak/>
        <w:t>业务；黄金进口业务；经有关监管机构批准或允许的其他业务。</w:t>
      </w:r>
      <w:r>
        <w:rPr>
          <w:rFonts w:ascii="Arial Unicode MS" w:hAnsi="Arial Unicode MS" w:cs="Arial" w:hint="eastAsia"/>
          <w:kern w:val="0"/>
          <w:szCs w:val="21"/>
        </w:rPr>
        <w:t>(</w:t>
      </w:r>
      <w:r>
        <w:rPr>
          <w:rFonts w:ascii="Arial Unicode MS" w:hAnsi="Arial Unicode MS" w:cs="Arial" w:hint="eastAsia"/>
          <w:kern w:val="0"/>
          <w:szCs w:val="21"/>
        </w:rPr>
        <w:t>《保险兼业代理业务许可证》有效期限至</w:t>
      </w:r>
      <w:r>
        <w:rPr>
          <w:rFonts w:ascii="Arial Unicode MS" w:hAnsi="Arial Unicode MS" w:cs="Arial" w:hint="eastAsia"/>
          <w:kern w:val="0"/>
          <w:szCs w:val="21"/>
        </w:rPr>
        <w:t>2015</w:t>
      </w:r>
      <w:r>
        <w:rPr>
          <w:rFonts w:ascii="Arial Unicode MS" w:hAnsi="Arial Unicode MS" w:cs="Arial" w:hint="eastAsia"/>
          <w:kern w:val="0"/>
          <w:szCs w:val="21"/>
        </w:rPr>
        <w:t>年</w:t>
      </w:r>
      <w:r>
        <w:rPr>
          <w:rFonts w:ascii="Arial Unicode MS" w:hAnsi="Arial Unicode MS" w:cs="Arial" w:hint="eastAsia"/>
          <w:kern w:val="0"/>
          <w:szCs w:val="21"/>
        </w:rPr>
        <w:t>5</w:t>
      </w:r>
      <w:r>
        <w:rPr>
          <w:rFonts w:ascii="Arial Unicode MS" w:hAnsi="Arial Unicode MS" w:cs="Arial" w:hint="eastAsia"/>
          <w:kern w:val="0"/>
          <w:szCs w:val="21"/>
        </w:rPr>
        <w:t>月</w:t>
      </w:r>
      <w:r>
        <w:rPr>
          <w:rFonts w:ascii="Arial Unicode MS" w:hAnsi="Arial Unicode MS" w:cs="Arial" w:hint="eastAsia"/>
          <w:kern w:val="0"/>
          <w:szCs w:val="21"/>
        </w:rPr>
        <w:t>1</w:t>
      </w:r>
      <w:r>
        <w:rPr>
          <w:rFonts w:ascii="Arial Unicode MS" w:hAnsi="Arial Unicode MS" w:cs="Arial" w:hint="eastAsia"/>
          <w:kern w:val="0"/>
          <w:szCs w:val="21"/>
        </w:rPr>
        <w:t>日</w:t>
      </w:r>
      <w:r>
        <w:rPr>
          <w:rFonts w:ascii="Arial Unicode MS" w:hAnsi="Arial Unicode MS" w:cs="Arial" w:hint="eastAsia"/>
          <w:kern w:val="0"/>
          <w:szCs w:val="21"/>
        </w:rPr>
        <w:t>)</w:t>
      </w:r>
      <w:r>
        <w:rPr>
          <w:rFonts w:ascii="Arial Unicode MS" w:hAnsi="Arial Unicode MS" w:cs="Arial" w:hint="eastAsia"/>
          <w:kern w:val="0"/>
          <w:szCs w:val="21"/>
        </w:rPr>
        <w:t>。</w:t>
      </w:r>
    </w:p>
    <w:p w:rsidR="00D5306E" w:rsidRDefault="006D76AB">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w:t>
      </w:r>
      <w:r>
        <w:rPr>
          <w:rFonts w:ascii="Arial Unicode MS" w:hAnsi="Arial Unicode MS" w:cs="Arial" w:hint="eastAsia"/>
          <w:b/>
          <w:szCs w:val="21"/>
        </w:rPr>
        <w:t>基金托管人对基金管理人的业务监督和核查</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本基金的投资范围主要为具有良好流动性的金融工具，包括依法发行上市的股票（包括中小板、创业板及其他经中国证监会核准或注册上市的股票、存托凭证</w:t>
      </w:r>
      <w:r>
        <w:rPr>
          <w:rFonts w:ascii="Arial Unicode MS" w:hAnsi="Arial Unicode MS"/>
          <w:bCs/>
        </w:rPr>
        <w:t>）、</w:t>
      </w:r>
      <w:r>
        <w:rPr>
          <w:rFonts w:ascii="Arial Unicode MS" w:hAnsi="Arial Unicode MS" w:hint="eastAsia"/>
          <w:bCs/>
        </w:rPr>
        <w:t>港股通机制下允许投资的香港联合交易所上市的股票（以下简称“港股通标的股票”）、债券（包括国债、金融债、企业债、公司债、地方政府债、政府支持机构债券、可转换债券（含分离交易可转债的纯债部分）、可交换债、央行票据、中期票据、短期融资券、超短期融资券、次级债等）、资产支持证券、债券回购、银行存款、同业存单、货币市场工具、股指期货、股票期权、国债期货、信用衍生品及法律法规或中国证监会允许基金投资的其他金融工具（但须符合中国证监会相关规定）。</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本基金可根据相关法律法规和基金合同的约定参与融资业务。</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如法律法规或中国证监会以后允许基金投资其他品种，本基金管理人在履行适当程序后，可以将其纳入本基金的投资范围。</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本基金的投资组合比例为：本基金的股票资产（含存托凭证）占基金资产的</w:t>
      </w:r>
      <w:r>
        <w:rPr>
          <w:rFonts w:ascii="Arial Unicode MS" w:hAnsi="Arial Unicode MS" w:hint="eastAsia"/>
          <w:bCs/>
        </w:rPr>
        <w:t>0%-95%</w:t>
      </w:r>
      <w:r>
        <w:rPr>
          <w:rFonts w:ascii="Arial Unicode MS" w:hAnsi="Arial Unicode MS" w:hint="eastAsia"/>
          <w:bCs/>
        </w:rPr>
        <w:t>，港股通标的股票的投资比例为股票资产的</w:t>
      </w:r>
      <w:r>
        <w:rPr>
          <w:rFonts w:ascii="Arial Unicode MS" w:hAnsi="Arial Unicode MS" w:hint="eastAsia"/>
          <w:bCs/>
        </w:rPr>
        <w:t>0%-50%</w:t>
      </w:r>
      <w:r>
        <w:rPr>
          <w:rFonts w:ascii="Arial Unicode MS" w:hAnsi="Arial Unicode MS" w:hint="eastAsia"/>
          <w:bCs/>
        </w:rPr>
        <w:t>；投资于同业存单的比例不超过基金资产的</w:t>
      </w:r>
      <w:r>
        <w:rPr>
          <w:rFonts w:ascii="Arial Unicode MS" w:hAnsi="Arial Unicode MS" w:hint="eastAsia"/>
          <w:bCs/>
        </w:rPr>
        <w:t>20%</w:t>
      </w:r>
      <w:r>
        <w:rPr>
          <w:rFonts w:ascii="Arial Unicode MS" w:hAnsi="Arial Unicode MS" w:hint="eastAsia"/>
          <w:bCs/>
        </w:rPr>
        <w:t>；每个交易日日终在扣除股指期货合约、股票期权合约、国债期货合约所需缴纳的交易保证金后，现金或到期日在一年以内的政府债券不低于基金资产净值的</w:t>
      </w:r>
      <w:r>
        <w:rPr>
          <w:rFonts w:ascii="Arial Unicode MS" w:hAnsi="Arial Unicode MS" w:hint="eastAsia"/>
          <w:bCs/>
        </w:rPr>
        <w:t>5%</w:t>
      </w:r>
      <w:r>
        <w:rPr>
          <w:rFonts w:ascii="Arial Unicode MS" w:hAnsi="Arial Unicode MS" w:hint="eastAsia"/>
          <w:bCs/>
        </w:rPr>
        <w:t>。前述现金不包括结算备付金、存出保证金、应收申购款等。</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若法律法规的相关规定发生变更或监管机构允许，本基金管理人在履行适当程序后，可对上述资产配置比例进行调整。</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（二）基金托管人根据有关法律法规的规定及基金合同的约定，对基金投资、融资、融券比例进行监督。基金托管人按下述比例和调整期限进行监督：</w:t>
      </w:r>
      <w:r>
        <w:rPr>
          <w:rFonts w:ascii="Arial Unicode MS" w:hAnsi="Arial Unicode MS" w:hint="eastAsia"/>
          <w:bCs/>
        </w:rPr>
        <w:t xml:space="preserve"> </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w:t>
      </w:r>
      <w:r>
        <w:rPr>
          <w:rFonts w:ascii="Arial Unicode MS" w:hAnsi="Arial Unicode MS" w:hint="eastAsia"/>
          <w:bCs/>
        </w:rPr>
        <w:t>）股票资产（含存托凭证）占基金资产的比例为</w:t>
      </w:r>
      <w:r>
        <w:rPr>
          <w:rFonts w:ascii="Arial Unicode MS" w:hAnsi="Arial Unicode MS" w:hint="eastAsia"/>
          <w:bCs/>
        </w:rPr>
        <w:t>0%</w:t>
      </w:r>
      <w:r>
        <w:rPr>
          <w:rFonts w:ascii="Arial Unicode MS" w:hAnsi="Arial Unicode MS" w:hint="eastAsia"/>
          <w:bCs/>
        </w:rPr>
        <w:t>—</w:t>
      </w:r>
      <w:r>
        <w:rPr>
          <w:rFonts w:ascii="Arial Unicode MS" w:hAnsi="Arial Unicode MS" w:hint="eastAsia"/>
          <w:bCs/>
        </w:rPr>
        <w:t>95%</w:t>
      </w:r>
      <w:r>
        <w:rPr>
          <w:rFonts w:ascii="Arial Unicode MS" w:hAnsi="Arial Unicode MS" w:hint="eastAsia"/>
          <w:bCs/>
        </w:rPr>
        <w:t>，港股通标的股票的投资比例为股票资产的</w:t>
      </w:r>
      <w:r>
        <w:rPr>
          <w:rFonts w:ascii="Arial Unicode MS" w:hAnsi="Arial Unicode MS" w:hint="eastAsia"/>
          <w:bCs/>
        </w:rPr>
        <w:t>0%-50%</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w:t>
      </w:r>
      <w:r>
        <w:rPr>
          <w:rFonts w:ascii="Arial Unicode MS" w:hAnsi="Arial Unicode MS" w:hint="eastAsia"/>
          <w:bCs/>
        </w:rPr>
        <w:t>）每个交易日日终在扣除股指期货合约、股票期权合约、国债期货合约所需缴纳的交易保证金后，现金或到期日在一年以内的政府债券不低于基金资产净值的</w:t>
      </w:r>
      <w:r>
        <w:rPr>
          <w:rFonts w:ascii="Arial Unicode MS" w:hAnsi="Arial Unicode MS" w:hint="eastAsia"/>
          <w:bCs/>
        </w:rPr>
        <w:t>5%</w:t>
      </w:r>
      <w:r>
        <w:rPr>
          <w:rFonts w:ascii="Arial Unicode MS" w:hAnsi="Arial Unicode MS" w:hint="eastAsia"/>
          <w:bCs/>
        </w:rPr>
        <w:t>。前述现金</w:t>
      </w:r>
      <w:r>
        <w:rPr>
          <w:rFonts w:ascii="Arial Unicode MS" w:hAnsi="Arial Unicode MS" w:hint="eastAsia"/>
          <w:bCs/>
        </w:rPr>
        <w:lastRenderedPageBreak/>
        <w:t>不包括结算备付金、存出保证金、应收申购款等；</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3</w:t>
      </w:r>
      <w:r>
        <w:rPr>
          <w:rFonts w:ascii="Arial Unicode MS" w:hAnsi="Arial Unicode MS" w:hint="eastAsia"/>
          <w:bCs/>
        </w:rPr>
        <w:t>）本基金投资于同业存单的比例不超过基金资产的</w:t>
      </w:r>
      <w:r>
        <w:rPr>
          <w:rFonts w:ascii="Arial Unicode MS" w:hAnsi="Arial Unicode MS" w:hint="eastAsia"/>
          <w:bCs/>
        </w:rPr>
        <w:t>20%</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4</w:t>
      </w:r>
      <w:r>
        <w:rPr>
          <w:rFonts w:ascii="Arial Unicode MS" w:hAnsi="Arial Unicode MS" w:hint="eastAsia"/>
          <w:bCs/>
        </w:rPr>
        <w:t>）本基金持有一家公司发行的证券（含存托凭证），其市值（若同时持有一家公司发行的</w:t>
      </w:r>
      <w:r>
        <w:rPr>
          <w:rFonts w:ascii="Arial Unicode MS" w:hAnsi="Arial Unicode MS" w:hint="eastAsia"/>
          <w:bCs/>
        </w:rPr>
        <w:t>A</w:t>
      </w:r>
      <w:r>
        <w:rPr>
          <w:rFonts w:ascii="Arial Unicode MS" w:hAnsi="Arial Unicode MS" w:hint="eastAsia"/>
          <w:bCs/>
        </w:rPr>
        <w:t>股和</w:t>
      </w:r>
      <w:r>
        <w:rPr>
          <w:rFonts w:ascii="Arial Unicode MS" w:hAnsi="Arial Unicode MS" w:hint="eastAsia"/>
          <w:bCs/>
        </w:rPr>
        <w:t>H</w:t>
      </w:r>
      <w:r>
        <w:rPr>
          <w:rFonts w:ascii="Arial Unicode MS" w:hAnsi="Arial Unicode MS" w:hint="eastAsia"/>
          <w:bCs/>
        </w:rPr>
        <w:t>股，则为</w:t>
      </w:r>
      <w:r>
        <w:rPr>
          <w:rFonts w:ascii="Arial Unicode MS" w:hAnsi="Arial Unicode MS" w:hint="eastAsia"/>
          <w:bCs/>
        </w:rPr>
        <w:t>A</w:t>
      </w:r>
      <w:r>
        <w:rPr>
          <w:rFonts w:ascii="Arial Unicode MS" w:hAnsi="Arial Unicode MS" w:hint="eastAsia"/>
          <w:bCs/>
        </w:rPr>
        <w:t>股与</w:t>
      </w:r>
      <w:r>
        <w:rPr>
          <w:rFonts w:ascii="Arial Unicode MS" w:hAnsi="Arial Unicode MS" w:hint="eastAsia"/>
          <w:bCs/>
        </w:rPr>
        <w:t>H</w:t>
      </w:r>
      <w:r>
        <w:rPr>
          <w:rFonts w:ascii="Arial Unicode MS" w:hAnsi="Arial Unicode MS" w:hint="eastAsia"/>
          <w:bCs/>
        </w:rPr>
        <w:t>股合计市值）不超过基金资产净值的</w:t>
      </w:r>
      <w:r>
        <w:rPr>
          <w:rFonts w:ascii="Arial Unicode MS" w:hAnsi="Arial Unicode MS" w:hint="eastAsia"/>
          <w:bCs/>
        </w:rPr>
        <w:t>10</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5</w:t>
      </w:r>
      <w:r>
        <w:rPr>
          <w:rFonts w:ascii="Arial Unicode MS" w:hAnsi="Arial Unicode MS" w:hint="eastAsia"/>
          <w:bCs/>
        </w:rPr>
        <w:t>）本基金管理人管理的全部基金持有一家公司发行的证券（含存托凭证），不超过该证券（若同时持有一家公司发行的</w:t>
      </w:r>
      <w:r>
        <w:rPr>
          <w:rFonts w:ascii="Arial Unicode MS" w:hAnsi="Arial Unicode MS" w:hint="eastAsia"/>
          <w:bCs/>
        </w:rPr>
        <w:t>A</w:t>
      </w:r>
      <w:r>
        <w:rPr>
          <w:rFonts w:ascii="Arial Unicode MS" w:hAnsi="Arial Unicode MS" w:hint="eastAsia"/>
          <w:bCs/>
        </w:rPr>
        <w:t>股和</w:t>
      </w:r>
      <w:r>
        <w:rPr>
          <w:rFonts w:ascii="Arial Unicode MS" w:hAnsi="Arial Unicode MS" w:hint="eastAsia"/>
          <w:bCs/>
        </w:rPr>
        <w:t>H</w:t>
      </w:r>
      <w:r>
        <w:rPr>
          <w:rFonts w:ascii="Arial Unicode MS" w:hAnsi="Arial Unicode MS" w:hint="eastAsia"/>
          <w:bCs/>
        </w:rPr>
        <w:t>股，则为</w:t>
      </w:r>
      <w:r>
        <w:rPr>
          <w:rFonts w:ascii="Arial Unicode MS" w:hAnsi="Arial Unicode MS" w:hint="eastAsia"/>
          <w:bCs/>
        </w:rPr>
        <w:t>A</w:t>
      </w:r>
      <w:r>
        <w:rPr>
          <w:rFonts w:ascii="Arial Unicode MS" w:hAnsi="Arial Unicode MS" w:hint="eastAsia"/>
          <w:bCs/>
        </w:rPr>
        <w:t>股与</w:t>
      </w:r>
      <w:r>
        <w:rPr>
          <w:rFonts w:ascii="Arial Unicode MS" w:hAnsi="Arial Unicode MS" w:hint="eastAsia"/>
          <w:bCs/>
        </w:rPr>
        <w:t>H</w:t>
      </w:r>
      <w:r>
        <w:rPr>
          <w:rFonts w:ascii="Arial Unicode MS" w:hAnsi="Arial Unicode MS" w:hint="eastAsia"/>
          <w:bCs/>
        </w:rPr>
        <w:t>股合计）的</w:t>
      </w:r>
      <w:r>
        <w:rPr>
          <w:rFonts w:ascii="Arial Unicode MS" w:hAnsi="Arial Unicode MS" w:hint="eastAsia"/>
          <w:bCs/>
        </w:rPr>
        <w:t>10</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6</w:t>
      </w:r>
      <w:r>
        <w:rPr>
          <w:rFonts w:ascii="Arial Unicode MS" w:hAnsi="Arial Unicode MS" w:hint="eastAsia"/>
          <w:bCs/>
        </w:rPr>
        <w:t>）本基金投资于同一原始权益人的各类资产支持证券的比例，不得超过基金资产净值的</w:t>
      </w:r>
      <w:r>
        <w:rPr>
          <w:rFonts w:ascii="Arial Unicode MS" w:hAnsi="Arial Unicode MS" w:hint="eastAsia"/>
          <w:bCs/>
        </w:rPr>
        <w:t>10</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7</w:t>
      </w:r>
      <w:r>
        <w:rPr>
          <w:rFonts w:ascii="Arial Unicode MS" w:hAnsi="Arial Unicode MS" w:hint="eastAsia"/>
          <w:bCs/>
        </w:rPr>
        <w:t>）本基金持有的全部资产支持证券，其市值不得超过基金资产净值的</w:t>
      </w:r>
      <w:r>
        <w:rPr>
          <w:rFonts w:ascii="Arial Unicode MS" w:hAnsi="Arial Unicode MS" w:hint="eastAsia"/>
          <w:bCs/>
        </w:rPr>
        <w:t>20</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8</w:t>
      </w:r>
      <w:r>
        <w:rPr>
          <w:rFonts w:ascii="Arial Unicode MS" w:hAnsi="Arial Unicode MS" w:hint="eastAsia"/>
          <w:bCs/>
        </w:rPr>
        <w:t>）本基金持有的同一</w:t>
      </w:r>
      <w:r>
        <w:rPr>
          <w:rFonts w:ascii="Arial Unicode MS" w:hAnsi="Arial Unicode MS" w:hint="eastAsia"/>
          <w:bCs/>
        </w:rPr>
        <w:t>(</w:t>
      </w:r>
      <w:r>
        <w:rPr>
          <w:rFonts w:ascii="Arial Unicode MS" w:hAnsi="Arial Unicode MS" w:hint="eastAsia"/>
          <w:bCs/>
        </w:rPr>
        <w:t>指同一信用级别</w:t>
      </w:r>
      <w:r>
        <w:rPr>
          <w:rFonts w:ascii="Arial Unicode MS" w:hAnsi="Arial Unicode MS" w:hint="eastAsia"/>
          <w:bCs/>
        </w:rPr>
        <w:t>)</w:t>
      </w:r>
      <w:r>
        <w:rPr>
          <w:rFonts w:ascii="Arial Unicode MS" w:hAnsi="Arial Unicode MS" w:hint="eastAsia"/>
          <w:bCs/>
        </w:rPr>
        <w:t>资产支持证券的比例，不得超过该资产支持证券规模的</w:t>
      </w:r>
      <w:r>
        <w:rPr>
          <w:rFonts w:ascii="Arial Unicode MS" w:hAnsi="Arial Unicode MS" w:hint="eastAsia"/>
          <w:bCs/>
        </w:rPr>
        <w:t>10</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9</w:t>
      </w:r>
      <w:r>
        <w:rPr>
          <w:rFonts w:ascii="Arial Unicode MS" w:hAnsi="Arial Unicode MS" w:hint="eastAsia"/>
          <w:bCs/>
        </w:rPr>
        <w:t>）本基金管理人管理的全部基金投资于同一原始权益人的各类资产支持证券，不得超过其各类资产支持证券合计规模的</w:t>
      </w:r>
      <w:r>
        <w:rPr>
          <w:rFonts w:ascii="Arial Unicode MS" w:hAnsi="Arial Unicode MS" w:hint="eastAsia"/>
          <w:bCs/>
        </w:rPr>
        <w:t>10</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10</w:t>
      </w:r>
      <w:r>
        <w:rPr>
          <w:rFonts w:ascii="Arial Unicode MS" w:hAnsi="Arial Unicode MS" w:hint="eastAsia"/>
          <w:bCs/>
        </w:rPr>
        <w:t>）本基金应投资于信用级别评级为</w:t>
      </w:r>
      <w:r>
        <w:rPr>
          <w:rFonts w:ascii="Arial Unicode MS" w:hAnsi="Arial Unicode MS" w:hint="eastAsia"/>
          <w:bCs/>
        </w:rPr>
        <w:t>BBB</w:t>
      </w:r>
      <w:r>
        <w:rPr>
          <w:rFonts w:ascii="Arial Unicode MS" w:hAnsi="Arial Unicode MS" w:hint="eastAsia"/>
          <w:bCs/>
        </w:rPr>
        <w:t>以上</w:t>
      </w:r>
      <w:r>
        <w:rPr>
          <w:rFonts w:ascii="Arial Unicode MS" w:hAnsi="Arial Unicode MS" w:hint="eastAsia"/>
          <w:bCs/>
        </w:rPr>
        <w:t>(</w:t>
      </w:r>
      <w:r>
        <w:rPr>
          <w:rFonts w:ascii="Arial Unicode MS" w:hAnsi="Arial Unicode MS" w:hint="eastAsia"/>
          <w:bCs/>
        </w:rPr>
        <w:t>含</w:t>
      </w:r>
      <w:r>
        <w:rPr>
          <w:rFonts w:ascii="Arial Unicode MS" w:hAnsi="Arial Unicode MS" w:hint="eastAsia"/>
          <w:bCs/>
        </w:rPr>
        <w:t>BBB)</w:t>
      </w:r>
      <w:r>
        <w:rPr>
          <w:rFonts w:ascii="Arial Unicode MS" w:hAnsi="Arial Unicode MS" w:hint="eastAsia"/>
          <w:bCs/>
        </w:rPr>
        <w:t>的资产支持证券。基金持有资产支持证券期间，如果其信用等级下降、不再符合投资标准，应在评级报告发布之日起</w:t>
      </w:r>
      <w:r>
        <w:rPr>
          <w:rFonts w:ascii="Arial Unicode MS" w:hAnsi="Arial Unicode MS" w:hint="eastAsia"/>
          <w:bCs/>
        </w:rPr>
        <w:t>3</w:t>
      </w:r>
      <w:r>
        <w:rPr>
          <w:rFonts w:ascii="Arial Unicode MS" w:hAnsi="Arial Unicode MS" w:hint="eastAsia"/>
          <w:bCs/>
        </w:rPr>
        <w:t>个月内予以全部卖出；</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11</w:t>
      </w:r>
      <w:r>
        <w:rPr>
          <w:rFonts w:ascii="Arial Unicode MS" w:hAnsi="Arial Unicode MS" w:hint="eastAsia"/>
          <w:bCs/>
        </w:rPr>
        <w:t>）基金财产参与股票发行申购，本基金所申报的金额不超过本基金的总资产，本基金所申报的股票数量不超过拟发行股票公司本次发行股票的总量；</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12</w:t>
      </w:r>
      <w:r>
        <w:rPr>
          <w:rFonts w:ascii="Arial Unicode MS" w:hAnsi="Arial Unicode MS" w:hint="eastAsia"/>
          <w:bCs/>
        </w:rPr>
        <w:t>）本基金进入全国银行间同业市场进行债券回购的资金余额不得超过基金资产净值的</w:t>
      </w:r>
      <w:r>
        <w:rPr>
          <w:rFonts w:ascii="Arial Unicode MS" w:hAnsi="Arial Unicode MS" w:hint="eastAsia"/>
          <w:bCs/>
        </w:rPr>
        <w:t>40%</w:t>
      </w:r>
      <w:r>
        <w:rPr>
          <w:rFonts w:ascii="Arial Unicode MS" w:hAnsi="Arial Unicode MS" w:hint="eastAsia"/>
          <w:bCs/>
        </w:rPr>
        <w:t>，进入全国银行间同业市场进行债券回购的最长期限为</w:t>
      </w:r>
      <w:r>
        <w:rPr>
          <w:rFonts w:ascii="Arial Unicode MS" w:hAnsi="Arial Unicode MS" w:hint="eastAsia"/>
          <w:bCs/>
        </w:rPr>
        <w:t>1</w:t>
      </w:r>
      <w:r>
        <w:rPr>
          <w:rFonts w:ascii="Arial Unicode MS" w:hAnsi="Arial Unicode MS" w:hint="eastAsia"/>
          <w:bCs/>
        </w:rPr>
        <w:t>年，债券回购到期后不得展期；</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13</w:t>
      </w:r>
      <w:r>
        <w:rPr>
          <w:rFonts w:ascii="Arial Unicode MS" w:hAnsi="Arial Unicode MS" w:hint="eastAsia"/>
          <w:bCs/>
        </w:rPr>
        <w:t>）本基金参与股指期货、国债期货投资的，应遵循下列限制：</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1</w:t>
      </w:r>
      <w:r>
        <w:rPr>
          <w:rFonts w:ascii="Arial Unicode MS" w:hAnsi="Arial Unicode MS" w:hint="eastAsia"/>
          <w:bCs/>
        </w:rPr>
        <w:t>）本基金在任何交易日日终，持有的买入股指期货合约价值，不得超过基金资产净值的</w:t>
      </w:r>
      <w:r>
        <w:rPr>
          <w:rFonts w:ascii="Arial Unicode MS" w:hAnsi="Arial Unicode MS" w:hint="eastAsia"/>
          <w:bCs/>
        </w:rPr>
        <w:t>10%</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2</w:t>
      </w:r>
      <w:r>
        <w:rPr>
          <w:rFonts w:ascii="Arial Unicode MS" w:hAnsi="Arial Unicode MS" w:hint="eastAsia"/>
          <w:bCs/>
        </w:rPr>
        <w:t>）每个交易日日终，本基金持有的买入股指期货和国债期货合约价值和有价证券市值之和，不得超过基金资产净值的</w:t>
      </w:r>
      <w:r>
        <w:rPr>
          <w:rFonts w:ascii="Arial Unicode MS" w:hAnsi="Arial Unicode MS" w:hint="eastAsia"/>
          <w:bCs/>
        </w:rPr>
        <w:t>95%</w:t>
      </w:r>
      <w:r>
        <w:rPr>
          <w:rFonts w:ascii="Arial Unicode MS" w:hAnsi="Arial Unicode MS" w:hint="eastAsia"/>
          <w:bCs/>
        </w:rPr>
        <w:t>；其中，有价证券指股票、债券（不含到期日在一年</w:t>
      </w:r>
      <w:r>
        <w:rPr>
          <w:rFonts w:ascii="Arial Unicode MS" w:hAnsi="Arial Unicode MS" w:hint="eastAsia"/>
          <w:bCs/>
        </w:rPr>
        <w:lastRenderedPageBreak/>
        <w:t>以内的政府债券）、资产支持证券、买入返售金融资产（不含质押式回购）等；</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3</w:t>
      </w:r>
      <w:r>
        <w:rPr>
          <w:rFonts w:ascii="Arial Unicode MS" w:hAnsi="Arial Unicode MS" w:hint="eastAsia"/>
          <w:bCs/>
        </w:rPr>
        <w:t>）本基金在任何交易日日终，持有的卖出股指期货合约价值不得超过基金持有的股票总市值的</w:t>
      </w:r>
      <w:r>
        <w:rPr>
          <w:rFonts w:ascii="Arial Unicode MS" w:hAnsi="Arial Unicode MS" w:hint="eastAsia"/>
          <w:bCs/>
        </w:rPr>
        <w:t>20%</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4</w:t>
      </w:r>
      <w:r>
        <w:rPr>
          <w:rFonts w:ascii="Arial Unicode MS" w:hAnsi="Arial Unicode MS" w:hint="eastAsia"/>
          <w:bCs/>
        </w:rPr>
        <w:t>）本基金在任何交易日内交易（不包括平仓）的股指期货合约的成交金额不得超过上一交易日基金资产净值的</w:t>
      </w:r>
      <w:r>
        <w:rPr>
          <w:rFonts w:ascii="Arial Unicode MS" w:hAnsi="Arial Unicode MS" w:hint="eastAsia"/>
          <w:bCs/>
        </w:rPr>
        <w:t>20%</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5</w:t>
      </w:r>
      <w:r>
        <w:rPr>
          <w:rFonts w:ascii="Arial Unicode MS" w:hAnsi="Arial Unicode MS" w:hint="eastAsia"/>
          <w:bCs/>
        </w:rPr>
        <w:t>）本基金所持有的股票市值和买入、卖出股指期货合约价值，合计（轧差计算）应当符合基金合同关于股票投资比例的有关规定；</w:t>
      </w:r>
      <w:r>
        <w:rPr>
          <w:rFonts w:ascii="Arial Unicode MS" w:hAnsi="Arial Unicode MS" w:hint="eastAsia"/>
          <w:bCs/>
        </w:rPr>
        <w:t xml:space="preserve"> </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6</w:t>
      </w:r>
      <w:r>
        <w:rPr>
          <w:rFonts w:ascii="Arial Unicode MS" w:hAnsi="Arial Unicode MS" w:hint="eastAsia"/>
          <w:bCs/>
        </w:rPr>
        <w:t>）本基金在任何交易日日终，持有的买入国债期货合约价值，不得超过基金资产净值的</w:t>
      </w:r>
      <w:r>
        <w:rPr>
          <w:rFonts w:ascii="Arial Unicode MS" w:hAnsi="Arial Unicode MS" w:hint="eastAsia"/>
          <w:bCs/>
        </w:rPr>
        <w:t>15%</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7</w:t>
      </w:r>
      <w:r>
        <w:rPr>
          <w:rFonts w:ascii="Arial Unicode MS" w:hAnsi="Arial Unicode MS" w:hint="eastAsia"/>
          <w:bCs/>
        </w:rPr>
        <w:t>）本基金在任何交易日日终，持有的卖出国债期货合约价值不得超过基金持有的债券总市值的</w:t>
      </w:r>
      <w:r>
        <w:rPr>
          <w:rFonts w:ascii="Arial Unicode MS" w:hAnsi="Arial Unicode MS" w:hint="eastAsia"/>
          <w:bCs/>
        </w:rPr>
        <w:t>30%</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8</w:t>
      </w:r>
      <w:r>
        <w:rPr>
          <w:rFonts w:ascii="Arial Unicode MS" w:hAnsi="Arial Unicode MS" w:hint="eastAsia"/>
          <w:bCs/>
        </w:rPr>
        <w:t>）本基金在任何交易日内交易（不包括平仓）的国债期货合约的成交金额不得超过上一交易日基金资产净值的</w:t>
      </w:r>
      <w:r>
        <w:rPr>
          <w:rFonts w:ascii="Arial Unicode MS" w:hAnsi="Arial Unicode MS" w:hint="eastAsia"/>
          <w:bCs/>
        </w:rPr>
        <w:t>30%</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9</w:t>
      </w:r>
      <w:r>
        <w:rPr>
          <w:rFonts w:ascii="Arial Unicode MS" w:hAnsi="Arial Unicode MS" w:hint="eastAsia"/>
          <w:bCs/>
        </w:rPr>
        <w:t>）本基金所持有的债券（不含到期日在一年以内的政府债券）市值和买入、卖出国债期货合约价值，合计（轧差计算）应当符合基金合同关于债券投资比例的有关约定；</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14</w:t>
      </w:r>
      <w:r>
        <w:rPr>
          <w:rFonts w:ascii="Arial Unicode MS" w:hAnsi="Arial Unicode MS" w:hint="eastAsia"/>
          <w:bCs/>
        </w:rPr>
        <w:t>）本基金参与股票期权交易的，需遵守下列规定：</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1</w:t>
      </w:r>
      <w:r>
        <w:rPr>
          <w:rFonts w:ascii="Arial Unicode MS" w:hAnsi="Arial Unicode MS" w:hint="eastAsia"/>
          <w:bCs/>
        </w:rPr>
        <w:t>）因未平仓的股票期权合约支付和收取的权利金总额不得超过基金资产净值的</w:t>
      </w:r>
      <w:r>
        <w:rPr>
          <w:rFonts w:ascii="Arial Unicode MS" w:hAnsi="Arial Unicode MS" w:hint="eastAsia"/>
          <w:bCs/>
        </w:rPr>
        <w:t>10%</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2</w:t>
      </w:r>
      <w:r>
        <w:rPr>
          <w:rFonts w:ascii="Arial Unicode MS" w:hAnsi="Arial Unicode MS" w:hint="eastAsia"/>
          <w:bCs/>
        </w:rPr>
        <w:t>）开仓卖出认购股票期权的，应持有足额标的证券；开仓卖出认沽股票期权的，应持有合约行权所需的全额现金或交易所规则认可的可冲抵股票期权保证金的现金等价物；</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3</w:t>
      </w:r>
      <w:r>
        <w:rPr>
          <w:rFonts w:ascii="Arial Unicode MS" w:hAnsi="Arial Unicode MS" w:hint="eastAsia"/>
          <w:bCs/>
        </w:rPr>
        <w:t>）未平仓的股票期权合约面值不得超过基金资产净值的</w:t>
      </w:r>
      <w:r>
        <w:rPr>
          <w:rFonts w:ascii="Arial Unicode MS" w:hAnsi="Arial Unicode MS" w:hint="eastAsia"/>
          <w:bCs/>
        </w:rPr>
        <w:t xml:space="preserve"> 20%</w:t>
      </w:r>
      <w:r>
        <w:rPr>
          <w:rFonts w:ascii="Arial Unicode MS" w:hAnsi="Arial Unicode MS" w:hint="eastAsia"/>
          <w:bCs/>
        </w:rPr>
        <w:t>。其中，合约面值按照行权价乘以合约乘数计算；</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15</w:t>
      </w:r>
      <w:r>
        <w:rPr>
          <w:rFonts w:ascii="Arial Unicode MS" w:hAnsi="Arial Unicode MS" w:hint="eastAsia"/>
          <w:bCs/>
        </w:rPr>
        <w:t>）本基金资产总值不得超过基金资产净值的</w:t>
      </w:r>
      <w:r>
        <w:rPr>
          <w:rFonts w:ascii="Arial Unicode MS" w:hAnsi="Arial Unicode MS" w:hint="eastAsia"/>
          <w:bCs/>
        </w:rPr>
        <w:t>140%</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16</w:t>
      </w:r>
      <w:r>
        <w:rPr>
          <w:rFonts w:ascii="Arial Unicode MS" w:hAnsi="Arial Unicode MS" w:hint="eastAsia"/>
          <w:bCs/>
        </w:rPr>
        <w:t>）本基金管理人管理的全部开放式基金持有一家上市公司发行的可流通股票，不得超过该上市公司可流通股票的</w:t>
      </w:r>
      <w:r>
        <w:rPr>
          <w:rFonts w:ascii="Arial Unicode MS" w:hAnsi="Arial Unicode MS" w:hint="eastAsia"/>
          <w:bCs/>
        </w:rPr>
        <w:t>15%</w:t>
      </w:r>
      <w:r>
        <w:rPr>
          <w:rFonts w:ascii="Arial Unicode MS" w:hAnsi="Arial Unicode MS" w:hint="eastAsia"/>
          <w:bCs/>
        </w:rPr>
        <w:t>；本基金管理人管理的全部投资组合持有一家上市公司发行的可流通股票，不得超过该上市公司可流通股票的</w:t>
      </w:r>
      <w:r>
        <w:rPr>
          <w:rFonts w:ascii="Arial Unicode MS" w:hAnsi="Arial Unicode MS" w:hint="eastAsia"/>
          <w:bCs/>
        </w:rPr>
        <w:t>30%</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17</w:t>
      </w:r>
      <w:r>
        <w:rPr>
          <w:rFonts w:ascii="Arial Unicode MS" w:hAnsi="Arial Unicode MS" w:hint="eastAsia"/>
          <w:bCs/>
        </w:rPr>
        <w:t>）本基金主动投资于流动性受限资产的市值合计不得超过该基金资产净值的</w:t>
      </w:r>
      <w:r>
        <w:rPr>
          <w:rFonts w:ascii="Arial Unicode MS" w:hAnsi="Arial Unicode MS" w:hint="eastAsia"/>
          <w:bCs/>
        </w:rPr>
        <w:t>15%</w:t>
      </w:r>
      <w:r>
        <w:rPr>
          <w:rFonts w:ascii="Arial Unicode MS" w:hAnsi="Arial Unicode MS" w:hint="eastAsia"/>
          <w:bCs/>
        </w:rPr>
        <w:t>；因证券市场波动、上市公司股票停牌、基金规模变动等基金管理人之外的因素致使基金不符</w:t>
      </w:r>
      <w:r>
        <w:rPr>
          <w:rFonts w:ascii="Arial Unicode MS" w:hAnsi="Arial Unicode MS" w:hint="eastAsia"/>
          <w:bCs/>
        </w:rPr>
        <w:lastRenderedPageBreak/>
        <w:t>合该比例限制的，基金管理人不得主动新增流动性受限资产的投资；</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18</w:t>
      </w:r>
      <w:r>
        <w:rPr>
          <w:rFonts w:ascii="Arial Unicode MS" w:hAnsi="Arial Unicode MS" w:hint="eastAsia"/>
          <w:bCs/>
        </w:rPr>
        <w:t>）本基金与私募类证券资管产品及中国证监会认定的其他主体为交易对手开展逆回购交易的，可接受质押品的资质要求应当与基金合同约定的投资范围保持一致；</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19</w:t>
      </w:r>
      <w:r>
        <w:rPr>
          <w:rFonts w:ascii="Arial Unicode MS" w:hAnsi="Arial Unicode MS" w:hint="eastAsia"/>
          <w:bCs/>
        </w:rPr>
        <w:t>）本基金参与融资的，每个交易日日终，本基金持有的融资买入股票与其他有价证券市值之和，不得超过基金资产净值的</w:t>
      </w:r>
      <w:r>
        <w:rPr>
          <w:rFonts w:ascii="Arial Unicode MS" w:hAnsi="Arial Unicode MS" w:hint="eastAsia"/>
          <w:bCs/>
        </w:rPr>
        <w:t>95%</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20</w:t>
      </w:r>
      <w:r>
        <w:rPr>
          <w:rFonts w:ascii="Arial Unicode MS" w:hAnsi="Arial Unicode MS" w:hint="eastAsia"/>
          <w:bCs/>
        </w:rPr>
        <w:t>）本基金不持有具有信用保护卖方属性的信用衍生品，不持有合约类信用衍生品，本基金持有的信用衍生品名义本金不得超过本基金中所对应受保护债券面值的</w:t>
      </w:r>
      <w:r>
        <w:rPr>
          <w:rFonts w:ascii="Arial Unicode MS" w:hAnsi="Arial Unicode MS" w:hint="eastAsia"/>
          <w:bCs/>
        </w:rPr>
        <w:t>100%</w:t>
      </w:r>
      <w:r>
        <w:rPr>
          <w:rFonts w:ascii="Arial Unicode MS" w:hAnsi="Arial Unicode MS" w:hint="eastAsia"/>
          <w:bCs/>
        </w:rPr>
        <w:t>；</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21</w:t>
      </w:r>
      <w:r>
        <w:rPr>
          <w:rFonts w:ascii="Arial Unicode MS" w:hAnsi="Arial Unicode MS" w:hint="eastAsia"/>
          <w:bCs/>
        </w:rPr>
        <w:t>）本基金投资于同一信用保护卖方各类信用衍生品名义本金合计不得超过基金资产净值的</w:t>
      </w:r>
      <w:r>
        <w:rPr>
          <w:rFonts w:ascii="Arial Unicode MS" w:hAnsi="Arial Unicode MS" w:hint="eastAsia"/>
          <w:bCs/>
        </w:rPr>
        <w:t>10%</w:t>
      </w:r>
      <w:r>
        <w:rPr>
          <w:rFonts w:ascii="Arial Unicode MS" w:hAnsi="Arial Unicode MS" w:hint="eastAsia"/>
          <w:bCs/>
        </w:rPr>
        <w:t>；因证券</w:t>
      </w:r>
      <w:r>
        <w:rPr>
          <w:rFonts w:ascii="Arial Unicode MS" w:hAnsi="Arial Unicode MS" w:hint="eastAsia"/>
          <w:bCs/>
        </w:rPr>
        <w:t>/</w:t>
      </w:r>
      <w:r>
        <w:rPr>
          <w:rFonts w:ascii="Arial Unicode MS" w:hAnsi="Arial Unicode MS" w:hint="eastAsia"/>
          <w:bCs/>
        </w:rPr>
        <w:t>期货市场波动、证券发行人合并、基金规模变动等基金管理人之外的因素致使基金不符合前述所规定比例限制的，基金管理人应在</w:t>
      </w:r>
      <w:r>
        <w:rPr>
          <w:rFonts w:ascii="Arial Unicode MS" w:hAnsi="Arial Unicode MS" w:hint="eastAsia"/>
          <w:bCs/>
        </w:rPr>
        <w:t>3</w:t>
      </w:r>
      <w:r>
        <w:rPr>
          <w:rFonts w:ascii="Arial Unicode MS" w:hAnsi="Arial Unicode MS" w:hint="eastAsia"/>
          <w:bCs/>
        </w:rPr>
        <w:t>个月之内进行调整；</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22</w:t>
      </w:r>
      <w:r>
        <w:rPr>
          <w:rFonts w:ascii="Arial Unicode MS" w:hAnsi="Arial Unicode MS" w:hint="eastAsia"/>
          <w:bCs/>
        </w:rPr>
        <w:t>）法律法规及中国证监会规定的和《基金合同》约定的其他投资限制。</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除上述（</w:t>
      </w:r>
      <w:r>
        <w:rPr>
          <w:rFonts w:ascii="Arial Unicode MS" w:hAnsi="Arial Unicode MS" w:hint="eastAsia"/>
          <w:bCs/>
        </w:rPr>
        <w:t>2</w:t>
      </w:r>
      <w:r>
        <w:rPr>
          <w:rFonts w:ascii="Arial Unicode MS" w:hAnsi="Arial Unicode MS" w:hint="eastAsia"/>
          <w:bCs/>
        </w:rPr>
        <w:t>）、（</w:t>
      </w:r>
      <w:r>
        <w:rPr>
          <w:rFonts w:ascii="Arial Unicode MS" w:hAnsi="Arial Unicode MS" w:hint="eastAsia"/>
          <w:bCs/>
        </w:rPr>
        <w:t>10</w:t>
      </w:r>
      <w:r>
        <w:rPr>
          <w:rFonts w:ascii="Arial Unicode MS" w:hAnsi="Arial Unicode MS" w:hint="eastAsia"/>
          <w:bCs/>
        </w:rPr>
        <w:t>）、（</w:t>
      </w:r>
      <w:r>
        <w:rPr>
          <w:rFonts w:ascii="Arial Unicode MS" w:hAnsi="Arial Unicode MS" w:hint="eastAsia"/>
          <w:bCs/>
        </w:rPr>
        <w:t>17</w:t>
      </w:r>
      <w:r>
        <w:rPr>
          <w:rFonts w:ascii="Arial Unicode MS" w:hAnsi="Arial Unicode MS" w:hint="eastAsia"/>
          <w:bCs/>
        </w:rPr>
        <w:t>）、（</w:t>
      </w:r>
      <w:r>
        <w:rPr>
          <w:rFonts w:ascii="Arial Unicode MS" w:hAnsi="Arial Unicode MS" w:hint="eastAsia"/>
          <w:bCs/>
        </w:rPr>
        <w:t>18</w:t>
      </w:r>
      <w:r>
        <w:rPr>
          <w:rFonts w:ascii="Arial Unicode MS" w:hAnsi="Arial Unicode MS" w:hint="eastAsia"/>
          <w:bCs/>
        </w:rPr>
        <w:t>）、（</w:t>
      </w:r>
      <w:r>
        <w:rPr>
          <w:rFonts w:ascii="Arial Unicode MS" w:hAnsi="Arial Unicode MS" w:hint="eastAsia"/>
          <w:bCs/>
        </w:rPr>
        <w:t>21</w:t>
      </w:r>
      <w:r>
        <w:rPr>
          <w:rFonts w:ascii="Arial Unicode MS" w:hAnsi="Arial Unicode MS" w:hint="eastAsia"/>
          <w:bCs/>
        </w:rPr>
        <w:t>）情形之外，因证券、期货市场波动、证券发行人合并、基金规模变动等基金管理人之外的因素致使基金投资比例不符合上述规定投资比例的，基金管理人应当在</w:t>
      </w:r>
      <w:r>
        <w:rPr>
          <w:rFonts w:ascii="Arial Unicode MS" w:hAnsi="Arial Unicode MS" w:hint="eastAsia"/>
          <w:bCs/>
        </w:rPr>
        <w:t>10</w:t>
      </w:r>
      <w:r>
        <w:rPr>
          <w:rFonts w:ascii="Arial Unicode MS" w:hAnsi="Arial Unicode MS" w:hint="eastAsia"/>
          <w:bCs/>
        </w:rPr>
        <w:t>个交易日内进行调整，但法律法规或中国证监会规定的特殊情形除外。</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基金管理人应当自基金合同生效之日起</w:t>
      </w:r>
      <w:r>
        <w:rPr>
          <w:rFonts w:ascii="Arial Unicode MS" w:hAnsi="Arial Unicode MS" w:hint="eastAsia"/>
          <w:bCs/>
        </w:rPr>
        <w:t>6</w:t>
      </w:r>
      <w:r>
        <w:rPr>
          <w:rFonts w:ascii="Arial Unicode MS" w:hAnsi="Arial Unicode MS" w:hint="eastAsia"/>
          <w:bCs/>
        </w:rPr>
        <w:t>个月内使基金的投资组合比例符合基金合同的有关约定。在上述期间内，本基金的投资范围、投资策略应当符合基金合同的约定。基金托管人对基金的投资的监督与检查自基金合同生效之日起开始。</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法律法规或监管部门取消或变更上述限制，如适用于本基金，基金管理人在履行适当程序后，则本基金投资不再受相关限制，或以变更后的规定为准。</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（三）基金托管人根据有关法律法规的规定及基金合同的约定，通过事后监督方式对基金管理人基金投资禁止行为进行监督。</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根据法律法规有关基金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w:t>
      </w:r>
      <w:r>
        <w:rPr>
          <w:rFonts w:ascii="Arial Unicode MS" w:hAnsi="Arial Unicode MS" w:hint="eastAsia"/>
          <w:bCs/>
        </w:rPr>
        <w:lastRenderedPageBreak/>
        <w:t>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及时向基金托管人说明理由，协商解决。</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（五）基金托管人根据有关法律法规的规定及基金合同的约定，对基金投资中期票据进行监督。</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六）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（九）若基金托管人发现基金管理人依据交易程序已经生效的指令违反法律、行政法规和其他有关规定，或者违反基金合同约定的，应当立即通知基金管理人，基金托管人在履行其通知义务后，予以免责。</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（十）基金托管人发现基金管理人有重大违规行为，应及时报告中国证监会，同时通知基金管理人限期纠正，并将纠正结果报告中国证监会。基金管理人无正当理由，拒绝、阻挠</w:t>
      </w:r>
      <w:r>
        <w:rPr>
          <w:rFonts w:ascii="Arial Unicode MS" w:hAnsi="Arial Unicode MS" w:hint="eastAsia"/>
          <w:bCs/>
        </w:rPr>
        <w:lastRenderedPageBreak/>
        <w:t>对方根据本托管协议规定行使监督权，或采取拖延、欺诈等手段妨碍对方进行有效监督，情节严重或经基金托管人提出警告仍不改正的，基金托管人应报告中国证监会。</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十一）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D5306E" w:rsidRDefault="006D76AB">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基金托管人依照相关法律法规的规定和基金合同的约定，对侧袋机制启用、特定资产处置和信息披露等方面进行复核和监督。侧袋机制实施期间的具体规则依照相关法律法规的规定和基金合同的约定执行。</w:t>
      </w:r>
    </w:p>
    <w:p w:rsidR="00D5306E" w:rsidRDefault="006D76AB">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三、基金管理人对基金托管人的业务核查</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一）基金管理人对基金托管人履行托管职责情况进行核查，核查事项包括基金托管人安全保管基金财产、开设基金财产的资金账户和证券账户等投资所需账户、复核基金管理人计算的基金资产净值和各类基金份额的基金份额净值、根据基金管理人指令办理清算交收、相关信息披露和监督基金投资运作等行为。</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5306E" w:rsidRDefault="006D76AB">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四、基金财产</w:t>
      </w:r>
      <w:r>
        <w:rPr>
          <w:rFonts w:ascii="Arial Unicode MS" w:hAnsi="Arial Unicode MS" w:cs="Arial" w:hint="eastAsia"/>
          <w:b/>
          <w:szCs w:val="21"/>
        </w:rPr>
        <w:t>的</w:t>
      </w:r>
      <w:r>
        <w:rPr>
          <w:rFonts w:ascii="Arial Unicode MS" w:hAnsi="Arial Unicode MS" w:cs="Arial"/>
          <w:b/>
          <w:szCs w:val="21"/>
        </w:rPr>
        <w:t>保管</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（一）基金财产保管的原则</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1.</w:t>
      </w:r>
      <w:r>
        <w:rPr>
          <w:rFonts w:ascii="宋体" w:hAnsi="宋体" w:cs="Arial" w:hint="eastAsia"/>
          <w:szCs w:val="21"/>
        </w:rPr>
        <w:tab/>
        <w:t>基金财产应独立于基金管理人、基金托管人的固有财产。</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2.</w:t>
      </w:r>
      <w:r>
        <w:rPr>
          <w:rFonts w:ascii="宋体" w:hAnsi="宋体" w:cs="Arial" w:hint="eastAsia"/>
          <w:szCs w:val="21"/>
        </w:rPr>
        <w:tab/>
        <w:t>基金托管人应安全保管基金财产。未经基金管理人依据合法程序作出的合法合规指令，基金托管人不得自行运用、处分、分配基金的任何财产。</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3.</w:t>
      </w:r>
      <w:r>
        <w:rPr>
          <w:rFonts w:ascii="宋体" w:hAnsi="宋体" w:cs="Arial" w:hint="eastAsia"/>
          <w:szCs w:val="21"/>
        </w:rPr>
        <w:tab/>
        <w:t>基金托管人按照规定开设基金财产的资金账户和证券账户等投资所需账户。</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4.</w:t>
      </w:r>
      <w:r>
        <w:rPr>
          <w:rFonts w:ascii="宋体" w:hAnsi="宋体" w:cs="Arial" w:hint="eastAsia"/>
          <w:szCs w:val="21"/>
        </w:rPr>
        <w:tab/>
        <w:t>基金托管人对所托管的不同基金财产分别设置账户，确保基金财产的完整与独立。</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5.</w:t>
      </w:r>
      <w:r>
        <w:rPr>
          <w:rFonts w:ascii="宋体" w:hAnsi="宋体" w:cs="Arial" w:hint="eastAsia"/>
          <w:szCs w:val="21"/>
        </w:rPr>
        <w:tab/>
        <w:t>基金托管人根据基金管理人的指令，按照基金合同和本协议的约定保管基金财产，如有特殊情况双方可另行协商解决。</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6.</w:t>
      </w:r>
      <w:r>
        <w:rPr>
          <w:rFonts w:ascii="宋体" w:hAnsi="宋体" w:cs="Arial" w:hint="eastAsia"/>
          <w:szCs w:val="21"/>
        </w:rPr>
        <w:tab/>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7.</w:t>
      </w:r>
      <w:r>
        <w:rPr>
          <w:rFonts w:ascii="宋体" w:hAnsi="宋体" w:cs="Arial" w:hint="eastAsia"/>
          <w:szCs w:val="21"/>
        </w:rPr>
        <w:tab/>
        <w:t>除依据法律法规和基金合同的规定外，基金托管人不得委托第三人托管基金财产。</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（二）基金募集期间及募集资金的验资</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1.</w:t>
      </w:r>
      <w:r>
        <w:rPr>
          <w:rFonts w:ascii="宋体" w:hAnsi="宋体" w:cs="Arial" w:hint="eastAsia"/>
          <w:szCs w:val="21"/>
        </w:rPr>
        <w:tab/>
        <w:t>基金管理人应将基金募集期间募集的资金存入专门账户。该账户由基金管理人开立并管理。</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2.</w:t>
      </w:r>
      <w:r>
        <w:rPr>
          <w:rFonts w:ascii="宋体" w:hAnsi="宋体" w:cs="Arial" w:hint="eastAsia"/>
          <w:szCs w:val="21"/>
        </w:rPr>
        <w:tab/>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证券法》规定的会计师事务所进行验资，出具验资报告。出具的验资报告由参加验资的2名或2名以上中国注册会计师签字方为有效。</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3.</w:t>
      </w:r>
      <w:r>
        <w:rPr>
          <w:rFonts w:ascii="宋体" w:hAnsi="宋体" w:cs="Arial" w:hint="eastAsia"/>
          <w:szCs w:val="21"/>
        </w:rPr>
        <w:tab/>
        <w:t>若基金募集期限届满，未能达到基金合同生效的条件，由基金管理人按规定办理退款等事宜，基金托管人应提供充分协助。</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（三）基金银行账户的开立和管理</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1.</w:t>
      </w:r>
      <w:r>
        <w:rPr>
          <w:rFonts w:ascii="宋体" w:hAnsi="宋体" w:cs="Arial" w:hint="eastAsia"/>
          <w:szCs w:val="21"/>
        </w:rPr>
        <w:tab/>
        <w:t>基金托管人应负责本基金的银行账户的开设和管理。</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2.</w:t>
      </w:r>
      <w:r>
        <w:rPr>
          <w:rFonts w:ascii="宋体" w:hAnsi="宋体" w:cs="Arial" w:hint="eastAsia"/>
          <w:szCs w:val="21"/>
        </w:rPr>
        <w:tab/>
        <w:t>基金托管人根据有关规定以本基金的名义在其营业机构开立银行账户，并根据基金管理人合法合规的指令办理资金收付。基金管理人授权基金托管人办理本基金银行账户的开立、销户、变更工作，本基金银行账户无需预留印鉴，具体按基金托管人要求办理。基金银行账户的开立和使用，限于满足开展本基金业务的需要。基金托管人和基金管理人不得假借本基金的名义开立任何其他银行账户；亦不得使用基金的任何账户进行本基金业务以外的活动。</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3.</w:t>
      </w:r>
      <w:r>
        <w:rPr>
          <w:rFonts w:ascii="宋体" w:hAnsi="宋体" w:cs="Arial" w:hint="eastAsia"/>
          <w:szCs w:val="21"/>
        </w:rPr>
        <w:tab/>
        <w:t>基金银行账户的开立和管理应符合银行业监督管理机构的有关规定。</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（四）基金证券账户和结算备付金账户的开立和管理</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1.</w:t>
      </w:r>
      <w:r>
        <w:rPr>
          <w:rFonts w:ascii="宋体" w:hAnsi="宋体" w:cs="Arial" w:hint="eastAsia"/>
          <w:szCs w:val="21"/>
        </w:rPr>
        <w:tab/>
        <w:t>基金托管人在中国证券登记结算有限责任公司上海分公司、深圳分公司为基金开立基金托管人与本基金联名的证券账户。</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2.</w:t>
      </w:r>
      <w:r>
        <w:rPr>
          <w:rFonts w:ascii="宋体" w:hAnsi="宋体" w:cs="Arial" w:hint="eastAsia"/>
          <w:szCs w:val="21"/>
        </w:rPr>
        <w:tab/>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3.</w:t>
      </w:r>
      <w:r>
        <w:rPr>
          <w:rFonts w:ascii="宋体" w:hAnsi="宋体" w:cs="Arial" w:hint="eastAsia"/>
          <w:szCs w:val="21"/>
        </w:rPr>
        <w:tab/>
        <w:t>基金证券账户的开立和证券账户卡的保管由基金托管人负责，账户资产的管理和运用由基金管理人负责。</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4.</w:t>
      </w:r>
      <w:r>
        <w:rPr>
          <w:rFonts w:ascii="宋体" w:hAnsi="宋体" w:cs="Arial" w:hint="eastAsia"/>
          <w:szCs w:val="21"/>
        </w:rPr>
        <w:tab/>
        <w:t>基金托管人以自身法人名义在中国证券登记结算有限责任公司开立结算备付金账户，并代表所托管的基金完成与中国证券登记结算有限责任公司的一级法人清算工作，基金</w:t>
      </w:r>
      <w:r>
        <w:rPr>
          <w:rFonts w:ascii="宋体" w:hAnsi="宋体" w:cs="Arial" w:hint="eastAsia"/>
          <w:szCs w:val="21"/>
        </w:rPr>
        <w:lastRenderedPageBreak/>
        <w:t>管理人应予以积极协助。结算备付金等的收取按照中国证券登记结算有限责任公司的规定执行。</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5.</w:t>
      </w:r>
      <w:r>
        <w:rPr>
          <w:rFonts w:ascii="宋体" w:hAnsi="宋体" w:cs="Arial" w:hint="eastAsia"/>
          <w:szCs w:val="21"/>
        </w:rPr>
        <w:tab/>
        <w:t>若中国证监会或其他监管机构在本托管协议订立日之后允许基金从事其他投资品种的投资业务，涉及相关账户的开立、使用的，若无相关规定，则基金托管人比照上述关于账户开立、使用的规定执行。</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（五）债券托管专户的开设和管理</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基金合同生效后，基金托管人根据中国人民银行、中央国债登记结算有限责任公司的有关规定，在中央国债登记结算有限责任公司、银行间市场清算所股份有限公司根据有关规定以本基金的名义为基金开立债券托管账户，并代表本基金进行银行间市场债券的结算。基金管理人和基金托管人共同代表本基金签订全国银行间债券市场债券回购主协议。</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（六）其他账户的开立和管理</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1.</w:t>
      </w:r>
      <w:r>
        <w:rPr>
          <w:rFonts w:ascii="宋体" w:hAnsi="宋体" w:cs="Arial" w:hint="eastAsia"/>
          <w:szCs w:val="21"/>
        </w:rPr>
        <w:tab/>
        <w:t>因业务发展需要而开立的其他账户，可以根据法律法规和基金合同的规定开立，在基金管理人和基金托管人商议后由基金托管人负责开立。新账户按有关规定使用并管理。</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2.</w:t>
      </w:r>
      <w:r>
        <w:rPr>
          <w:rFonts w:ascii="宋体" w:hAnsi="宋体" w:cs="Arial" w:hint="eastAsia"/>
          <w:szCs w:val="21"/>
        </w:rPr>
        <w:tab/>
        <w:t>法律法规等有关规定对相关账户的开立和管理另有规定的，从其规定办理。</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（七）基金财产投资的有关有价凭证等的保管</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基金财产投资的有关实物证券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（八）与基金财产有关的重大合同的保管</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托管人对重大合同的保管期限为基金合同终止后20年，法律法规或监管规则另有规定的，从其规定。</w:t>
      </w:r>
    </w:p>
    <w:p w:rsidR="00D5306E" w:rsidRDefault="006D76AB">
      <w:pPr>
        <w:adjustRightInd w:val="0"/>
        <w:snapToGrid w:val="0"/>
        <w:spacing w:line="360" w:lineRule="auto"/>
        <w:ind w:firstLineChars="200" w:firstLine="420"/>
        <w:rPr>
          <w:rFonts w:ascii="宋体" w:hAnsi="宋体" w:cs="Arial"/>
          <w:szCs w:val="21"/>
        </w:rPr>
      </w:pPr>
      <w:r>
        <w:rPr>
          <w:rFonts w:ascii="宋体" w:hAnsi="宋体" w:cs="Arial" w:hint="eastAsia"/>
          <w:szCs w:val="21"/>
        </w:rPr>
        <w:t>对于无法取得二份以上的正本的，基金管理人应向基金托管人提供加盖公章或授权业务章的合同传真件，未经双方协商或未在合同约定范围内，合同原件不得转移。</w:t>
      </w:r>
    </w:p>
    <w:p w:rsidR="00D5306E" w:rsidRDefault="006D76AB">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五、</w:t>
      </w:r>
      <w:r>
        <w:rPr>
          <w:rFonts w:ascii="Arial Unicode MS" w:hAnsi="Arial Unicode MS" w:cs="Arial" w:hint="eastAsia"/>
          <w:b/>
          <w:szCs w:val="21"/>
        </w:rPr>
        <w:t>基金资产净值计算和会计核算</w:t>
      </w:r>
      <w:bookmarkStart w:id="180" w:name="_Toc77663017"/>
    </w:p>
    <w:bookmarkEnd w:id="180"/>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（一）基金资产净值的计算、复核与完成的时间及程序</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ab/>
      </w:r>
      <w:r>
        <w:rPr>
          <w:rFonts w:ascii="Arial Unicode MS" w:hAnsi="Arial Unicode MS" w:cs="Arial" w:hint="eastAsia"/>
          <w:szCs w:val="21"/>
        </w:rPr>
        <w:t>基金资产净值</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各类基金份额净值是按照每个工作日闭市后，该类基金资产净值除以当日该类基金份额</w:t>
      </w:r>
      <w:r>
        <w:rPr>
          <w:rFonts w:ascii="Arial Unicode MS" w:hAnsi="Arial Unicode MS" w:cs="Arial" w:hint="eastAsia"/>
          <w:szCs w:val="21"/>
        </w:rPr>
        <w:lastRenderedPageBreak/>
        <w:t>的余额数量计算，均精确到</w:t>
      </w:r>
      <w:r>
        <w:rPr>
          <w:rFonts w:ascii="Arial Unicode MS" w:hAnsi="Arial Unicode MS" w:cs="Arial" w:hint="eastAsia"/>
          <w:szCs w:val="21"/>
        </w:rPr>
        <w:t>0.0001</w:t>
      </w:r>
      <w:r>
        <w:rPr>
          <w:rFonts w:ascii="Arial Unicode MS" w:hAnsi="Arial Unicode MS" w:cs="Arial" w:hint="eastAsia"/>
          <w:szCs w:val="21"/>
        </w:rPr>
        <w:t>元，小数点后第</w:t>
      </w:r>
      <w:r>
        <w:rPr>
          <w:rFonts w:ascii="Arial Unicode MS" w:hAnsi="Arial Unicode MS" w:cs="Arial" w:hint="eastAsia"/>
          <w:szCs w:val="21"/>
        </w:rPr>
        <w:t>5</w:t>
      </w:r>
      <w:r>
        <w:rPr>
          <w:rFonts w:ascii="Arial Unicode MS" w:hAnsi="Arial Unicode MS" w:cs="Arial" w:hint="eastAsia"/>
          <w:szCs w:val="21"/>
        </w:rPr>
        <w:t>位四舍五入。基金管理人可以设立大额赎回情形下的净值精度应急调整机制。国家另有规定的，从其规定。</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基金管理人于每个工作日计算基金资产净值及各类基金份额净值，并按规定公告。</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ab/>
      </w:r>
      <w:r>
        <w:rPr>
          <w:rFonts w:ascii="Arial Unicode MS" w:hAnsi="Arial Unicode MS" w:cs="Arial" w:hint="eastAsia"/>
          <w:szCs w:val="21"/>
        </w:rPr>
        <w:t>复核程序</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每个工作日对基金资产进行估值后，将各类基金份额的基金份额净值结果以双方约定的方式提交给基金托管人，经基金托管人复核无误后，以约定的方式将复核结果提交给基金管理人，由基金管理人依据基金合同和有关法律法规对外公布。</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ab/>
      </w:r>
      <w:r>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（二）基金资产估值方法和特殊情形的处理</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ab/>
      </w:r>
      <w:r>
        <w:rPr>
          <w:rFonts w:ascii="Arial Unicode MS" w:hAnsi="Arial Unicode MS" w:cs="Arial" w:hint="eastAsia"/>
          <w:szCs w:val="21"/>
        </w:rPr>
        <w:t>估值对象</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基金所拥有的股票、股指期货合约、国债期货合约、股票期权合约、信用衍生品、债券和银行存款本息、应收款项、资产支持证券、其它投资等资产及负债。</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ab/>
      </w:r>
      <w:r>
        <w:rPr>
          <w:rFonts w:ascii="Arial Unicode MS" w:hAnsi="Arial Unicode MS" w:cs="Arial" w:hint="eastAsia"/>
          <w:szCs w:val="21"/>
        </w:rPr>
        <w:t>估值方法</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ab/>
      </w:r>
      <w:r>
        <w:rPr>
          <w:rFonts w:ascii="Arial Unicode MS" w:hAnsi="Arial Unicode MS" w:cs="Arial" w:hint="eastAsia"/>
          <w:szCs w:val="21"/>
        </w:rPr>
        <w:t>证券交易所上市的有价证券的估值</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A</w:t>
      </w:r>
      <w:r>
        <w:rPr>
          <w:rFonts w:ascii="Arial Unicode MS" w:hAnsi="Arial Unicode MS" w:cs="Arial" w:hint="eastAsia"/>
          <w:szCs w:val="21"/>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B.</w:t>
      </w:r>
      <w:r>
        <w:rPr>
          <w:rFonts w:ascii="Arial Unicode MS" w:hAnsi="Arial Unicode MS" w:cs="Arial" w:hint="eastAsia"/>
          <w:szCs w:val="21"/>
        </w:rPr>
        <w:t>交易所上市交易或挂牌转让的固定收益品种（基金合同另有规定的除外），选取估值日第三方估值机构提供的相应品种对应的估值净价估值，具体估值机构由基金管理人与基金托管人另行协商约定；</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C.</w:t>
      </w:r>
      <w:r>
        <w:rPr>
          <w:rFonts w:ascii="Arial Unicode MS" w:hAnsi="Arial Unicode MS" w:cs="Arial" w:hint="eastAsia"/>
          <w:szCs w:val="21"/>
        </w:rPr>
        <w:t>交易所上市交易的可转换债券按估值日收盘价减去债券收盘价中所含的债券应收利息得到的净价进行估值；估值日没有交易的，且最近交易日后经济环境未发生重大变化，按最近交易日固定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交易所上市实行全价交易的固定收益品种（可转换债券除外），选取第三方估值机构提</w:t>
      </w:r>
      <w:r>
        <w:rPr>
          <w:rFonts w:ascii="Arial Unicode MS" w:hAnsi="Arial Unicode MS" w:cs="Arial" w:hint="eastAsia"/>
          <w:szCs w:val="21"/>
        </w:rPr>
        <w:lastRenderedPageBreak/>
        <w:t>供的估值全价减去估值全价中所含的固定收益品种（税后）应收利息得到的净价进行估值；</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D</w:t>
      </w:r>
      <w:r>
        <w:rPr>
          <w:rFonts w:ascii="Arial Unicode MS" w:hAnsi="Arial Unicode MS" w:cs="Arial" w:hint="eastAsia"/>
          <w:szCs w:val="21"/>
        </w:rPr>
        <w:t>．交易所上市不存在活跃市场的有价证券，采用估值技术确定公允价值。交易所上市的资产支持证券，采用估值技术确定公允价值，在估值技术难以可靠计量公允价值的情况下，按成本估值。</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ab/>
      </w:r>
      <w:r>
        <w:rPr>
          <w:rFonts w:ascii="Arial Unicode MS" w:hAnsi="Arial Unicode MS" w:cs="Arial" w:hint="eastAsia"/>
          <w:szCs w:val="21"/>
        </w:rPr>
        <w:t>处于未上市期间的有价证券应区分如下情况处理：</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 xml:space="preserve">    A.</w:t>
      </w:r>
      <w:r>
        <w:rPr>
          <w:rFonts w:ascii="Arial Unicode MS" w:hAnsi="Arial Unicode MS" w:cs="Arial" w:hint="eastAsia"/>
          <w:szCs w:val="21"/>
        </w:rPr>
        <w:t>送股、转增股、配股和公开增发的新股，按估值日在证券交易所挂牌的同一股票的估值方法估值；该日无交易的，以最近一日的市价（收盘价）估值；</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B.</w:t>
      </w:r>
      <w:r>
        <w:rPr>
          <w:rFonts w:ascii="Arial Unicode MS" w:hAnsi="Arial Unicode MS" w:cs="Arial" w:hint="eastAsia"/>
          <w:szCs w:val="21"/>
        </w:rPr>
        <w:t>首次公开发行未上市的股票和债券，采用估值技术确定公允价值，在估值技术难以可靠计量公允价值的情况下，按成本估值；</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C.</w:t>
      </w:r>
      <w:r>
        <w:rPr>
          <w:rFonts w:ascii="Arial Unicode MS" w:hAnsi="Arial Unicode MS" w:cs="Arial" w:hint="eastAsia"/>
          <w:szCs w:val="21"/>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全国银行间债券市场交易的债券、资产支持证券等固定收益品种，采用估值技术确定公允价值。</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同一证券同时在两个或两个以上市场交易的，按证券所处的市场分别估值。</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本基金投资股指期货合约、国债期货合约，一般以估值当日结算价进行估值，估值当日无结算价的，且最近交易日后经济环境未发生重大变化的，采用最近交易日结算价估值。</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本基金投资股票期权，根据相关法律法规以及监管部门的规定估值。</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本基金投资信用衍生品，根据相关法律法规以及监管部门的规定估值。</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8)</w:t>
      </w:r>
      <w:r>
        <w:rPr>
          <w:rFonts w:ascii="Arial Unicode MS" w:hAnsi="Arial Unicode MS" w:cs="Arial" w:hint="eastAsia"/>
          <w:szCs w:val="21"/>
        </w:rPr>
        <w:t>汇率</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9)</w:t>
      </w:r>
      <w:r>
        <w:rPr>
          <w:rFonts w:ascii="Arial Unicode MS" w:hAnsi="Arial Unicode MS" w:cs="Arial" w:hint="eastAsia"/>
          <w:szCs w:val="21"/>
        </w:rPr>
        <w:t>当发生大额申购或赎回情形时，基金管理人可以采用摆动定价机制，以确保基金估值的公平性。具体处理原则与操作规范遵循相关法律法规以及监管部门、自律规则的规定。</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10)</w:t>
      </w:r>
      <w:r>
        <w:rPr>
          <w:rFonts w:ascii="Arial Unicode MS" w:hAnsi="Arial Unicode MS" w:cs="Arial" w:hint="eastAsia"/>
          <w:szCs w:val="21"/>
        </w:rPr>
        <w:t>本基金参与融资业务，按照相关法律法规和行业协会的相关规定进行估值。</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11)</w:t>
      </w:r>
      <w:r>
        <w:rPr>
          <w:rFonts w:ascii="Arial Unicode MS" w:hAnsi="Arial Unicode MS" w:cs="Arial" w:hint="eastAsia"/>
          <w:szCs w:val="21"/>
        </w:rPr>
        <w:t>本基金投资存托凭证的估值核算，依照境内上市交易的股票执行。</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12)</w:t>
      </w:r>
      <w:r>
        <w:rPr>
          <w:rFonts w:ascii="Arial Unicode MS" w:hAnsi="Arial Unicode MS" w:cs="Arial" w:hint="eastAsia"/>
          <w:szCs w:val="21"/>
        </w:rPr>
        <w:t>如有确凿证据表明按上述方法进行估值不能客观反映其公允价值的，基金管理人可</w:t>
      </w:r>
      <w:r>
        <w:rPr>
          <w:rFonts w:ascii="Arial Unicode MS" w:hAnsi="Arial Unicode MS" w:cs="Arial" w:hint="eastAsia"/>
          <w:szCs w:val="21"/>
        </w:rPr>
        <w:lastRenderedPageBreak/>
        <w:t>根据具体情况与基金托管人商定后，按最能反映公允价值的价格估值。</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13)</w:t>
      </w:r>
      <w:r>
        <w:rPr>
          <w:rFonts w:ascii="Arial Unicode MS" w:hAnsi="Arial Unicode MS" w:cs="Arial" w:hint="eastAsia"/>
          <w:szCs w:val="21"/>
        </w:rPr>
        <w:t>相关法律法规以及监管部门有强制规定的，从其规定。如有新增事项，按国家最新规定估值。</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（三）基金份额净值错误的处理方式</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基金管理人和基金托管人将采取必要、适当、合理的措施确保基金资产估值的准确性、及时性。当任一类基金份额净值小数点后</w:t>
      </w:r>
      <w:r>
        <w:rPr>
          <w:rFonts w:ascii="Arial Unicode MS" w:hAnsi="Arial Unicode MS" w:cs="Arial" w:hint="eastAsia"/>
          <w:szCs w:val="21"/>
        </w:rPr>
        <w:t>4</w:t>
      </w:r>
      <w:r>
        <w:rPr>
          <w:rFonts w:ascii="Arial Unicode MS" w:hAnsi="Arial Unicode MS" w:cs="Arial" w:hint="eastAsia"/>
          <w:szCs w:val="21"/>
        </w:rPr>
        <w:t>位以内</w:t>
      </w:r>
      <w:r>
        <w:rPr>
          <w:rFonts w:ascii="Arial Unicode MS" w:hAnsi="Arial Unicode MS" w:cs="Arial" w:hint="eastAsia"/>
          <w:szCs w:val="21"/>
        </w:rPr>
        <w:t>(</w:t>
      </w:r>
      <w:r>
        <w:rPr>
          <w:rFonts w:ascii="Arial Unicode MS" w:hAnsi="Arial Unicode MS" w:cs="Arial" w:hint="eastAsia"/>
          <w:szCs w:val="21"/>
        </w:rPr>
        <w:t>含第</w:t>
      </w:r>
      <w:r>
        <w:rPr>
          <w:rFonts w:ascii="Arial Unicode MS" w:hAnsi="Arial Unicode MS" w:cs="Arial" w:hint="eastAsia"/>
          <w:szCs w:val="21"/>
        </w:rPr>
        <w:t>4</w:t>
      </w:r>
      <w:r>
        <w:rPr>
          <w:rFonts w:ascii="Arial Unicode MS" w:hAnsi="Arial Unicode MS" w:cs="Arial" w:hint="eastAsia"/>
          <w:szCs w:val="21"/>
        </w:rPr>
        <w:t>位</w:t>
      </w:r>
      <w:r>
        <w:rPr>
          <w:rFonts w:ascii="Arial Unicode MS" w:hAnsi="Arial Unicode MS" w:cs="Arial" w:hint="eastAsia"/>
          <w:szCs w:val="21"/>
        </w:rPr>
        <w:t>)</w:t>
      </w:r>
      <w:r>
        <w:rPr>
          <w:rFonts w:ascii="Arial Unicode MS" w:hAnsi="Arial Unicode MS" w:cs="Arial" w:hint="eastAsia"/>
          <w:szCs w:val="21"/>
        </w:rPr>
        <w:t>发生估值错误时，视为该类基金份额净值错误。</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基金合同的当事人应按照以下约定处理：</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、估值错误类型</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Arial Unicode MS" w:hAnsi="Arial Unicode MS" w:cs="Arial" w:hint="eastAsia"/>
          <w:szCs w:val="21"/>
        </w:rPr>
        <w:t>(</w:t>
      </w:r>
      <w:r>
        <w:rPr>
          <w:rFonts w:ascii="Arial Unicode MS" w:hAnsi="Arial Unicode MS" w:cs="Arial" w:hint="eastAsia"/>
          <w:szCs w:val="21"/>
        </w:rPr>
        <w:t>“受损方”</w:t>
      </w:r>
      <w:r>
        <w:rPr>
          <w:rFonts w:ascii="Arial Unicode MS" w:hAnsi="Arial Unicode MS" w:cs="Arial" w:hint="eastAsia"/>
          <w:szCs w:val="21"/>
        </w:rPr>
        <w:t>)</w:t>
      </w:r>
      <w:r>
        <w:rPr>
          <w:rFonts w:ascii="Arial Unicode MS" w:hAnsi="Arial Unicode MS" w:cs="Arial" w:hint="eastAsia"/>
          <w:szCs w:val="21"/>
        </w:rPr>
        <w:t>的直接损失按下述“估值错误处理原则”给予赔偿，承担赔偿责任。</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上述估值错误的主要类型包括但不限于：资料申报差错、数据传输差错、数据计算差错、系统故障差错、下达指令差错等。</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、估值错误处理原则</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）估值错误的责任方对有关当事人的直接损失负责，不对间接损失负责，并且仅对估值错误的有关直接当事人负责，不对第三方负责。</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w:t>
      </w:r>
      <w:r>
        <w:rPr>
          <w:rFonts w:ascii="Arial Unicode MS" w:hAnsi="Arial Unicode MS" w:cs="Arial" w:hint="eastAsia"/>
          <w:szCs w:val="21"/>
        </w:rPr>
        <w:t>3</w:t>
      </w:r>
      <w:r>
        <w:rPr>
          <w:rFonts w:ascii="Arial Unicode MS" w:hAnsi="Arial Unicode MS" w:cs="Arial"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Arial Unicode MS" w:hAnsi="Arial Unicode MS" w:cs="Arial" w:hint="eastAsia"/>
          <w:szCs w:val="21"/>
        </w:rPr>
        <w:t>(</w:t>
      </w:r>
      <w:r>
        <w:rPr>
          <w:rFonts w:ascii="Arial Unicode MS" w:hAnsi="Arial Unicode MS" w:cs="Arial" w:hint="eastAsia"/>
          <w:szCs w:val="21"/>
        </w:rPr>
        <w:t>“受损方”</w:t>
      </w:r>
      <w:r>
        <w:rPr>
          <w:rFonts w:ascii="Arial Unicode MS" w:hAnsi="Arial Unicode MS" w:cs="Arial" w:hint="eastAsia"/>
          <w:szCs w:val="21"/>
        </w:rPr>
        <w:t>)</w:t>
      </w:r>
      <w:r>
        <w:rPr>
          <w:rFonts w:ascii="Arial Unicode MS" w:hAnsi="Arial Unicode MS" w:cs="Arial"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）估值错误调整采用尽量恢复至假设未发生估值错误的正确情形的方式。</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、估值错误处理程序</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估值错误被发现后，有关的当事人应当及时进行处理，处理的程序如下：</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）查明估值错误发生的原因，列明所有的当事人，并根据估值错误发生的原因确定估值错误的责任方；</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）根据估值错误处理原则或当事人协商的方法对因估值错误造成的损失进行评估；</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）根据估值错误处理原则或当事人协商的方法由估值错误的责任方进行更正和赔偿损失；</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）根据估值错误处理的方法，需要修改基金登记机构交易数据的，由基金登记机构进行更正，并就估值错误的更正向有关当事人进行确认。</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、基金份额净值估值错误处理的方法如下：</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）基金份额净值计算出现错误时，基金管理人应当立即予以纠正，通报基金托管人，并采取合理的措施防止损失进一步扩大。</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）错误偏差达到该类基金份额净值的</w:t>
      </w:r>
      <w:r>
        <w:rPr>
          <w:rFonts w:ascii="Arial Unicode MS" w:hAnsi="Arial Unicode MS" w:cs="Arial" w:hint="eastAsia"/>
          <w:szCs w:val="21"/>
        </w:rPr>
        <w:t>0.25%</w:t>
      </w:r>
      <w:r>
        <w:rPr>
          <w:rFonts w:ascii="Arial Unicode MS" w:hAnsi="Arial Unicode MS" w:cs="Arial" w:hint="eastAsia"/>
          <w:szCs w:val="21"/>
        </w:rPr>
        <w:t>时，基金管理人应当通报基金托管人并报中国证监会备案；错误偏差达到该类基金份额净值的</w:t>
      </w:r>
      <w:r>
        <w:rPr>
          <w:rFonts w:ascii="Arial Unicode MS" w:hAnsi="Arial Unicode MS" w:cs="Arial" w:hint="eastAsia"/>
          <w:szCs w:val="21"/>
        </w:rPr>
        <w:t>0.5%</w:t>
      </w:r>
      <w:r>
        <w:rPr>
          <w:rFonts w:ascii="Arial Unicode MS" w:hAnsi="Arial Unicode MS" w:cs="Arial" w:hint="eastAsia"/>
          <w:szCs w:val="21"/>
        </w:rPr>
        <w:t>时，基金管理人应当公告，并报中国证监会备案。</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）基金管理人和基金托管人由于各自技术系统设置而产生的净值计算尾差，以基金管理人计算结果为准。</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）前述内容如法律法规或监管机关另有规定的，从其规定处理。如果行业另有通行做法，基金管理人、基金托管人应本着平等和保护基金份额持有人利益的原则进行协商。</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（四）暂停估值与公告基金份额净值的情形</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、基金投资所涉及的证券、期货交易市场或外汇市场遇法定节假日或因其他原因暂停营业时；</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2</w:t>
      </w:r>
      <w:r>
        <w:rPr>
          <w:rFonts w:ascii="Arial Unicode MS" w:hAnsi="Arial Unicode MS" w:cs="Arial" w:hint="eastAsia"/>
          <w:szCs w:val="21"/>
        </w:rPr>
        <w:t>、因不可抗力致使基金管理人、基金托管人无法准确评估基金资产价值时；</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、当特定资产占前一估值日基金资产净值</w:t>
      </w:r>
      <w:r>
        <w:rPr>
          <w:rFonts w:ascii="Arial Unicode MS" w:hAnsi="Arial Unicode MS" w:cs="Arial" w:hint="eastAsia"/>
          <w:szCs w:val="21"/>
        </w:rPr>
        <w:t>50%</w:t>
      </w:r>
      <w:r>
        <w:rPr>
          <w:rFonts w:ascii="Arial Unicode MS" w:hAnsi="Arial Unicode MS" w:cs="Arial" w:hint="eastAsia"/>
          <w:szCs w:val="21"/>
        </w:rPr>
        <w:t>以上的，经与基金托管人协商确认后，基金管理人应当暂停估值；</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、法律法规规定、中国证监会和基金合同认定的其它情形。</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（五）基金会计制度</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按国家有关部门规定的会计制度执行。</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（六）基金账册的建立</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净值的计算和公告的，以基金管理人的账册为准。</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（七）基金财务报表与报告的编制和复核</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ab/>
      </w:r>
      <w:r>
        <w:rPr>
          <w:rFonts w:ascii="Arial Unicode MS" w:hAnsi="Arial Unicode MS" w:cs="Arial" w:hint="eastAsia"/>
          <w:szCs w:val="21"/>
        </w:rPr>
        <w:t>财务报表的编制</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基金财务报表由基金管理人编制，基金托管人复核。</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ab/>
      </w:r>
      <w:r>
        <w:rPr>
          <w:rFonts w:ascii="Arial Unicode MS" w:hAnsi="Arial Unicode MS" w:cs="Arial" w:hint="eastAsia"/>
          <w:szCs w:val="21"/>
        </w:rPr>
        <w:t>报表复核</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基金托管人在收到基金管理人编制的基金财务报表后，进行独立的复核。核对不符时，应及时通知基金管理人共同查出原因，进行调整，直至双方数据完全一致。</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ab/>
      </w:r>
      <w:r>
        <w:rPr>
          <w:rFonts w:ascii="Arial Unicode MS" w:hAnsi="Arial Unicode MS" w:cs="Arial" w:hint="eastAsia"/>
          <w:szCs w:val="21"/>
        </w:rPr>
        <w:t>财务报表的编制与复核时间安排</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ab/>
      </w:r>
      <w:r>
        <w:rPr>
          <w:rFonts w:ascii="Arial Unicode MS" w:hAnsi="Arial Unicode MS" w:cs="Arial" w:hint="eastAsia"/>
          <w:szCs w:val="21"/>
        </w:rPr>
        <w:t>报表的编制</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应当在每年结束之日起三个月内，编制完成基金年度报告，将年度报告登载在规定网站上，并将年度报告提示性公告登载在规定报刊上。基金管理人应当在上半年结束之日起两个月内，编制完成基金中期报告，将中期报告登载在规定网站上，并将中期报告提示性公告登载在规定报刊上。基金管理人应当在季度结束之日起</w:t>
      </w:r>
      <w:r>
        <w:rPr>
          <w:rFonts w:ascii="Arial Unicode MS" w:hAnsi="Arial Unicode MS" w:cs="Arial" w:hint="eastAsia"/>
          <w:szCs w:val="21"/>
        </w:rPr>
        <w:t>15</w:t>
      </w:r>
      <w:r>
        <w:rPr>
          <w:rFonts w:ascii="Arial Unicode MS" w:hAnsi="Arial Unicode MS" w:cs="Arial" w:hint="eastAsia"/>
          <w:szCs w:val="21"/>
        </w:rPr>
        <w:t>个工作日内，编制完成基金季度报告，将季度报告登载在规定网站上，并将季度报告提示性公告登载在规定报刊上。基金合同生效不足两个月的，基金管理人可以不编制当期季度报告、中期报告或者年度报告。</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2)</w:t>
      </w:r>
      <w:r>
        <w:rPr>
          <w:rFonts w:ascii="Arial Unicode MS" w:hAnsi="Arial Unicode MS" w:cs="Arial" w:hint="eastAsia"/>
          <w:szCs w:val="21"/>
        </w:rPr>
        <w:tab/>
      </w:r>
      <w:r>
        <w:rPr>
          <w:rFonts w:ascii="Arial Unicode MS" w:hAnsi="Arial Unicode MS" w:cs="Arial" w:hint="eastAsia"/>
          <w:szCs w:val="21"/>
        </w:rPr>
        <w:t>报表的复核</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基金管理人应留足充分的时间，便于基金托管人复核相关报表及报告。</w:t>
      </w:r>
    </w:p>
    <w:p w:rsidR="00D5306E" w:rsidRDefault="006D76AB">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（八）基金管理人应在编制季度报告、中期报告或者年度报告之前及时向基金托管人提供基金业绩比较基准的基础数据和编制结果。</w:t>
      </w:r>
    </w:p>
    <w:p w:rsidR="00D5306E" w:rsidRDefault="006D76AB">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六、基金份额持有人名册的保管</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Pr>
          <w:rFonts w:ascii="Arial Unicode MS" w:hAnsi="Arial Unicode MS" w:cs="Arial" w:hint="eastAsia"/>
        </w:rPr>
        <w:t>15</w:t>
      </w:r>
      <w:r>
        <w:rPr>
          <w:rFonts w:ascii="Arial Unicode MS" w:hAnsi="Arial Unicode MS" w:cs="Arial" w:hint="eastAsia"/>
        </w:rPr>
        <w:t>年，法律法规或监管规则另有规定的，从其规定。如不能妥善保管，则按相关法规承担责任。</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基金托管人依法编制中期报告和年报前有向基金管理人搜集资料的权利，基金管理人应在收到基金托管人通知后</w:t>
      </w:r>
      <w:r>
        <w:rPr>
          <w:rFonts w:ascii="Arial Unicode MS" w:hAnsi="Arial Unicode MS" w:cs="Arial" w:hint="eastAsia"/>
        </w:rPr>
        <w:t>5</w:t>
      </w:r>
      <w:r>
        <w:rPr>
          <w:rFonts w:ascii="Arial Unicode MS" w:hAnsi="Arial Unicode MS" w:cs="Arial" w:hint="eastAsia"/>
        </w:rPr>
        <w:t>个工作日内将有关资料送交基金托管人，不得无故拒绝或延误提供，并保证其的真实性、准确性和完整性。基金托管人不得将所保管的基金份额持有人名册用于基金托管业务以外的其他用途，并应遵守保密义务。</w:t>
      </w:r>
    </w:p>
    <w:p w:rsidR="00D5306E" w:rsidRDefault="006D76AB">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七、争议解决方式</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因本协议产生或与之相关的争议，双方当事人应通过协商、调解解决，协商、调解不能解决的，任何一方均有权将争议提交深圳国际仲裁院（深圳仲裁委员会），按照深圳国际仲裁院（深圳仲裁委员会）届时有效的仲裁规则进行仲裁。仲裁地点为深圳市。仲裁裁决是终局的，对当事人均有约束力。除非仲裁裁决另有规定，仲裁费用、律师费用由败诉方承担。</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争议处理期间，双方当事人应恪守基金管理人和基金托管人职责，各自继续忠实、勤勉、尽责地履行基金合同和本托管协议规定的义务，维护基金份额持有人的合法权益。</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本协议受中国法律（为本协议之目的，在此不包括香港、澳门特别行政区和台湾地区法律）管辖。</w:t>
      </w:r>
    </w:p>
    <w:p w:rsidR="00D5306E" w:rsidRDefault="006D76AB">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八、</w:t>
      </w:r>
      <w:r>
        <w:rPr>
          <w:rFonts w:ascii="Arial Unicode MS" w:hAnsi="Arial Unicode MS" w:cs="Arial" w:hint="eastAsia"/>
          <w:b/>
          <w:szCs w:val="21"/>
        </w:rPr>
        <w:t>托管协议的变更、终止与基金财产的清算</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（一）托管协议的变更程序</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本协议双方当事人经协商一致，可以对协议进行修改。修改后的新协议，其内容不得与基金合同的规定有任何冲突。基金托管协议的变更需报中国证监会备案。</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（二）基金托管协议终止出现的情形</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1.</w:t>
      </w:r>
      <w:r>
        <w:rPr>
          <w:rFonts w:ascii="Arial Unicode MS" w:hAnsi="Arial Unicode MS" w:cs="Arial" w:hint="eastAsia"/>
        </w:rPr>
        <w:tab/>
      </w:r>
      <w:r>
        <w:rPr>
          <w:rFonts w:ascii="Arial Unicode MS" w:hAnsi="Arial Unicode MS" w:cs="Arial" w:hint="eastAsia"/>
        </w:rPr>
        <w:t>基金合同终止；</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2.</w:t>
      </w:r>
      <w:r>
        <w:rPr>
          <w:rFonts w:ascii="Arial Unicode MS" w:hAnsi="Arial Unicode MS" w:cs="Arial" w:hint="eastAsia"/>
        </w:rPr>
        <w:tab/>
      </w:r>
      <w:r>
        <w:rPr>
          <w:rFonts w:ascii="Arial Unicode MS" w:hAnsi="Arial Unicode MS" w:cs="Arial" w:hint="eastAsia"/>
        </w:rPr>
        <w:t>基金托管人解散、依法被撤销、破产或由其他基金托管人接管基金资产；</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lastRenderedPageBreak/>
        <w:t>3.</w:t>
      </w:r>
      <w:r>
        <w:rPr>
          <w:rFonts w:ascii="Arial Unicode MS" w:hAnsi="Arial Unicode MS" w:cs="Arial" w:hint="eastAsia"/>
        </w:rPr>
        <w:tab/>
      </w:r>
      <w:r>
        <w:rPr>
          <w:rFonts w:ascii="Arial Unicode MS" w:hAnsi="Arial Unicode MS" w:cs="Arial" w:hint="eastAsia"/>
        </w:rPr>
        <w:t>基金管理人解散、依法被撤销、破产或由其他基金管理人接管基金管理权；</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4.</w:t>
      </w:r>
      <w:r>
        <w:rPr>
          <w:rFonts w:ascii="Arial Unicode MS" w:hAnsi="Arial Unicode MS" w:cs="Arial" w:hint="eastAsia"/>
        </w:rPr>
        <w:tab/>
      </w:r>
      <w:r>
        <w:rPr>
          <w:rFonts w:ascii="Arial Unicode MS" w:hAnsi="Arial Unicode MS" w:cs="Arial" w:hint="eastAsia"/>
        </w:rPr>
        <w:t>发生法律法规或基金合同规定的终止事项。</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（三）基金财产的清算</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1.</w:t>
      </w:r>
      <w:r>
        <w:rPr>
          <w:rFonts w:ascii="Arial Unicode MS" w:hAnsi="Arial Unicode MS" w:cs="Arial" w:hint="eastAsia"/>
        </w:rPr>
        <w:tab/>
      </w:r>
      <w:r>
        <w:rPr>
          <w:rFonts w:ascii="Arial Unicode MS" w:hAnsi="Arial Unicode MS" w:cs="Arial" w:hint="eastAsia"/>
        </w:rPr>
        <w:t>基金财产清算小组</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1)</w:t>
      </w:r>
      <w:r>
        <w:rPr>
          <w:rFonts w:ascii="Arial Unicode MS" w:hAnsi="Arial Unicode MS" w:cs="Arial" w:hint="eastAsia"/>
        </w:rPr>
        <w:tab/>
      </w:r>
      <w:r>
        <w:rPr>
          <w:rFonts w:ascii="Arial Unicode MS" w:hAnsi="Arial Unicode MS" w:cs="Arial" w:hint="eastAsia"/>
        </w:rPr>
        <w:t>自出现《基金合同》终止事由之日起</w:t>
      </w:r>
      <w:r>
        <w:rPr>
          <w:rFonts w:ascii="Arial Unicode MS" w:hAnsi="Arial Unicode MS" w:cs="Arial" w:hint="eastAsia"/>
        </w:rPr>
        <w:t>30</w:t>
      </w:r>
      <w:r>
        <w:rPr>
          <w:rFonts w:ascii="Arial Unicode MS" w:hAnsi="Arial Unicode MS" w:cs="Arial" w:hint="eastAsia"/>
        </w:rPr>
        <w:t>个工作日内成立基金财产清算小组，基金管理人组织基金财产清算小组并在中国证监会的监督下进行基金清算。</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2)</w:t>
      </w:r>
      <w:r>
        <w:rPr>
          <w:rFonts w:ascii="Arial Unicode MS" w:hAnsi="Arial Unicode MS" w:cs="Arial" w:hint="eastAsia"/>
        </w:rPr>
        <w:tab/>
      </w:r>
      <w:r>
        <w:rPr>
          <w:rFonts w:ascii="Arial Unicode MS" w:hAnsi="Arial Unicode MS" w:cs="Arial" w:hint="eastAsia"/>
        </w:rPr>
        <w:t>在基金财产清算小组接管基金财产之前，基金管理人和基金托管人应按照《基金合同》和托管协议的规定继续履行保护基金财产安全的职责。</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3)</w:t>
      </w:r>
      <w:r>
        <w:rPr>
          <w:rFonts w:ascii="Arial Unicode MS" w:hAnsi="Arial Unicode MS" w:cs="Arial" w:hint="eastAsia"/>
        </w:rPr>
        <w:tab/>
      </w:r>
      <w:r>
        <w:rPr>
          <w:rFonts w:ascii="Arial Unicode MS" w:hAnsi="Arial Unicode MS" w:cs="Arial" w:hint="eastAsia"/>
        </w:rPr>
        <w:t>基金财产清算小组成员由基金管理人、基金托管人、符合《证券法》规定的注册会计师、律师以及中国证监会指定的人员组成。基金财产清算小组可以聘用必要的工作人员。</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4)</w:t>
      </w:r>
      <w:r>
        <w:rPr>
          <w:rFonts w:ascii="Arial Unicode MS" w:hAnsi="Arial Unicode MS" w:cs="Arial" w:hint="eastAsia"/>
        </w:rPr>
        <w:tab/>
      </w:r>
      <w:r>
        <w:rPr>
          <w:rFonts w:ascii="Arial Unicode MS" w:hAnsi="Arial Unicode MS" w:cs="Arial" w:hint="eastAsia"/>
        </w:rPr>
        <w:t>基金财产清算小组负责基金财产的保管、清理、估价、变现和分配。基金财产清算小组可以依法进行必要的民事活动。</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5)</w:t>
      </w:r>
      <w:r>
        <w:rPr>
          <w:rFonts w:ascii="Arial Unicode MS" w:hAnsi="Arial Unicode MS" w:cs="Arial" w:hint="eastAsia"/>
        </w:rPr>
        <w:tab/>
      </w:r>
      <w:r>
        <w:rPr>
          <w:rFonts w:ascii="Arial Unicode MS" w:hAnsi="Arial Unicode MS" w:cs="Arial" w:hint="eastAsia"/>
        </w:rPr>
        <w:t>在基金财产清算过程中，基金管理人和基金托管人应各自履行职责，继续忠实、勤勉、尽责地履行基金合同和托管协议规定的义务，维护基金份额持有人的合法权益。</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2.</w:t>
      </w:r>
      <w:r>
        <w:rPr>
          <w:rFonts w:ascii="Arial Unicode MS" w:hAnsi="Arial Unicode MS" w:cs="Arial" w:hint="eastAsia"/>
        </w:rPr>
        <w:tab/>
      </w:r>
      <w:r>
        <w:rPr>
          <w:rFonts w:ascii="Arial Unicode MS" w:hAnsi="Arial Unicode MS" w:cs="Arial" w:hint="eastAsia"/>
        </w:rPr>
        <w:t>基金财产清算程序</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基金合同终止，应当按法律法规和基金合同的有关规定对基金财产进行清算。基金财产清算程序主要包括：</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1</w:t>
      </w:r>
      <w:r>
        <w:rPr>
          <w:rFonts w:ascii="Arial Unicode MS" w:hAnsi="Arial Unicode MS" w:cs="Arial" w:hint="eastAsia"/>
        </w:rPr>
        <w:t>）基金合同终止情形出现时，由基金财产清算小组统一接管基金；</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2</w:t>
      </w:r>
      <w:r>
        <w:rPr>
          <w:rFonts w:ascii="Arial Unicode MS" w:hAnsi="Arial Unicode MS" w:cs="Arial" w:hint="eastAsia"/>
        </w:rPr>
        <w:t>）对基金财产和债权债务进行清理和确认；</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3</w:t>
      </w:r>
      <w:r>
        <w:rPr>
          <w:rFonts w:ascii="Arial Unicode MS" w:hAnsi="Arial Unicode MS" w:cs="Arial" w:hint="eastAsia"/>
        </w:rPr>
        <w:t>）对基金财产进行估值和变现；</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4</w:t>
      </w:r>
      <w:r>
        <w:rPr>
          <w:rFonts w:ascii="Arial Unicode MS" w:hAnsi="Arial Unicode MS" w:cs="Arial" w:hint="eastAsia"/>
        </w:rPr>
        <w:t>）制作清算报告；</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5</w:t>
      </w:r>
      <w:r>
        <w:rPr>
          <w:rFonts w:ascii="Arial Unicode MS" w:hAnsi="Arial Unicode MS" w:cs="Arial" w:hint="eastAsia"/>
        </w:rPr>
        <w:t>）聘请会计师事务所对清算报告进行外部审计，聘请律师事务所对清算报告出具法律意见书；</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6</w:t>
      </w:r>
      <w:r>
        <w:rPr>
          <w:rFonts w:ascii="Arial Unicode MS" w:hAnsi="Arial Unicode MS" w:cs="Arial" w:hint="eastAsia"/>
        </w:rPr>
        <w:t>）将清算报告报中国证监会备案并公告；</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7</w:t>
      </w:r>
      <w:r>
        <w:rPr>
          <w:rFonts w:ascii="Arial Unicode MS" w:hAnsi="Arial Unicode MS" w:cs="Arial" w:hint="eastAsia"/>
        </w:rPr>
        <w:t>）对基金剩余财产进行分配。</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3.</w:t>
      </w:r>
      <w:r>
        <w:rPr>
          <w:rFonts w:ascii="Arial Unicode MS" w:hAnsi="Arial Unicode MS" w:cs="Arial" w:hint="eastAsia"/>
        </w:rPr>
        <w:tab/>
      </w:r>
      <w:r>
        <w:rPr>
          <w:rFonts w:ascii="Arial Unicode MS" w:hAnsi="Arial Unicode MS" w:cs="Arial" w:hint="eastAsia"/>
        </w:rPr>
        <w:t>基金财产清算的期限为</w:t>
      </w:r>
      <w:r>
        <w:rPr>
          <w:rFonts w:ascii="Arial Unicode MS" w:hAnsi="Arial Unicode MS" w:cs="Arial" w:hint="eastAsia"/>
        </w:rPr>
        <w:t>6</w:t>
      </w:r>
      <w:r>
        <w:rPr>
          <w:rFonts w:ascii="Arial Unicode MS" w:hAnsi="Arial Unicode MS" w:cs="Arial" w:hint="eastAsia"/>
        </w:rPr>
        <w:t>个月，但因基金所持证券的流动性受到限制而不能及时变现的，清算期限可相应顺延。</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（四）清算费用</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lastRenderedPageBreak/>
        <w:t>清算费用是指基金财产清算小组在进行基金财产清算过程中发生的所有合理费用，清算费用由基金财产清算小组优先从基金剩余财产中支付。</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（五）基金财产按下列顺序清偿：</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1</w:t>
      </w:r>
      <w:r>
        <w:rPr>
          <w:rFonts w:ascii="Arial Unicode MS" w:hAnsi="Arial Unicode MS" w:cs="Arial" w:hint="eastAsia"/>
        </w:rPr>
        <w:t>）</w:t>
      </w:r>
      <w:r>
        <w:rPr>
          <w:rFonts w:ascii="Arial Unicode MS" w:hAnsi="Arial Unicode MS" w:cs="Arial" w:hint="eastAsia"/>
        </w:rPr>
        <w:tab/>
      </w:r>
      <w:r>
        <w:rPr>
          <w:rFonts w:ascii="Arial Unicode MS" w:hAnsi="Arial Unicode MS" w:cs="Arial" w:hint="eastAsia"/>
        </w:rPr>
        <w:t>支付清算费用；</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2</w:t>
      </w:r>
      <w:r>
        <w:rPr>
          <w:rFonts w:ascii="Arial Unicode MS" w:hAnsi="Arial Unicode MS" w:cs="Arial" w:hint="eastAsia"/>
        </w:rPr>
        <w:t>）</w:t>
      </w:r>
      <w:r>
        <w:rPr>
          <w:rFonts w:ascii="Arial Unicode MS" w:hAnsi="Arial Unicode MS" w:cs="Arial" w:hint="eastAsia"/>
        </w:rPr>
        <w:tab/>
      </w:r>
      <w:r>
        <w:rPr>
          <w:rFonts w:ascii="Arial Unicode MS" w:hAnsi="Arial Unicode MS" w:cs="Arial" w:hint="eastAsia"/>
        </w:rPr>
        <w:t>交纳所欠税款；</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3</w:t>
      </w:r>
      <w:r>
        <w:rPr>
          <w:rFonts w:ascii="Arial Unicode MS" w:hAnsi="Arial Unicode MS" w:cs="Arial" w:hint="eastAsia"/>
        </w:rPr>
        <w:t>）</w:t>
      </w:r>
      <w:r>
        <w:rPr>
          <w:rFonts w:ascii="Arial Unicode MS" w:hAnsi="Arial Unicode MS" w:cs="Arial" w:hint="eastAsia"/>
        </w:rPr>
        <w:tab/>
      </w:r>
      <w:r>
        <w:rPr>
          <w:rFonts w:ascii="Arial Unicode MS" w:hAnsi="Arial Unicode MS" w:cs="Arial" w:hint="eastAsia"/>
        </w:rPr>
        <w:t>清偿基金债务；</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4</w:t>
      </w:r>
      <w:r>
        <w:rPr>
          <w:rFonts w:ascii="Arial Unicode MS" w:hAnsi="Arial Unicode MS" w:cs="Arial" w:hint="eastAsia"/>
        </w:rPr>
        <w:t>）</w:t>
      </w:r>
      <w:r>
        <w:rPr>
          <w:rFonts w:ascii="Arial Unicode MS" w:hAnsi="Arial Unicode MS" w:cs="Arial" w:hint="eastAsia"/>
        </w:rPr>
        <w:tab/>
      </w:r>
      <w:r>
        <w:rPr>
          <w:rFonts w:ascii="Arial Unicode MS" w:hAnsi="Arial Unicode MS" w:cs="Arial" w:hint="eastAsia"/>
        </w:rPr>
        <w:t>按基金份额持有人持有的基金份额比例进行分配。</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基金财产未按前款</w:t>
      </w:r>
      <w:r>
        <w:rPr>
          <w:rFonts w:ascii="Arial Unicode MS" w:hAnsi="Arial Unicode MS" w:cs="Arial" w:hint="eastAsia"/>
        </w:rPr>
        <w:t>1</w:t>
      </w:r>
      <w:r>
        <w:rPr>
          <w:rFonts w:ascii="Arial Unicode MS" w:hAnsi="Arial Unicode MS" w:cs="Arial" w:hint="eastAsia"/>
        </w:rPr>
        <w:t>）</w:t>
      </w:r>
      <w:r>
        <w:rPr>
          <w:rFonts w:ascii="Arial Unicode MS" w:hAnsi="Arial Unicode MS" w:cs="Arial" w:hint="eastAsia"/>
        </w:rPr>
        <w:t>-3</w:t>
      </w:r>
      <w:r>
        <w:rPr>
          <w:rFonts w:ascii="Arial Unicode MS" w:hAnsi="Arial Unicode MS" w:cs="Arial" w:hint="eastAsia"/>
        </w:rPr>
        <w:t>）项规定清偿前，不分配给基金份额持有人。</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（六）基金财产清算的公告</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清算过程中的有关重大事项须及时公告；基金财产清算报告经符合《证券法》规定的会计师事务所审计，律师事务所出具法律意见书后，由基金财产清算小组报中国证监会备案并公告。基金财产清算公告于基金财产清算报告报中国证监会备案后</w:t>
      </w:r>
      <w:r>
        <w:rPr>
          <w:rFonts w:ascii="Arial Unicode MS" w:hAnsi="Arial Unicode MS" w:cs="Arial" w:hint="eastAsia"/>
        </w:rPr>
        <w:t>5</w:t>
      </w:r>
      <w:r>
        <w:rPr>
          <w:rFonts w:ascii="Arial Unicode MS" w:hAnsi="Arial Unicode MS" w:cs="Arial" w:hint="eastAsia"/>
        </w:rPr>
        <w:t>个工作日内由基金财产清算小组进行公告。</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（七）基金财产清算账册及文件的保存</w:t>
      </w:r>
    </w:p>
    <w:p w:rsidR="00D5306E" w:rsidRDefault="006D76AB">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基金财产清算账册及有关文件由基金托管人保存</w:t>
      </w:r>
      <w:r>
        <w:rPr>
          <w:rFonts w:ascii="Arial Unicode MS" w:hAnsi="Arial Unicode MS" w:cs="Arial" w:hint="eastAsia"/>
        </w:rPr>
        <w:t>20</w:t>
      </w:r>
      <w:r>
        <w:rPr>
          <w:rFonts w:ascii="Arial Unicode MS" w:hAnsi="Arial Unicode MS" w:cs="Arial" w:hint="eastAsia"/>
        </w:rPr>
        <w:t>年以上，法律法规或监管规则另有规定的从其规定。</w:t>
      </w:r>
    </w:p>
    <w:p w:rsidR="00D5306E" w:rsidRDefault="00D5306E">
      <w:pPr>
        <w:adjustRightInd w:val="0"/>
        <w:snapToGrid w:val="0"/>
        <w:spacing w:line="360" w:lineRule="auto"/>
        <w:ind w:firstLineChars="200" w:firstLine="420"/>
        <w:rPr>
          <w:rFonts w:ascii="Arial Unicode MS" w:hAnsi="Arial Unicode MS" w:cs="Arial"/>
        </w:rPr>
        <w:sectPr w:rsidR="00D5306E">
          <w:footerReference w:type="default" r:id="rId52"/>
          <w:footerReference w:type="first" r:id="rId53"/>
          <w:pgSz w:w="11906" w:h="16838"/>
          <w:pgMar w:top="1440" w:right="1800" w:bottom="1440" w:left="1800" w:header="851" w:footer="992" w:gutter="0"/>
          <w:pgNumType w:start="1"/>
          <w:cols w:space="720"/>
          <w:titlePg/>
          <w:docGrid w:linePitch="312"/>
        </w:sectPr>
      </w:pPr>
    </w:p>
    <w:p w:rsidR="00D5306E" w:rsidRDefault="006D76AB">
      <w:pPr>
        <w:pStyle w:val="11"/>
        <w:snapToGrid w:val="0"/>
        <w:spacing w:before="0" w:after="0" w:line="360" w:lineRule="auto"/>
        <w:rPr>
          <w:rFonts w:ascii="Arial Unicode MS" w:eastAsia="宋体" w:hAnsi="Arial Unicode MS" w:cs="Arial"/>
          <w:b/>
          <w:bCs/>
          <w:sz w:val="28"/>
          <w:szCs w:val="28"/>
        </w:rPr>
      </w:pPr>
      <w:bookmarkStart w:id="181" w:name="_Toc21073396"/>
      <w:bookmarkStart w:id="182" w:name="_Toc12357176"/>
      <w:bookmarkStart w:id="183" w:name="_Toc147463123"/>
      <w:bookmarkStart w:id="184" w:name="_Toc214873621"/>
      <w:bookmarkStart w:id="185" w:name="_Toc335232708"/>
      <w:bookmarkStart w:id="186" w:name="_Toc320887659"/>
      <w:bookmarkStart w:id="187" w:name="_Toc47622433"/>
      <w:bookmarkStart w:id="188" w:name="_Toc429490297"/>
      <w:bookmarkStart w:id="189" w:name="_Toc317088554"/>
      <w:bookmarkStart w:id="190" w:name="_Toc317088165"/>
      <w:bookmarkStart w:id="191" w:name="_Toc484165614"/>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Start w:id="192" w:name="_Toc47604325"/>
      <w:bookmarkEnd w:id="181"/>
      <w:bookmarkEnd w:id="182"/>
      <w:bookmarkEnd w:id="183"/>
      <w:r>
        <w:rPr>
          <w:rFonts w:ascii="Arial Unicode MS" w:eastAsia="宋体" w:hAnsi="Arial Unicode MS" w:cs="Arial"/>
          <w:b/>
          <w:bCs/>
          <w:sz w:val="28"/>
          <w:szCs w:val="28"/>
        </w:rPr>
        <w:t>对基金份额持有人的服务</w:t>
      </w:r>
      <w:bookmarkEnd w:id="184"/>
      <w:bookmarkEnd w:id="185"/>
      <w:bookmarkEnd w:id="186"/>
      <w:bookmarkEnd w:id="187"/>
      <w:bookmarkEnd w:id="188"/>
      <w:bookmarkEnd w:id="189"/>
      <w:bookmarkEnd w:id="190"/>
      <w:bookmarkEnd w:id="192"/>
    </w:p>
    <w:p w:rsidR="00D5306E" w:rsidRDefault="00D5306E">
      <w:pPr>
        <w:autoSpaceDE w:val="0"/>
        <w:autoSpaceDN w:val="0"/>
        <w:adjustRightInd w:val="0"/>
        <w:snapToGrid w:val="0"/>
        <w:spacing w:line="360" w:lineRule="auto"/>
        <w:ind w:firstLineChars="200" w:firstLine="420"/>
        <w:rPr>
          <w:szCs w:val="21"/>
        </w:rPr>
      </w:pPr>
    </w:p>
    <w:p w:rsidR="00D5306E" w:rsidRDefault="006D76AB">
      <w:pPr>
        <w:autoSpaceDE w:val="0"/>
        <w:autoSpaceDN w:val="0"/>
        <w:adjustRightInd w:val="0"/>
        <w:snapToGrid w:val="0"/>
        <w:spacing w:line="360" w:lineRule="auto"/>
        <w:ind w:firstLineChars="200" w:firstLine="420"/>
        <w:rPr>
          <w:rFonts w:ascii="Arial" w:hAnsi="Arial"/>
          <w:spacing w:val="8"/>
          <w:szCs w:val="21"/>
        </w:rPr>
      </w:pPr>
      <w:r>
        <w:rPr>
          <w:rFonts w:hint="eastAsia"/>
          <w:szCs w:val="21"/>
        </w:rPr>
        <w:t>对本基金份额持有人的服务主要由基金管理人、基金销售机构提供。</w:t>
      </w:r>
      <w:r>
        <w:rPr>
          <w:rFonts w:ascii="Arial" w:hAnsi="Arial" w:hint="eastAsia"/>
          <w:spacing w:val="8"/>
          <w:szCs w:val="21"/>
        </w:rPr>
        <w:t>基金管理人承诺为基金份额持有人提供一系列的服务，根据基金份额持有人的需要和市场的变化，有权增加或变更服务项目，主要服务内容如下：</w:t>
      </w:r>
    </w:p>
    <w:p w:rsidR="00D5306E" w:rsidRDefault="006D76AB">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一、基金份额持有人交易资料的寄送服务</w:t>
      </w:r>
    </w:p>
    <w:p w:rsidR="00D5306E" w:rsidRDefault="006D76AB">
      <w:pPr>
        <w:autoSpaceDE w:val="0"/>
        <w:autoSpaceDN w:val="0"/>
        <w:adjustRightInd w:val="0"/>
        <w:snapToGrid w:val="0"/>
        <w:spacing w:line="360" w:lineRule="auto"/>
        <w:ind w:firstLineChars="200" w:firstLine="452"/>
      </w:pPr>
      <w:r>
        <w:rPr>
          <w:rFonts w:ascii="Arial" w:hAnsi="Arial"/>
          <w:spacing w:val="8"/>
          <w:szCs w:val="21"/>
        </w:rPr>
        <w:t>1</w:t>
      </w:r>
      <w:r>
        <w:rPr>
          <w:rFonts w:ascii="Arial" w:hAnsi="Arial" w:hint="eastAsia"/>
          <w:spacing w:val="8"/>
          <w:szCs w:val="21"/>
        </w:rPr>
        <w:t>、</w:t>
      </w:r>
      <w:r>
        <w:rPr>
          <w:rFonts w:hint="eastAsia"/>
        </w:rPr>
        <w:t>交易确认单</w:t>
      </w:r>
    </w:p>
    <w:p w:rsidR="00D5306E" w:rsidRDefault="006D76AB">
      <w:pPr>
        <w:autoSpaceDE w:val="0"/>
        <w:autoSpaceDN w:val="0"/>
        <w:adjustRightInd w:val="0"/>
        <w:snapToGrid w:val="0"/>
        <w:spacing w:line="360" w:lineRule="auto"/>
        <w:ind w:firstLineChars="200" w:firstLine="452"/>
        <w:rPr>
          <w:rFonts w:hAnsi="宋体"/>
        </w:rPr>
      </w:pPr>
      <w:r>
        <w:rPr>
          <w:rFonts w:ascii="Arial" w:hAnsi="Arial" w:hint="eastAsia"/>
          <w:spacing w:val="8"/>
          <w:szCs w:val="21"/>
        </w:rPr>
        <w:t>基金合同生效后正常开放日，每次交易结束后，投资者可在</w:t>
      </w:r>
      <w:r>
        <w:rPr>
          <w:rFonts w:ascii="Arial" w:hAnsi="Arial"/>
          <w:spacing w:val="8"/>
          <w:szCs w:val="21"/>
        </w:rPr>
        <w:t>T+2</w:t>
      </w:r>
      <w:r>
        <w:rPr>
          <w:rFonts w:ascii="Arial" w:hAnsi="Arial" w:hint="eastAsia"/>
          <w:spacing w:val="8"/>
          <w:szCs w:val="21"/>
        </w:rPr>
        <w:t>个工作日后通过销售机构的</w:t>
      </w:r>
      <w:r>
        <w:rPr>
          <w:rFonts w:hint="eastAsia"/>
          <w:szCs w:val="21"/>
        </w:rPr>
        <w:t>网点柜台或以销售机构规定的其他方式</w:t>
      </w:r>
      <w:r>
        <w:rPr>
          <w:rFonts w:ascii="Arial" w:hAnsi="Arial" w:hint="eastAsia"/>
          <w:spacing w:val="8"/>
          <w:szCs w:val="21"/>
        </w:rPr>
        <w:t>查询和打印交易确认单，或在</w:t>
      </w:r>
      <w:r>
        <w:rPr>
          <w:rFonts w:ascii="Arial" w:hAnsi="Arial"/>
          <w:spacing w:val="8"/>
          <w:szCs w:val="21"/>
        </w:rPr>
        <w:t>T+1</w:t>
      </w:r>
      <w:r>
        <w:rPr>
          <w:rFonts w:ascii="Arial" w:hAnsi="Arial" w:hint="eastAsia"/>
          <w:spacing w:val="8"/>
          <w:szCs w:val="21"/>
        </w:rPr>
        <w:t>个工作日后通过博时一线通电话、博时网站查询交易确认情况。基金管理人不向投资者寄</w:t>
      </w:r>
      <w:r>
        <w:rPr>
          <w:rFonts w:hAnsi="宋体"/>
        </w:rPr>
        <w:t>电子</w:t>
      </w:r>
      <w:r>
        <w:rPr>
          <w:rFonts w:hAnsi="宋体" w:hint="eastAsia"/>
        </w:rPr>
        <w:t>对账单</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每月结束后，基金管理人向所有订阅电子邮件对账单的投资者发送电子邮件对账单。</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投资者可以登录基金管理人网站（</w:t>
      </w:r>
      <w:r>
        <w:rPr>
          <w:rFonts w:ascii="Arial" w:hAnsi="Arial"/>
          <w:spacing w:val="8"/>
          <w:szCs w:val="21"/>
        </w:rPr>
        <w:t>http://www.bosera.com</w:t>
      </w:r>
      <w:r>
        <w:rPr>
          <w:rFonts w:ascii="Arial" w:hAnsi="Arial" w:hint="eastAsia"/>
          <w:spacing w:val="8"/>
          <w:szCs w:val="21"/>
        </w:rPr>
        <w:t>）自助订阅；或发送“订阅电子对账单”邮件到客服邮箱</w:t>
      </w:r>
      <w:hyperlink r:id="rId54" w:history="1">
        <w:r>
          <w:rPr>
            <w:rFonts w:ascii="Arial" w:hAnsi="Arial"/>
            <w:spacing w:val="8"/>
            <w:szCs w:val="21"/>
          </w:rPr>
          <w:t>service@bosera.com</w:t>
        </w:r>
      </w:hyperlink>
      <w:r>
        <w:rPr>
          <w:rFonts w:ascii="Arial" w:hAnsi="Arial" w:hint="eastAsia"/>
          <w:spacing w:val="8"/>
          <w:szCs w:val="21"/>
        </w:rPr>
        <w:t>；也可直接拨打博时一线通</w:t>
      </w:r>
      <w:r>
        <w:rPr>
          <w:rFonts w:ascii="Arial" w:hAnsi="Arial"/>
          <w:spacing w:val="8"/>
          <w:szCs w:val="21"/>
        </w:rPr>
        <w:t>95105568</w:t>
      </w:r>
      <w:r>
        <w:rPr>
          <w:rFonts w:ascii="Arial" w:hAnsi="Arial" w:hint="eastAsia"/>
          <w:spacing w:val="8"/>
          <w:szCs w:val="21"/>
        </w:rPr>
        <w:t>（免长途话费）订阅。</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2</w:t>
      </w:r>
      <w:r>
        <w:rPr>
          <w:rFonts w:ascii="Arial" w:hAnsi="Arial" w:hint="eastAsia"/>
          <w:spacing w:val="8"/>
          <w:szCs w:val="21"/>
        </w:rPr>
        <w:t>、由于投资者提供的电子邮箱不详、错误、未及时变更或通讯故障、延误等原因有可能造成对账单无法按时或准确送达。因上述原因无法正常收取对账单的投资者，敬请及时通过本基金管理人网站，或拨打博时一线通客服电话查询、核对、变更您的预留联系方式。</w:t>
      </w:r>
    </w:p>
    <w:p w:rsidR="00D5306E" w:rsidRDefault="006D76AB">
      <w:pPr>
        <w:adjustRightInd w:val="0"/>
        <w:snapToGrid w:val="0"/>
        <w:spacing w:line="360" w:lineRule="auto"/>
        <w:ind w:firstLineChars="200" w:firstLine="420"/>
        <w:rPr>
          <w:rFonts w:ascii="Arial" w:hAnsi="Arial" w:cs="Arial"/>
          <w:b/>
          <w:bCs/>
          <w:szCs w:val="21"/>
        </w:rPr>
      </w:pPr>
      <w:r>
        <w:rPr>
          <w:rFonts w:ascii="Arial" w:hAnsi="Arial" w:cs="Arial" w:hint="eastAsia"/>
        </w:rPr>
        <w:t>二</w:t>
      </w:r>
      <w:r>
        <w:rPr>
          <w:rFonts w:ascii="Arial" w:hAnsi="Arial" w:cs="Arial" w:hint="eastAsia"/>
          <w:b/>
          <w:bCs/>
          <w:szCs w:val="21"/>
        </w:rPr>
        <w:t>、网上理财服务</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通过基金管理人网站，投资者可获得如下服务：</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1</w:t>
      </w:r>
      <w:r>
        <w:rPr>
          <w:rFonts w:ascii="Arial" w:hAnsi="Arial" w:hint="eastAsia"/>
          <w:spacing w:val="8"/>
          <w:szCs w:val="21"/>
        </w:rPr>
        <w:t>、自助开户交易</w:t>
      </w:r>
    </w:p>
    <w:p w:rsidR="00D5306E" w:rsidRDefault="006D76AB">
      <w:pPr>
        <w:autoSpaceDE w:val="0"/>
        <w:autoSpaceDN w:val="0"/>
        <w:adjustRightInd w:val="0"/>
        <w:snapToGrid w:val="0"/>
        <w:spacing w:line="360" w:lineRule="auto"/>
        <w:ind w:firstLineChars="200" w:firstLine="420"/>
      </w:pPr>
      <w:r>
        <w:rPr>
          <w:rFonts w:hint="eastAsia"/>
        </w:rPr>
        <w:t>投资者可</w:t>
      </w:r>
      <w:r>
        <w:rPr>
          <w:rFonts w:ascii="Arial" w:hAnsi="Arial" w:hint="eastAsia"/>
          <w:spacing w:val="8"/>
          <w:szCs w:val="21"/>
        </w:rPr>
        <w:t>登录</w:t>
      </w:r>
      <w:r>
        <w:rPr>
          <w:rFonts w:hint="eastAsia"/>
        </w:rPr>
        <w:t>基金管理人网站网上交易系统，</w:t>
      </w:r>
      <w:r>
        <w:rPr>
          <w:rFonts w:ascii="Arial" w:hAnsi="Arial" w:hint="eastAsia"/>
          <w:spacing w:val="8"/>
          <w:szCs w:val="21"/>
        </w:rPr>
        <w:t>与基金管理人达成电子交易的相关协议，接受基金管理人有关服务条款并办理相关手续后，即可自助开户并进行网上交易，如</w:t>
      </w:r>
      <w:r>
        <w:rPr>
          <w:rFonts w:hint="eastAsia"/>
        </w:rPr>
        <w:t>基金认</w:t>
      </w:r>
      <w:r>
        <w:t>/</w:t>
      </w:r>
      <w:r>
        <w:rPr>
          <w:rFonts w:hint="eastAsia"/>
        </w:rPr>
        <w:t>申购、定投、转换、赎回、赎回转申购及</w:t>
      </w:r>
      <w:r>
        <w:rPr>
          <w:rFonts w:ascii="Arial" w:hAnsi="Arial" w:hint="eastAsia"/>
          <w:spacing w:val="8"/>
          <w:szCs w:val="21"/>
        </w:rPr>
        <w:t>分红方式变更</w:t>
      </w:r>
      <w:r>
        <w:rPr>
          <w:rFonts w:hint="eastAsia"/>
        </w:rPr>
        <w:t>等。</w:t>
      </w:r>
      <w:r>
        <w:rPr>
          <w:rFonts w:ascii="Arial" w:hAnsi="Arial" w:hint="eastAsia"/>
          <w:spacing w:val="8"/>
          <w:szCs w:val="21"/>
        </w:rPr>
        <w:t>具体业务办理情况及业务规则请登录基金管理人网站查询。</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2</w:t>
      </w:r>
      <w:r>
        <w:rPr>
          <w:rFonts w:ascii="Arial" w:hAnsi="Arial" w:hint="eastAsia"/>
          <w:spacing w:val="8"/>
          <w:szCs w:val="21"/>
        </w:rPr>
        <w:t>、查询服务</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投资者可以通过基金管理人网站查询所持有基金的基金份额、交易记录等信息，同时可以修改基金账户信息等基本资料。</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3</w:t>
      </w:r>
      <w:r>
        <w:rPr>
          <w:rFonts w:ascii="Arial" w:hAnsi="Arial" w:hint="eastAsia"/>
          <w:spacing w:val="8"/>
          <w:szCs w:val="21"/>
        </w:rPr>
        <w:t>、信息资讯服务</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投资者可以利用基金管理人网站获取基金和基金管理人各类信息，包括基金法律文件、基金管理人最新动态、热点问题等。</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4</w:t>
      </w:r>
      <w:r>
        <w:rPr>
          <w:rFonts w:ascii="Arial" w:hAnsi="Arial" w:hint="eastAsia"/>
          <w:spacing w:val="8"/>
          <w:szCs w:val="21"/>
        </w:rPr>
        <w:t>、在线客服</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lastRenderedPageBreak/>
        <w:t>投资者可以通过基金管理人网站首页</w:t>
      </w:r>
      <w:r>
        <w:rPr>
          <w:rFonts w:ascii="Arial" w:hAnsi="Arial"/>
          <w:spacing w:val="8"/>
          <w:szCs w:val="21"/>
        </w:rPr>
        <w:t>“</w:t>
      </w:r>
      <w:r>
        <w:rPr>
          <w:rFonts w:ascii="Arial" w:hAnsi="Arial" w:hint="eastAsia"/>
          <w:spacing w:val="8"/>
          <w:szCs w:val="21"/>
        </w:rPr>
        <w:t>在线客服</w:t>
      </w:r>
      <w:r>
        <w:rPr>
          <w:rFonts w:ascii="Arial" w:hAnsi="Arial"/>
          <w:spacing w:val="8"/>
          <w:szCs w:val="21"/>
        </w:rPr>
        <w:t>”</w:t>
      </w:r>
      <w:r>
        <w:rPr>
          <w:rFonts w:ascii="Arial" w:hAnsi="Arial" w:hint="eastAsia"/>
          <w:spacing w:val="8"/>
          <w:szCs w:val="21"/>
        </w:rPr>
        <w:t>功能进行在线咨询。也可以在“您问我答”栏目中，直接提出有关本基金的问题和建议。</w:t>
      </w:r>
    </w:p>
    <w:p w:rsidR="00D5306E" w:rsidRDefault="006D76AB">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三、短信服务</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基金管理人向订制短信服务的基金份额持有人提供相应短信服务。</w:t>
      </w:r>
    </w:p>
    <w:p w:rsidR="00D5306E" w:rsidRDefault="006D76AB">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四、电子邮件服务</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基金管理人为投资者提供电子邮件方式的业务咨询、投诉受理、基金份额净值等服务。</w:t>
      </w:r>
    </w:p>
    <w:p w:rsidR="00D5306E" w:rsidRDefault="006D76AB">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五、手机理财服务</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投资者通过手机博时移动版直销网上交易系统（</w:t>
      </w:r>
      <w:r>
        <w:rPr>
          <w:rFonts w:ascii="Arial" w:hAnsi="Arial"/>
          <w:spacing w:val="8"/>
          <w:szCs w:val="21"/>
        </w:rPr>
        <w:t>http://m.bosera.com</w:t>
      </w:r>
      <w:r>
        <w:rPr>
          <w:rFonts w:ascii="Arial" w:hAnsi="Arial" w:hint="eastAsia"/>
          <w:spacing w:val="8"/>
          <w:szCs w:val="21"/>
        </w:rPr>
        <w:t>）和博时</w:t>
      </w:r>
      <w:r>
        <w:rPr>
          <w:rFonts w:ascii="Arial" w:hAnsi="Arial"/>
          <w:spacing w:val="8"/>
          <w:szCs w:val="21"/>
        </w:rPr>
        <w:t>App</w:t>
      </w:r>
      <w:r>
        <w:rPr>
          <w:rFonts w:ascii="Arial" w:hAnsi="Arial" w:hint="eastAsia"/>
          <w:spacing w:val="8"/>
          <w:szCs w:val="21"/>
        </w:rPr>
        <w:t>版直销网上交易系统，可以使用基金理财所需的基金交易、理财查询、账户管理、信息资讯等功能和服务。</w:t>
      </w:r>
    </w:p>
    <w:p w:rsidR="00D5306E" w:rsidRDefault="006D76AB">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六、信息订阅服务</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投资者可以通过基金管理人网站、客服中心提交信息订制的申请，基金管理人将以电子邮件、手机短信的形式定期为投资者发送所订制的信息。</w:t>
      </w:r>
    </w:p>
    <w:p w:rsidR="00D5306E" w:rsidRDefault="006D76AB">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七、电话理财服务</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投资者拨打博时一线通：</w:t>
      </w:r>
      <w:r>
        <w:rPr>
          <w:rFonts w:ascii="Arial" w:hAnsi="Arial"/>
          <w:spacing w:val="8"/>
          <w:szCs w:val="21"/>
        </w:rPr>
        <w:t>95105568</w:t>
      </w:r>
      <w:r>
        <w:rPr>
          <w:rFonts w:ascii="Arial" w:hAnsi="Arial" w:hint="eastAsia"/>
          <w:spacing w:val="8"/>
          <w:szCs w:val="21"/>
        </w:rPr>
        <w:t>（免长途话费）可享有投资理财交易的一站式综合服务：</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1</w:t>
      </w:r>
      <w:r>
        <w:rPr>
          <w:rFonts w:ascii="Arial" w:hAnsi="Arial" w:hint="eastAsia"/>
          <w:spacing w:val="8"/>
          <w:szCs w:val="21"/>
        </w:rPr>
        <w:t>、自助语音服务：基金管理人自助语音系统提供</w:t>
      </w:r>
      <w:r>
        <w:rPr>
          <w:rFonts w:ascii="Arial" w:hAnsi="Arial"/>
          <w:spacing w:val="8"/>
          <w:szCs w:val="21"/>
        </w:rPr>
        <w:t>7</w:t>
      </w:r>
      <w:r>
        <w:rPr>
          <w:rFonts w:ascii="Arial" w:hAnsi="Arial" w:hint="eastAsia"/>
          <w:spacing w:val="8"/>
          <w:szCs w:val="21"/>
        </w:rPr>
        <w:t>×</w:t>
      </w:r>
      <w:r>
        <w:rPr>
          <w:rFonts w:ascii="Arial" w:hAnsi="Arial"/>
          <w:spacing w:val="8"/>
          <w:szCs w:val="21"/>
        </w:rPr>
        <w:t>24</w:t>
      </w:r>
      <w:r>
        <w:rPr>
          <w:rFonts w:ascii="Arial" w:hAnsi="Arial" w:hint="eastAsia"/>
          <w:spacing w:val="8"/>
          <w:szCs w:val="21"/>
        </w:rPr>
        <w:t>小时的全天候服务，投资者可以自助查询账户余额、交易情况、基金净值等信息，也可以进行直销交易、密码修改、传真索取等操作。</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2</w:t>
      </w:r>
      <w:r>
        <w:rPr>
          <w:rFonts w:ascii="Arial" w:hAnsi="Arial" w:hint="eastAsia"/>
          <w:spacing w:val="8"/>
          <w:szCs w:val="21"/>
        </w:rPr>
        <w:t>、电话交易服务：基金管理人直销投资者可通过博时一线通电话交易平台在线办理基金的赎回、变更分红方式、撤单等直销交易业务。</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3</w:t>
      </w:r>
      <w:r>
        <w:rPr>
          <w:rFonts w:ascii="Arial" w:hAnsi="Arial" w:hint="eastAsia"/>
          <w:spacing w:val="8"/>
          <w:szCs w:val="21"/>
        </w:rPr>
        <w:t>、人工电话服务：投资者可以获得业务咨询、信息查询、资料修改、投诉受理、信息订制、账户诊断等服务。</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4</w:t>
      </w:r>
      <w:r>
        <w:rPr>
          <w:rFonts w:ascii="Arial" w:hAnsi="Arial" w:hint="eastAsia"/>
          <w:spacing w:val="8"/>
          <w:szCs w:val="21"/>
        </w:rPr>
        <w:t>、电话留言服务：非人工服务时间或线路繁忙时，投资者可进行电话留言。</w:t>
      </w:r>
    </w:p>
    <w:p w:rsidR="00D5306E" w:rsidRDefault="006D76AB">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八、基金管理人联系方式</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网址：</w:t>
      </w:r>
      <w:r>
        <w:rPr>
          <w:rFonts w:ascii="Arial" w:hAnsi="Arial"/>
          <w:spacing w:val="8"/>
          <w:szCs w:val="21"/>
        </w:rPr>
        <w:t xml:space="preserve"> www.bosera.com </w:t>
      </w:r>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电子信箱：</w:t>
      </w:r>
      <w:hyperlink r:id="rId55" w:history="1">
        <w:r>
          <w:rPr>
            <w:rFonts w:ascii="Arial" w:hAnsi="Arial"/>
            <w:spacing w:val="8"/>
            <w:szCs w:val="21"/>
          </w:rPr>
          <w:t>service@bosera.com</w:t>
        </w:r>
      </w:hyperlink>
    </w:p>
    <w:p w:rsidR="00D5306E" w:rsidRDefault="006D76AB">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博时一线通客服电话：</w:t>
      </w:r>
      <w:r>
        <w:rPr>
          <w:rFonts w:ascii="Arial" w:hAnsi="Arial"/>
          <w:spacing w:val="8"/>
          <w:szCs w:val="21"/>
        </w:rPr>
        <w:t>95105568</w:t>
      </w:r>
      <w:r>
        <w:rPr>
          <w:rFonts w:ascii="Arial" w:hAnsi="Arial" w:hint="eastAsia"/>
          <w:spacing w:val="8"/>
          <w:szCs w:val="21"/>
        </w:rPr>
        <w:t>（免长途话费）</w:t>
      </w:r>
    </w:p>
    <w:p w:rsidR="00D5306E" w:rsidRDefault="006D76AB">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九、如本招募说明书存在任何您</w:t>
      </w:r>
      <w:r>
        <w:rPr>
          <w:rFonts w:ascii="Arial" w:hAnsi="Arial" w:cs="Arial"/>
          <w:b/>
          <w:bCs/>
          <w:szCs w:val="21"/>
        </w:rPr>
        <w:t>/</w:t>
      </w:r>
      <w:r>
        <w:rPr>
          <w:rFonts w:ascii="Arial" w:hAnsi="Arial" w:cs="Arial" w:hint="eastAsia"/>
          <w:b/>
          <w:bCs/>
          <w:szCs w:val="21"/>
        </w:rPr>
        <w:t>贵机构无法理解的内容，请通过上述方式联系基金管理人。请确保投资前，您</w:t>
      </w:r>
      <w:r>
        <w:rPr>
          <w:rFonts w:ascii="Arial" w:hAnsi="Arial" w:cs="Arial"/>
          <w:b/>
          <w:bCs/>
          <w:szCs w:val="21"/>
        </w:rPr>
        <w:t>/</w:t>
      </w:r>
      <w:r>
        <w:rPr>
          <w:rFonts w:ascii="Arial" w:hAnsi="Arial" w:cs="Arial" w:hint="eastAsia"/>
          <w:b/>
          <w:bCs/>
          <w:szCs w:val="21"/>
        </w:rPr>
        <w:t>贵机构已经全面理解了本招募说明书。</w:t>
      </w:r>
    </w:p>
    <w:p w:rsidR="00D5306E" w:rsidRDefault="00D5306E">
      <w:pPr>
        <w:adjustRightInd w:val="0"/>
        <w:snapToGrid w:val="0"/>
        <w:spacing w:line="360" w:lineRule="auto"/>
        <w:ind w:firstLineChars="150" w:firstLine="316"/>
        <w:rPr>
          <w:rFonts w:ascii="Arial Unicode MS" w:hAnsi="Arial Unicode MS" w:cs="Arial"/>
          <w:b/>
          <w:kern w:val="0"/>
          <w:szCs w:val="21"/>
        </w:rPr>
        <w:sectPr w:rsidR="00D5306E">
          <w:footerReference w:type="default" r:id="rId56"/>
          <w:footerReference w:type="first" r:id="rId57"/>
          <w:pgSz w:w="11906" w:h="16838"/>
          <w:pgMar w:top="1440" w:right="1800" w:bottom="1440" w:left="1800" w:header="851" w:footer="992" w:gutter="0"/>
          <w:pgNumType w:start="1"/>
          <w:cols w:space="720"/>
          <w:docGrid w:linePitch="312"/>
        </w:sectPr>
      </w:pPr>
      <w:bookmarkStart w:id="193" w:name="_Toc214873622"/>
      <w:bookmarkStart w:id="194" w:name="_Toc335232709"/>
      <w:bookmarkStart w:id="195" w:name="_Toc320887660"/>
      <w:bookmarkStart w:id="196" w:name="_Toc317088166"/>
      <w:bookmarkStart w:id="197" w:name="_Toc317088555"/>
      <w:bookmarkStart w:id="198" w:name="_Toc530223198"/>
    </w:p>
    <w:p w:rsidR="00D5306E" w:rsidRDefault="006D76AB">
      <w:pPr>
        <w:pStyle w:val="11"/>
        <w:snapToGrid w:val="0"/>
        <w:spacing w:before="0" w:after="0" w:line="360" w:lineRule="auto"/>
        <w:ind w:firstLineChars="150" w:firstLine="422"/>
        <w:rPr>
          <w:rFonts w:ascii="Arial Unicode MS" w:eastAsia="宋体" w:hAnsi="Arial Unicode MS" w:cs="Arial"/>
          <w:b/>
          <w:bCs/>
          <w:sz w:val="28"/>
          <w:szCs w:val="28"/>
        </w:rPr>
      </w:pPr>
      <w:bookmarkStart w:id="199" w:name="_Toc429490298"/>
      <w:bookmarkStart w:id="200" w:name="_Toc47604326"/>
      <w:bookmarkStart w:id="201" w:name="_Toc47622434"/>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招募说明书</w:t>
      </w:r>
      <w:r>
        <w:rPr>
          <w:rFonts w:ascii="Arial Unicode MS" w:eastAsia="宋体" w:hAnsi="Arial Unicode MS" w:cs="Arial" w:hint="eastAsia"/>
          <w:b/>
          <w:bCs/>
          <w:sz w:val="28"/>
          <w:szCs w:val="28"/>
        </w:rPr>
        <w:t>的</w:t>
      </w:r>
      <w:r>
        <w:rPr>
          <w:rFonts w:ascii="Arial Unicode MS" w:eastAsia="宋体" w:hAnsi="Arial Unicode MS" w:cs="Arial"/>
          <w:b/>
          <w:bCs/>
          <w:sz w:val="28"/>
          <w:szCs w:val="28"/>
        </w:rPr>
        <w:t>存放及查阅方式</w:t>
      </w:r>
      <w:bookmarkEnd w:id="193"/>
      <w:bookmarkEnd w:id="194"/>
      <w:bookmarkEnd w:id="195"/>
      <w:bookmarkEnd w:id="196"/>
      <w:bookmarkEnd w:id="197"/>
      <w:bookmarkEnd w:id="198"/>
      <w:bookmarkEnd w:id="199"/>
      <w:bookmarkEnd w:id="200"/>
      <w:bookmarkEnd w:id="201"/>
    </w:p>
    <w:p w:rsidR="00D5306E" w:rsidRDefault="00D5306E">
      <w:pPr>
        <w:spacing w:line="360" w:lineRule="auto"/>
        <w:rPr>
          <w:rFonts w:ascii="Arial Unicode MS" w:hAnsi="Arial Unicode MS"/>
        </w:rPr>
      </w:pPr>
    </w:p>
    <w:p w:rsidR="00D5306E" w:rsidRDefault="006D76AB">
      <w:pPr>
        <w:widowControl/>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招募说明书公布后，应当分别置备于基金管理人、基金托管人的住所，投资人可在办公时间查阅；投资人在支付工本费后，可在合理时间内取得上述文件复制件或复印件。对投资人按此种方式所获得的文件及其复印件，基金管理人保证文本的内容与所公告的内容完全一致。</w:t>
      </w:r>
    </w:p>
    <w:p w:rsidR="00D5306E" w:rsidRDefault="006D76AB">
      <w:pPr>
        <w:widowControl/>
        <w:snapToGrid w:val="0"/>
        <w:spacing w:line="360" w:lineRule="auto"/>
        <w:ind w:firstLineChars="200" w:firstLine="420"/>
        <w:rPr>
          <w:rFonts w:ascii="Arial Unicode MS" w:hAnsi="Arial Unicode MS" w:cs="Arial"/>
          <w:kern w:val="0"/>
          <w:szCs w:val="21"/>
        </w:rPr>
        <w:sectPr w:rsidR="00D5306E">
          <w:headerReference w:type="first" r:id="rId58"/>
          <w:footerReference w:type="first" r:id="rId59"/>
          <w:pgSz w:w="11906" w:h="16838"/>
          <w:pgMar w:top="1440" w:right="1800" w:bottom="1440" w:left="1800" w:header="851" w:footer="992" w:gutter="0"/>
          <w:pgNumType w:start="1"/>
          <w:cols w:space="720"/>
          <w:docGrid w:linePitch="312"/>
        </w:sectPr>
      </w:pPr>
      <w:r>
        <w:rPr>
          <w:rFonts w:ascii="Arial Unicode MS" w:hAnsi="Arial Unicode MS" w:cs="Arial"/>
          <w:kern w:val="0"/>
          <w:szCs w:val="21"/>
        </w:rPr>
        <w:t>投资人还可以直接登录基金管理人的网站（</w:t>
      </w:r>
      <w:r>
        <w:rPr>
          <w:rFonts w:ascii="Arial Unicode MS" w:hAnsi="Arial Unicode MS" w:cs="Arial"/>
          <w:kern w:val="0"/>
          <w:szCs w:val="21"/>
        </w:rPr>
        <w:t>www.bosera.com</w:t>
      </w:r>
      <w:r>
        <w:rPr>
          <w:rFonts w:ascii="Arial Unicode MS" w:hAnsi="Arial Unicode MS" w:cs="Arial"/>
          <w:kern w:val="0"/>
          <w:szCs w:val="21"/>
        </w:rPr>
        <w:t>）查阅和下载招募说明书。</w:t>
      </w:r>
      <w:bookmarkStart w:id="202" w:name="_Toc530223199"/>
      <w:bookmarkStart w:id="203" w:name="_Toc429490299"/>
      <w:bookmarkStart w:id="204" w:name="_Toc525454771"/>
      <w:bookmarkStart w:id="205" w:name="_Toc214873623"/>
      <w:bookmarkStart w:id="206" w:name="_Toc317088556"/>
      <w:bookmarkStart w:id="207" w:name="_Toc335232710"/>
      <w:bookmarkStart w:id="208" w:name="_Toc317088167"/>
      <w:bookmarkStart w:id="209" w:name="_Toc320887661"/>
    </w:p>
    <w:p w:rsidR="00D5306E" w:rsidRDefault="006D76AB">
      <w:pPr>
        <w:pStyle w:val="11"/>
        <w:snapToGrid w:val="0"/>
        <w:spacing w:before="0" w:after="0" w:line="360" w:lineRule="auto"/>
        <w:ind w:firstLineChars="150" w:firstLine="422"/>
        <w:rPr>
          <w:rFonts w:ascii="Arial Unicode MS" w:eastAsia="宋体" w:hAnsi="Arial Unicode MS" w:cs="Arial"/>
          <w:b/>
          <w:bCs/>
          <w:sz w:val="28"/>
          <w:szCs w:val="28"/>
        </w:rPr>
      </w:pPr>
      <w:bookmarkStart w:id="210" w:name="_Toc47622435"/>
      <w:bookmarkStart w:id="211" w:name="_Toc47604327"/>
      <w:bookmarkEnd w:id="191"/>
      <w:bookmarkEnd w:id="202"/>
      <w:bookmarkEnd w:id="203"/>
      <w:bookmarkEnd w:id="204"/>
      <w:bookmarkEnd w:id="205"/>
      <w:bookmarkEnd w:id="206"/>
      <w:bookmarkEnd w:id="207"/>
      <w:bookmarkEnd w:id="208"/>
      <w:bookmarkEnd w:id="209"/>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备查文件</w:t>
      </w:r>
      <w:bookmarkEnd w:id="210"/>
      <w:bookmarkEnd w:id="211"/>
    </w:p>
    <w:p w:rsidR="00D5306E" w:rsidRDefault="00D5306E">
      <w:pPr>
        <w:spacing w:line="360" w:lineRule="auto"/>
        <w:rPr>
          <w:rFonts w:ascii="Arial Unicode MS" w:hAnsi="Arial Unicode MS"/>
        </w:rPr>
      </w:pP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以下备查文件存放在基金管理人的办公场所，在办公时间可供免费查阅。</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（一）中国证监会</w:t>
      </w:r>
      <w:r>
        <w:rPr>
          <w:rFonts w:ascii="Arial Unicode MS" w:hAnsi="Arial Unicode MS" w:cs="Arial" w:hint="eastAsia"/>
          <w:szCs w:val="21"/>
        </w:rPr>
        <w:t>准予</w:t>
      </w:r>
      <w:r>
        <w:rPr>
          <w:rFonts w:ascii="Arial Unicode MS" w:hAnsi="Arial Unicode MS" w:cs="Arial"/>
          <w:szCs w:val="21"/>
        </w:rPr>
        <w:t>博时成长领航灵活配置混合型证券投资基金</w:t>
      </w:r>
      <w:r>
        <w:rPr>
          <w:rFonts w:ascii="Arial Unicode MS" w:hAnsi="Arial Unicode MS" w:cs="Arial" w:hint="eastAsia"/>
          <w:szCs w:val="21"/>
        </w:rPr>
        <w:t>募集</w:t>
      </w:r>
      <w:r>
        <w:rPr>
          <w:rFonts w:ascii="Arial Unicode MS" w:hAnsi="Arial Unicode MS" w:cs="Arial"/>
          <w:szCs w:val="21"/>
        </w:rPr>
        <w:t>的文件</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（二）《博时成长领航灵活配置混合型证券投资基金基金合同》</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三</w:t>
      </w:r>
      <w:r>
        <w:rPr>
          <w:rFonts w:ascii="Arial Unicode MS" w:hAnsi="Arial Unicode MS" w:cs="Arial"/>
          <w:szCs w:val="21"/>
        </w:rPr>
        <w:t>）《博时成长领航灵活配置混合型证券投资基金托管协议》</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四</w:t>
      </w:r>
      <w:r>
        <w:rPr>
          <w:rFonts w:ascii="Arial Unicode MS" w:hAnsi="Arial Unicode MS" w:cs="Arial"/>
          <w:szCs w:val="21"/>
        </w:rPr>
        <w:t>）基金管理人业务资格批件、营业执照</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五</w:t>
      </w:r>
      <w:r>
        <w:rPr>
          <w:rFonts w:ascii="Arial Unicode MS" w:hAnsi="Arial Unicode MS" w:cs="Arial"/>
          <w:szCs w:val="21"/>
        </w:rPr>
        <w:t>）基金托管人业务资格批件、营业执照</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六</w:t>
      </w:r>
      <w:r>
        <w:rPr>
          <w:rFonts w:ascii="Arial Unicode MS" w:hAnsi="Arial Unicode MS" w:cs="Arial"/>
          <w:szCs w:val="21"/>
        </w:rPr>
        <w:t>）关于申请募集博时成长领航灵活配置混合型证券投资基金之法律意见</w:t>
      </w:r>
    </w:p>
    <w:p w:rsidR="00D5306E" w:rsidRDefault="006D76AB">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（七）中国证监会要求的其他文件</w:t>
      </w:r>
    </w:p>
    <w:p w:rsidR="00D5306E" w:rsidRDefault="006D76AB">
      <w:pPr>
        <w:autoSpaceDE w:val="0"/>
        <w:autoSpaceDN w:val="0"/>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szCs w:val="21"/>
        </w:rPr>
        <w:t>查阅方式：投资者可在营业时间免费查阅，也可按工本费购买复印件。</w:t>
      </w:r>
    </w:p>
    <w:p w:rsidR="00D5306E" w:rsidRDefault="00D5306E">
      <w:pPr>
        <w:spacing w:line="360" w:lineRule="auto"/>
        <w:ind w:right="525"/>
        <w:rPr>
          <w:rFonts w:ascii="Arial Unicode MS" w:hAnsi="Arial Unicode MS" w:cs="Arial"/>
          <w:b/>
          <w:szCs w:val="21"/>
        </w:rPr>
      </w:pPr>
    </w:p>
    <w:p w:rsidR="00D5306E" w:rsidRDefault="00D5306E">
      <w:pPr>
        <w:autoSpaceDE w:val="0"/>
        <w:autoSpaceDN w:val="0"/>
        <w:adjustRightInd w:val="0"/>
        <w:snapToGrid w:val="0"/>
        <w:spacing w:line="360" w:lineRule="auto"/>
        <w:ind w:firstLineChars="200" w:firstLine="420"/>
        <w:jc w:val="right"/>
        <w:rPr>
          <w:rFonts w:ascii="Arial Unicode MS" w:hAnsi="Arial Unicode MS" w:cs="Arial"/>
          <w:szCs w:val="21"/>
        </w:rPr>
      </w:pPr>
    </w:p>
    <w:p w:rsidR="00D5306E" w:rsidRDefault="006D76AB">
      <w:pPr>
        <w:autoSpaceDE w:val="0"/>
        <w:autoSpaceDN w:val="0"/>
        <w:adjustRightInd w:val="0"/>
        <w:snapToGrid w:val="0"/>
        <w:spacing w:line="360" w:lineRule="auto"/>
        <w:ind w:firstLineChars="200" w:firstLine="420"/>
        <w:jc w:val="right"/>
        <w:rPr>
          <w:rFonts w:ascii="Arial Unicode MS" w:hAnsi="Arial Unicode MS" w:cs="Arial"/>
          <w:szCs w:val="21"/>
        </w:rPr>
      </w:pPr>
      <w:r>
        <w:rPr>
          <w:rFonts w:ascii="Arial Unicode MS" w:hAnsi="Arial Unicode MS" w:cs="Arial" w:hint="eastAsia"/>
          <w:szCs w:val="21"/>
        </w:rPr>
        <w:t>博时基金管理有限公司</w:t>
      </w:r>
    </w:p>
    <w:p w:rsidR="00D5306E" w:rsidRDefault="006D76AB">
      <w:pPr>
        <w:wordWrap w:val="0"/>
        <w:autoSpaceDE w:val="0"/>
        <w:autoSpaceDN w:val="0"/>
        <w:adjustRightInd w:val="0"/>
        <w:snapToGrid w:val="0"/>
        <w:spacing w:line="360" w:lineRule="auto"/>
        <w:ind w:firstLineChars="200" w:firstLine="420"/>
        <w:jc w:val="right"/>
        <w:rPr>
          <w:rFonts w:ascii="Arial Unicode MS" w:hAnsi="Arial Unicode MS" w:cs="Arial"/>
          <w:szCs w:val="21"/>
        </w:rPr>
      </w:pPr>
      <w:r>
        <w:rPr>
          <w:rFonts w:ascii="Arial Unicode MS" w:hAnsi="Arial Unicode MS" w:cs="Arial" w:hint="eastAsia"/>
          <w:szCs w:val="21"/>
        </w:rPr>
        <w:t>20</w:t>
      </w:r>
      <w:r w:rsidR="00B859B2">
        <w:rPr>
          <w:rFonts w:ascii="Arial Unicode MS" w:hAnsi="Arial Unicode MS" w:cs="Arial" w:hint="eastAsia"/>
          <w:szCs w:val="21"/>
        </w:rPr>
        <w:t>20</w:t>
      </w:r>
      <w:r>
        <w:rPr>
          <w:rFonts w:ascii="Arial Unicode MS" w:hAnsi="Arial Unicode MS" w:cs="Arial" w:hint="eastAsia"/>
          <w:szCs w:val="21"/>
        </w:rPr>
        <w:t>年</w:t>
      </w:r>
      <w:r w:rsidR="00B859B2">
        <w:rPr>
          <w:rFonts w:ascii="Arial Unicode MS" w:hAnsi="Arial Unicode MS" w:cs="Arial" w:hint="eastAsia"/>
          <w:szCs w:val="21"/>
        </w:rPr>
        <w:t>12</w:t>
      </w:r>
      <w:r>
        <w:rPr>
          <w:rFonts w:ascii="Arial Unicode MS" w:hAnsi="Arial Unicode MS" w:cs="Arial" w:hint="eastAsia"/>
          <w:szCs w:val="21"/>
        </w:rPr>
        <w:t>月</w:t>
      </w:r>
      <w:r w:rsidR="00542E19">
        <w:rPr>
          <w:rFonts w:ascii="Arial Unicode MS" w:hAnsi="Arial Unicode MS" w:cs="Arial" w:hint="eastAsia"/>
          <w:szCs w:val="21"/>
        </w:rPr>
        <w:t>2</w:t>
      </w:r>
      <w:r w:rsidR="00542E19">
        <w:rPr>
          <w:rFonts w:ascii="Arial Unicode MS" w:hAnsi="Arial Unicode MS" w:cs="Arial"/>
          <w:szCs w:val="21"/>
        </w:rPr>
        <w:t>5</w:t>
      </w:r>
      <w:r>
        <w:rPr>
          <w:rFonts w:ascii="Arial Unicode MS" w:hAnsi="Arial Unicode MS" w:cs="Arial" w:hint="eastAsia"/>
          <w:szCs w:val="21"/>
        </w:rPr>
        <w:t>日</w:t>
      </w:r>
    </w:p>
    <w:p w:rsidR="00D5306E" w:rsidRDefault="00D5306E">
      <w:pPr>
        <w:wordWrap w:val="0"/>
        <w:autoSpaceDE w:val="0"/>
        <w:autoSpaceDN w:val="0"/>
        <w:adjustRightInd w:val="0"/>
        <w:snapToGrid w:val="0"/>
        <w:spacing w:line="360" w:lineRule="auto"/>
        <w:ind w:firstLineChars="200" w:firstLine="420"/>
        <w:jc w:val="right"/>
        <w:rPr>
          <w:rFonts w:ascii="Arial Unicode MS" w:hAnsi="Arial Unicode MS" w:cs="Arial"/>
          <w:szCs w:val="21"/>
        </w:rPr>
      </w:pPr>
    </w:p>
    <w:sectPr w:rsidR="00D5306E">
      <w:headerReference w:type="first" r:id="rId60"/>
      <w:footerReference w:type="first" r:id="rId61"/>
      <w:pgSz w:w="11906" w:h="16838"/>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76C" w:rsidRDefault="0054076C">
      <w:r>
        <w:separator/>
      </w:r>
    </w:p>
  </w:endnote>
  <w:endnote w:type="continuationSeparator" w:id="0">
    <w:p w:rsidR="0054076C" w:rsidRDefault="0054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楷体_GB2312">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rPr>
        <w:rFonts w:ascii="Arial" w:hAnsi="Arial" w:cs="Arial"/>
        <w:sz w:val="21"/>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4-</w:t>
    </w:r>
    <w:r>
      <w:fldChar w:fldCharType="begin"/>
    </w:r>
    <w:r>
      <w:instrText>PAGE   \* MERGEFORMAT</w:instrText>
    </w:r>
    <w:r>
      <w:fldChar w:fldCharType="separate"/>
    </w:r>
    <w:r w:rsidR="004A72A4" w:rsidRPr="004A72A4">
      <w:rPr>
        <w:noProof/>
        <w:lang w:val="zh-CN"/>
      </w:rPr>
      <w:t>5</w:t>
    </w:r>
    <w:r>
      <w:fldChar w:fldCharType="end"/>
    </w:r>
  </w:p>
  <w:p w:rsidR="006D76AB" w:rsidRDefault="006D76AB">
    <w:pPr>
      <w:pStyle w:val="afa"/>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5-</w:t>
    </w:r>
    <w:r>
      <w:fldChar w:fldCharType="begin"/>
    </w:r>
    <w:r>
      <w:instrText>PAGE   \* MERGEFORMAT</w:instrText>
    </w:r>
    <w:r>
      <w:fldChar w:fldCharType="separate"/>
    </w:r>
    <w:r w:rsidR="004A72A4" w:rsidRPr="004A72A4">
      <w:rPr>
        <w:noProof/>
        <w:lang w:val="zh-CN"/>
      </w:rPr>
      <w:t>1</w:t>
    </w:r>
    <w:r>
      <w:fldChar w:fldCharType="end"/>
    </w:r>
  </w:p>
  <w:p w:rsidR="006D76AB" w:rsidRDefault="006D76AB">
    <w:pPr>
      <w:pStyle w:val="afa"/>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5-</w:t>
    </w:r>
    <w:r>
      <w:fldChar w:fldCharType="begin"/>
    </w:r>
    <w:r>
      <w:instrText>PAGE   \* MERGEFORMAT</w:instrText>
    </w:r>
    <w:r>
      <w:fldChar w:fldCharType="separate"/>
    </w:r>
    <w:r w:rsidR="004A72A4" w:rsidRPr="004A72A4">
      <w:rPr>
        <w:noProof/>
        <w:lang w:val="zh-CN"/>
      </w:rPr>
      <w:t>2</w:t>
    </w:r>
    <w:r>
      <w:fldChar w:fldCharType="end"/>
    </w:r>
  </w:p>
  <w:p w:rsidR="006D76AB" w:rsidRDefault="006D76AB">
    <w:pPr>
      <w:pStyle w:val="afa"/>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6-</w:t>
    </w:r>
    <w:r>
      <w:fldChar w:fldCharType="begin"/>
    </w:r>
    <w:r>
      <w:instrText>PAGE   \* MERGEFORMAT</w:instrText>
    </w:r>
    <w:r>
      <w:fldChar w:fldCharType="separate"/>
    </w:r>
    <w:r w:rsidR="004A72A4" w:rsidRPr="004A72A4">
      <w:rPr>
        <w:noProof/>
        <w:lang w:val="zh-CN"/>
      </w:rPr>
      <w:t>1</w:t>
    </w:r>
    <w:r>
      <w:fldChar w:fldCharType="end"/>
    </w:r>
  </w:p>
  <w:p w:rsidR="006D76AB" w:rsidRDefault="006D76AB">
    <w:pPr>
      <w:pStyle w:val="afa"/>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6-</w:t>
    </w:r>
    <w:r>
      <w:fldChar w:fldCharType="begin"/>
    </w:r>
    <w:r>
      <w:instrText>PAGE   \* MERGEFORMAT</w:instrText>
    </w:r>
    <w:r>
      <w:fldChar w:fldCharType="separate"/>
    </w:r>
    <w:r>
      <w:rPr>
        <w:lang w:val="zh-CN"/>
      </w:rPr>
      <w:t>1</w:t>
    </w:r>
    <w:r>
      <w:fldChar w:fldCharType="end"/>
    </w:r>
  </w:p>
  <w:p w:rsidR="006D76AB" w:rsidRDefault="006D76AB">
    <w:pPr>
      <w:pStyle w:val="afa"/>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7-</w:t>
    </w:r>
    <w:r>
      <w:fldChar w:fldCharType="begin"/>
    </w:r>
    <w:r>
      <w:instrText>PAGE   \* MERGEFORMAT</w:instrText>
    </w:r>
    <w:r>
      <w:fldChar w:fldCharType="separate"/>
    </w:r>
    <w:r w:rsidR="004A72A4" w:rsidRPr="004A72A4">
      <w:rPr>
        <w:noProof/>
        <w:lang w:val="zh-CN"/>
      </w:rPr>
      <w:t>1</w:t>
    </w:r>
    <w:r>
      <w:fldChar w:fldCharType="end"/>
    </w:r>
  </w:p>
  <w:p w:rsidR="006D76AB" w:rsidRDefault="006D76AB">
    <w:pPr>
      <w:pStyle w:val="afa"/>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8-</w:t>
    </w:r>
    <w:r>
      <w:fldChar w:fldCharType="begin"/>
    </w:r>
    <w:r>
      <w:instrText>PAGE   \* MERGEFORMAT</w:instrText>
    </w:r>
    <w:r>
      <w:fldChar w:fldCharType="separate"/>
    </w:r>
    <w:r w:rsidR="004A72A4" w:rsidRPr="004A72A4">
      <w:rPr>
        <w:noProof/>
        <w:lang w:val="zh-CN"/>
      </w:rPr>
      <w:t>5</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8-</w:t>
    </w:r>
    <w:r>
      <w:fldChar w:fldCharType="begin"/>
    </w:r>
    <w:r>
      <w:instrText>PAGE   \* MERGEFORMAT</w:instrText>
    </w:r>
    <w:r>
      <w:fldChar w:fldCharType="separate"/>
    </w:r>
    <w:r>
      <w:rPr>
        <w:lang w:val="zh-CN"/>
      </w:rPr>
      <w:t>1</w:t>
    </w:r>
    <w:r>
      <w:fldChar w:fldCharType="end"/>
    </w:r>
  </w:p>
  <w:p w:rsidR="006D76AB" w:rsidRDefault="006D76AB">
    <w:pPr>
      <w:pStyle w:val="afa"/>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9-</w:t>
    </w:r>
    <w:r>
      <w:fldChar w:fldCharType="begin"/>
    </w:r>
    <w:r>
      <w:instrText>PAGE   \* MERGEFORMAT</w:instrText>
    </w:r>
    <w:r>
      <w:fldChar w:fldCharType="separate"/>
    </w:r>
    <w:r w:rsidR="004A72A4" w:rsidRPr="004A72A4">
      <w:rPr>
        <w:noProof/>
        <w:lang w:val="zh-CN"/>
      </w:rPr>
      <w:t>10</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8-</w:t>
    </w:r>
    <w:r>
      <w:fldChar w:fldCharType="begin"/>
    </w:r>
    <w:r>
      <w:instrText>PAGE   \* MERGEFORMAT</w:instrText>
    </w:r>
    <w:r>
      <w:fldChar w:fldCharType="separate"/>
    </w:r>
    <w:r>
      <w:rPr>
        <w:lang w:val="zh-CN"/>
      </w:rPr>
      <w:t>1</w:t>
    </w:r>
    <w:r>
      <w:fldChar w:fldCharType="end"/>
    </w:r>
  </w:p>
  <w:p w:rsidR="006D76AB" w:rsidRDefault="006D76AB">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fldChar w:fldCharType="begin"/>
    </w:r>
    <w:r>
      <w:instrText xml:space="preserve"> PAGE   \* MERGEFORMAT </w:instrText>
    </w:r>
    <w:r>
      <w:fldChar w:fldCharType="separate"/>
    </w:r>
    <w:r w:rsidR="004A72A4" w:rsidRPr="004A72A4">
      <w:rPr>
        <w:noProof/>
        <w:lang w:val="zh-CN"/>
      </w:rPr>
      <w:t>4</w:t>
    </w:r>
    <w:r>
      <w:fldChar w:fldCharType="end"/>
    </w:r>
  </w:p>
  <w:p w:rsidR="006D76AB" w:rsidRDefault="006D76AB">
    <w:pPr>
      <w:pStyle w:val="afa"/>
      <w:jc w:val="center"/>
      <w:rPr>
        <w:rFonts w:ascii="Arial" w:hAnsi="Arial" w:cs="Arial"/>
        <w:sz w:val="21"/>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10-</w:t>
    </w:r>
    <w:r>
      <w:fldChar w:fldCharType="begin"/>
    </w:r>
    <w:r>
      <w:instrText>PAGE   \* MERGEFORMAT</w:instrText>
    </w:r>
    <w:r>
      <w:fldChar w:fldCharType="separate"/>
    </w:r>
    <w:r w:rsidR="004A72A4" w:rsidRPr="004A72A4">
      <w:rPr>
        <w:noProof/>
        <w:lang w:val="zh-CN"/>
      </w:rPr>
      <w:t>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10-</w:t>
    </w:r>
    <w:r>
      <w:fldChar w:fldCharType="begin"/>
    </w:r>
    <w:r>
      <w:instrText>PAGE   \* MERGEFORMAT</w:instrText>
    </w:r>
    <w:r>
      <w:fldChar w:fldCharType="separate"/>
    </w:r>
    <w:r>
      <w:rPr>
        <w:lang w:val="zh-CN"/>
      </w:rPr>
      <w:t>1</w:t>
    </w:r>
    <w:r>
      <w:fldChar w:fldCharType="end"/>
    </w:r>
  </w:p>
  <w:p w:rsidR="006D76AB" w:rsidRDefault="006D76AB">
    <w:pPr>
      <w:pStyle w:val="afa"/>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11-</w:t>
    </w:r>
    <w:r>
      <w:fldChar w:fldCharType="begin"/>
    </w:r>
    <w:r>
      <w:instrText>PAGE   \* MERGEFORMAT</w:instrText>
    </w:r>
    <w:r>
      <w:fldChar w:fldCharType="separate"/>
    </w:r>
    <w:r w:rsidR="004A72A4" w:rsidRPr="004A72A4">
      <w:rPr>
        <w:noProof/>
        <w:lang w:val="zh-CN"/>
      </w:rPr>
      <w:t>2</w:t>
    </w:r>
    <w:r>
      <w:fldChar w:fldCharType="end"/>
    </w:r>
  </w:p>
  <w:p w:rsidR="006D76AB" w:rsidRDefault="006D76AB">
    <w:pPr>
      <w:pStyle w:val="afa"/>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12-</w:t>
    </w:r>
    <w:r>
      <w:fldChar w:fldCharType="begin"/>
    </w:r>
    <w:r>
      <w:instrText>PAGE   \* MERGEFORMAT</w:instrText>
    </w:r>
    <w:r>
      <w:fldChar w:fldCharType="separate"/>
    </w:r>
    <w:r>
      <w:rPr>
        <w:lang w:val="zh-CN"/>
      </w:rPr>
      <w:t>1</w:t>
    </w:r>
    <w:r>
      <w:fldChar w:fldCharType="end"/>
    </w:r>
  </w:p>
  <w:p w:rsidR="006D76AB" w:rsidRDefault="006D76AB">
    <w:pPr>
      <w:pStyle w:val="afa"/>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13-</w:t>
    </w:r>
    <w:r>
      <w:fldChar w:fldCharType="begin"/>
    </w:r>
    <w:r>
      <w:instrText>PAGE   \* MERGEFORMAT</w:instrText>
    </w:r>
    <w:r>
      <w:fldChar w:fldCharType="separate"/>
    </w:r>
    <w:r w:rsidR="004A72A4" w:rsidRPr="004A72A4">
      <w:rPr>
        <w:noProof/>
        <w:lang w:val="zh-CN"/>
      </w:rPr>
      <w:t>1</w:t>
    </w:r>
    <w:r>
      <w:fldChar w:fldCharType="end"/>
    </w:r>
  </w:p>
  <w:p w:rsidR="006D76AB" w:rsidRDefault="006D76AB">
    <w:pPr>
      <w:pStyle w:val="afa"/>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13-</w:t>
    </w:r>
    <w:r>
      <w:fldChar w:fldCharType="begin"/>
    </w:r>
    <w:r>
      <w:instrText>PAGE   \* MERGEFORMAT</w:instrText>
    </w:r>
    <w:r>
      <w:fldChar w:fldCharType="separate"/>
    </w:r>
    <w:r>
      <w:rPr>
        <w:lang w:val="zh-CN"/>
      </w:rPr>
      <w:t>1</w:t>
    </w:r>
    <w:r>
      <w:fldChar w:fldCharType="end"/>
    </w:r>
  </w:p>
  <w:p w:rsidR="006D76AB" w:rsidRDefault="006D76AB">
    <w:pPr>
      <w:pStyle w:val="afa"/>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14-</w:t>
    </w:r>
    <w:r>
      <w:fldChar w:fldCharType="begin"/>
    </w:r>
    <w:r>
      <w:instrText>PAGE   \* MERGEFORMAT</w:instrText>
    </w:r>
    <w:r>
      <w:fldChar w:fldCharType="separate"/>
    </w:r>
    <w:r>
      <w:rPr>
        <w:lang w:val="zh-CN"/>
      </w:rPr>
      <w:t>1</w:t>
    </w:r>
    <w:r>
      <w:fldChar w:fldCharType="end"/>
    </w:r>
  </w:p>
  <w:p w:rsidR="006D76AB" w:rsidRDefault="006D76AB">
    <w:pPr>
      <w:pStyle w:val="afa"/>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15-</w:t>
    </w:r>
    <w:r>
      <w:fldChar w:fldCharType="begin"/>
    </w:r>
    <w:r>
      <w:instrText>PAGE   \* MERGEFORMAT</w:instrText>
    </w:r>
    <w:r>
      <w:fldChar w:fldCharType="separate"/>
    </w:r>
    <w:r w:rsidR="004A72A4" w:rsidRPr="004A72A4">
      <w:rPr>
        <w:noProof/>
        <w:lang w:val="zh-CN"/>
      </w:rPr>
      <w:t>7</w:t>
    </w:r>
    <w:r>
      <w:fldChar w:fldCharType="end"/>
    </w:r>
  </w:p>
  <w:p w:rsidR="006D76AB" w:rsidRDefault="006D76AB">
    <w:pPr>
      <w:pStyle w:val="afa"/>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16-</w:t>
    </w:r>
    <w:r>
      <w:fldChar w:fldCharType="begin"/>
    </w:r>
    <w:r>
      <w:instrText>PAGE   \* MERGEFORMAT</w:instrText>
    </w:r>
    <w:r>
      <w:fldChar w:fldCharType="separate"/>
    </w:r>
    <w:r w:rsidR="004A72A4" w:rsidRPr="004A72A4">
      <w:rPr>
        <w:noProof/>
        <w:lang w:val="zh-CN"/>
      </w:rPr>
      <w:t>2</w:t>
    </w:r>
    <w:r>
      <w:fldChar w:fldCharType="end"/>
    </w:r>
  </w:p>
  <w:p w:rsidR="006D76AB" w:rsidRDefault="006D76AB">
    <w:pPr>
      <w:pStyle w:val="afa"/>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17-1</w:t>
    </w:r>
  </w:p>
  <w:p w:rsidR="006D76AB" w:rsidRDefault="006D76AB">
    <w:pPr>
      <w:pStyle w:val="af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fldChar w:fldCharType="begin"/>
    </w:r>
    <w:r>
      <w:instrText>PAGE   \* MERGEFORMAT</w:instrText>
    </w:r>
    <w:r>
      <w:fldChar w:fldCharType="separate"/>
    </w:r>
    <w:r>
      <w:rPr>
        <w:lang w:val="zh-CN"/>
      </w:rPr>
      <w:t>1</w:t>
    </w:r>
    <w:r>
      <w:fldChar w:fldCharType="end"/>
    </w:r>
  </w:p>
  <w:p w:rsidR="006D76AB" w:rsidRDefault="006D76AB">
    <w:pPr>
      <w:pStyle w:val="afa"/>
      <w:jc w:val="center"/>
      <w:rPr>
        <w:rFonts w:ascii="Arial" w:hAnsi="Arial" w:cs="Arial"/>
        <w:sz w:val="21"/>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17-</w:t>
    </w:r>
    <w:r>
      <w:fldChar w:fldCharType="begin"/>
    </w:r>
    <w:r>
      <w:instrText>PAGE   \* MERGEFORMAT</w:instrText>
    </w:r>
    <w:r>
      <w:fldChar w:fldCharType="separate"/>
    </w:r>
    <w:r w:rsidR="004A72A4" w:rsidRPr="004A72A4">
      <w:rPr>
        <w:noProof/>
        <w:lang w:val="zh-CN"/>
      </w:rPr>
      <w:t>8</w:t>
    </w:r>
    <w:r>
      <w:fldChar w:fldCharType="end"/>
    </w:r>
  </w:p>
  <w:p w:rsidR="006D76AB" w:rsidRDefault="006D76AB">
    <w:pPr>
      <w:pStyle w:val="afa"/>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18-</w:t>
    </w:r>
    <w:r>
      <w:fldChar w:fldCharType="begin"/>
    </w:r>
    <w:r>
      <w:instrText>PAGE   \* MERGEFORMAT</w:instrText>
    </w:r>
    <w:r>
      <w:fldChar w:fldCharType="separate"/>
    </w:r>
    <w:r w:rsidR="004A72A4" w:rsidRPr="004A72A4">
      <w:rPr>
        <w:noProof/>
        <w:lang w:val="zh-CN"/>
      </w:rPr>
      <w:t>2</w:t>
    </w:r>
    <w:r>
      <w:fldChar w:fldCharType="end"/>
    </w:r>
  </w:p>
  <w:p w:rsidR="006D76AB" w:rsidRDefault="006D76AB">
    <w:pPr>
      <w:pStyle w:val="afa"/>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18-</w:t>
    </w:r>
    <w:r>
      <w:fldChar w:fldCharType="begin"/>
    </w:r>
    <w:r>
      <w:instrText>PAGE   \* MERGEFORMAT</w:instrText>
    </w:r>
    <w:r>
      <w:fldChar w:fldCharType="separate"/>
    </w:r>
    <w:r>
      <w:rPr>
        <w:lang w:val="zh-CN"/>
      </w:rPr>
      <w:t>1</w:t>
    </w:r>
    <w:r>
      <w:fldChar w:fldCharType="end"/>
    </w:r>
  </w:p>
  <w:p w:rsidR="006D76AB" w:rsidRDefault="006D76AB">
    <w:pPr>
      <w:pStyle w:val="afa"/>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19-</w:t>
    </w:r>
    <w:r>
      <w:fldChar w:fldCharType="begin"/>
    </w:r>
    <w:r>
      <w:instrText>PAGE   \* MERGEFORMAT</w:instrText>
    </w:r>
    <w:r>
      <w:fldChar w:fldCharType="separate"/>
    </w:r>
    <w:r w:rsidR="004A72A4" w:rsidRPr="004A72A4">
      <w:rPr>
        <w:noProof/>
        <w:lang w:val="zh-CN"/>
      </w:rPr>
      <w:t>16</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19-</w:t>
    </w:r>
    <w:r>
      <w:fldChar w:fldCharType="begin"/>
    </w:r>
    <w:r>
      <w:instrText>PAGE   \* MERGEFORMAT</w:instrText>
    </w:r>
    <w:r>
      <w:fldChar w:fldCharType="separate"/>
    </w:r>
    <w:r>
      <w:rPr>
        <w:lang w:val="zh-CN"/>
      </w:rPr>
      <w:t>1</w:t>
    </w:r>
    <w:r>
      <w:fldChar w:fldCharType="end"/>
    </w:r>
  </w:p>
  <w:p w:rsidR="006D76AB" w:rsidRDefault="006D76AB">
    <w:pPr>
      <w:pStyle w:val="afa"/>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20-</w:t>
    </w:r>
    <w:r>
      <w:fldChar w:fldCharType="begin"/>
    </w:r>
    <w:r>
      <w:instrText>PAGE   \* MERGEFORMAT</w:instrText>
    </w:r>
    <w:r>
      <w:fldChar w:fldCharType="separate"/>
    </w:r>
    <w:r w:rsidR="004A72A4" w:rsidRPr="004A72A4">
      <w:rPr>
        <w:noProof/>
        <w:lang w:val="zh-CN"/>
      </w:rPr>
      <w:t>17</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20-</w:t>
    </w:r>
    <w:r>
      <w:fldChar w:fldCharType="begin"/>
    </w:r>
    <w:r>
      <w:instrText>PAGE   \* MERGEFORMAT</w:instrText>
    </w:r>
    <w:r>
      <w:fldChar w:fldCharType="separate"/>
    </w:r>
    <w:r w:rsidR="004A72A4" w:rsidRPr="004A72A4">
      <w:rPr>
        <w:noProof/>
        <w:lang w:val="zh-CN"/>
      </w:rPr>
      <w:t>1</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21-</w:t>
    </w:r>
    <w:r>
      <w:fldChar w:fldCharType="begin"/>
    </w:r>
    <w:r>
      <w:instrText>PAGE   \* MERGEFORMAT</w:instrText>
    </w:r>
    <w:r>
      <w:fldChar w:fldCharType="separate"/>
    </w:r>
    <w:r w:rsidR="004A72A4" w:rsidRPr="004A72A4">
      <w:rPr>
        <w:noProof/>
        <w:lang w:val="zh-CN"/>
      </w:rPr>
      <w:t>2</w:t>
    </w:r>
    <w: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21-</w:t>
    </w:r>
    <w:r>
      <w:fldChar w:fldCharType="begin"/>
    </w:r>
    <w:r>
      <w:instrText>PAGE   \* MERGEFORMAT</w:instrText>
    </w:r>
    <w:r>
      <w:fldChar w:fldCharType="separate"/>
    </w:r>
    <w:r>
      <w:rPr>
        <w:lang w:val="zh-CN"/>
      </w:rPr>
      <w:t>1</w:t>
    </w:r>
    <w:r>
      <w:fldChar w:fldCharType="end"/>
    </w:r>
  </w:p>
  <w:p w:rsidR="006D76AB" w:rsidRDefault="006D76AB">
    <w:pPr>
      <w:pStyle w:val="afa"/>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22-</w:t>
    </w:r>
    <w:r>
      <w:fldChar w:fldCharType="begin"/>
    </w:r>
    <w:r>
      <w:instrText>PAGE   \* MERGEFORMAT</w:instrText>
    </w:r>
    <w:r>
      <w:fldChar w:fldCharType="separate"/>
    </w:r>
    <w:r>
      <w:rPr>
        <w:lang w:val="zh-CN"/>
      </w:rPr>
      <w:t>1</w:t>
    </w:r>
    <w:r>
      <w:fldChar w:fldCharType="end"/>
    </w:r>
  </w:p>
  <w:p w:rsidR="006D76AB" w:rsidRDefault="006D76AB">
    <w:pPr>
      <w:pStyle w:val="af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fldChar w:fldCharType="begin"/>
    </w:r>
    <w:r>
      <w:instrText>PAGE   \* MERGEFORMAT</w:instrText>
    </w:r>
    <w:r>
      <w:fldChar w:fldCharType="separate"/>
    </w:r>
    <w:r>
      <w:rPr>
        <w:lang w:val="zh-CN"/>
      </w:rPr>
      <w:t>2</w:t>
    </w:r>
    <w:r>
      <w:fldChar w:fldCharType="end"/>
    </w:r>
  </w:p>
  <w:p w:rsidR="006D76AB" w:rsidRDefault="006D76AB">
    <w:pPr>
      <w:pStyle w:val="afa"/>
      <w:jc w:val="cen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23-1</w:t>
    </w:r>
  </w:p>
  <w:p w:rsidR="006D76AB" w:rsidRDefault="006D76AB">
    <w:pPr>
      <w:pStyle w:val="af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rPr>
        <w:rFonts w:ascii="Arial" w:hAnsi="Arial" w:cs="Arial"/>
        <w:sz w:val="21"/>
        <w:szCs w:val="21"/>
      </w:rPr>
    </w:pPr>
    <w:r>
      <w:rPr>
        <w:rFonts w:ascii="Arial" w:hAnsi="Arial" w:cs="Arial"/>
        <w:sz w:val="21"/>
        <w:szCs w:val="21"/>
      </w:rPr>
      <w:fldChar w:fldCharType="begin"/>
    </w:r>
    <w:r>
      <w:rPr>
        <w:rStyle w:val="aff5"/>
        <w:rFonts w:ascii="Arial" w:hAnsi="Arial" w:cs="Arial"/>
        <w:sz w:val="21"/>
        <w:szCs w:val="21"/>
      </w:rPr>
      <w:instrText xml:space="preserve"> PAGE </w:instrText>
    </w:r>
    <w:r>
      <w:rPr>
        <w:rFonts w:ascii="Arial" w:hAnsi="Arial" w:cs="Arial"/>
        <w:sz w:val="21"/>
        <w:szCs w:val="21"/>
      </w:rPr>
      <w:fldChar w:fldCharType="separate"/>
    </w:r>
    <w:r>
      <w:rPr>
        <w:rStyle w:val="aff5"/>
        <w:rFonts w:ascii="Arial" w:hAnsi="Arial" w:cs="Arial"/>
        <w:sz w:val="21"/>
        <w:szCs w:val="21"/>
      </w:rPr>
      <w:t>4</w:t>
    </w:r>
    <w:r>
      <w:rPr>
        <w:rFonts w:ascii="Arial" w:hAnsi="Arial" w:cs="Arial"/>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1-</w:t>
    </w:r>
    <w:r>
      <w:fldChar w:fldCharType="begin"/>
    </w:r>
    <w:r>
      <w:instrText>PAGE   \* MERGEFORMAT</w:instrText>
    </w:r>
    <w:r>
      <w:fldChar w:fldCharType="separate"/>
    </w:r>
    <w:r w:rsidR="004A72A4" w:rsidRPr="004A72A4">
      <w:rPr>
        <w:noProof/>
        <w:lang w:val="zh-CN"/>
      </w:rPr>
      <w:t>1</w:t>
    </w:r>
    <w:r>
      <w:fldChar w:fldCharType="end"/>
    </w:r>
  </w:p>
  <w:p w:rsidR="006D76AB" w:rsidRDefault="006D76AB">
    <w:pPr>
      <w:pStyle w:val="af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2-</w:t>
    </w:r>
    <w:r>
      <w:fldChar w:fldCharType="begin"/>
    </w:r>
    <w:r>
      <w:instrText>PAGE   \* MERGEFORMAT</w:instrText>
    </w:r>
    <w:r>
      <w:fldChar w:fldCharType="separate"/>
    </w:r>
    <w:r w:rsidR="004A72A4" w:rsidRPr="004A72A4">
      <w:rPr>
        <w:noProof/>
        <w:lang w:val="zh-CN"/>
      </w:rPr>
      <w:t>5</w:t>
    </w:r>
    <w:r>
      <w:fldChar w:fldCharType="end"/>
    </w:r>
  </w:p>
  <w:p w:rsidR="006D76AB" w:rsidRDefault="006D76AB">
    <w:pPr>
      <w:pStyle w:val="afa"/>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3-</w:t>
    </w:r>
    <w:r>
      <w:fldChar w:fldCharType="begin"/>
    </w:r>
    <w:r>
      <w:instrText>PAGE   \* MERGEFORMAT</w:instrText>
    </w:r>
    <w:r>
      <w:fldChar w:fldCharType="separate"/>
    </w:r>
    <w:r w:rsidR="004A72A4" w:rsidRPr="004A72A4">
      <w:rPr>
        <w:noProof/>
        <w:lang w:val="zh-CN"/>
      </w:rPr>
      <w:t>14</w:t>
    </w:r>
    <w:r>
      <w:fldChar w:fldCharType="end"/>
    </w:r>
  </w:p>
  <w:p w:rsidR="006D76AB" w:rsidRDefault="006D76AB">
    <w:pPr>
      <w:pStyle w:val="afa"/>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a"/>
      <w:jc w:val="center"/>
    </w:pPr>
    <w:r>
      <w:rPr>
        <w:rFonts w:hint="eastAsia"/>
      </w:rPr>
      <w:t>3-</w:t>
    </w:r>
    <w:r>
      <w:fldChar w:fldCharType="begin"/>
    </w:r>
    <w:r>
      <w:instrText>PAGE   \* MERGEFORMAT</w:instrText>
    </w:r>
    <w:r>
      <w:fldChar w:fldCharType="separate"/>
    </w:r>
    <w:r w:rsidR="004A72A4" w:rsidRPr="004A72A4">
      <w:rPr>
        <w:noProof/>
        <w:lang w:val="zh-CN"/>
      </w:rPr>
      <w:t>1</w:t>
    </w:r>
    <w:r>
      <w:fldChar w:fldCharType="end"/>
    </w:r>
  </w:p>
  <w:p w:rsidR="006D76AB" w:rsidRDefault="006D76AB">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76C" w:rsidRDefault="0054076C">
      <w:r>
        <w:separator/>
      </w:r>
    </w:p>
  </w:footnote>
  <w:footnote w:type="continuationSeparator" w:id="0">
    <w:p w:rsidR="0054076C" w:rsidRDefault="0054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c"/>
      <w:jc w:val="right"/>
    </w:pPr>
    <w:r>
      <w:rPr>
        <w:rFonts w:hint="eastAsia"/>
      </w:rPr>
      <w:t>博时成长领航灵活配置混合型证券投资基金招募说明书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c"/>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c"/>
    </w:pPr>
    <w:r>
      <w:rPr>
        <w:rFonts w:hint="eastAsia"/>
      </w:rPr>
      <w:t>招募说明书</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c"/>
    </w:pPr>
    <w:r>
      <w:rPr>
        <w:rFonts w:hint="eastAsia"/>
      </w:rPr>
      <w:t>招募说明书</w:t>
    </w:r>
  </w:p>
  <w:p w:rsidR="006D76AB" w:rsidRDefault="006D76A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F4578A" w:rsidP="00F4578A">
    <w:pPr>
      <w:pStyle w:val="afc"/>
      <w:jc w:val="right"/>
    </w:pPr>
    <w:r>
      <w:rPr>
        <w:rFonts w:hint="eastAsia"/>
      </w:rPr>
      <w:t>博时成长领航灵活配置混合型证券投资基金</w:t>
    </w:r>
    <w:r w:rsidR="006D76AB">
      <w:rPr>
        <w:rFonts w:hint="eastAsia"/>
      </w:rPr>
      <w:t>招募说明书</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c"/>
    </w:pPr>
    <w:r>
      <w:rPr>
        <w:rFonts w:hint="eastAsia"/>
      </w:rPr>
      <w:t>招募说明书</w:t>
    </w:r>
  </w:p>
  <w:p w:rsidR="006D76AB" w:rsidRDefault="006D76AB"/>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AB" w:rsidRDefault="006D76AB">
    <w:pPr>
      <w:pStyle w:val="afc"/>
    </w:pPr>
    <w:r>
      <w:rPr>
        <w:rFonts w:hint="eastAsia"/>
      </w:rPr>
      <w:t>招募说明书</w:t>
    </w:r>
  </w:p>
  <w:p w:rsidR="006D76AB" w:rsidRDefault="006D76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1F6B"/>
    <w:multiLevelType w:val="multilevel"/>
    <w:tmpl w:val="0C931F6B"/>
    <w:lvl w:ilvl="0">
      <w:start w:val="1"/>
      <w:numFmt w:val="decimal"/>
      <w:pStyle w:val="1"/>
      <w:lvlText w:val="%1、"/>
      <w:lvlJc w:val="left"/>
      <w:pPr>
        <w:tabs>
          <w:tab w:val="left" w:pos="757"/>
        </w:tabs>
        <w:ind w:left="0" w:firstLine="397"/>
      </w:pPr>
      <w:rPr>
        <w:rFonts w:hint="default"/>
      </w:rPr>
    </w:lvl>
    <w:lvl w:ilvl="1">
      <w:start w:val="1"/>
      <w:numFmt w:val="bullet"/>
      <w:lvlText w:val=""/>
      <w:lvlJc w:val="left"/>
      <w:pPr>
        <w:tabs>
          <w:tab w:val="left" w:pos="840"/>
        </w:tabs>
        <w:ind w:left="840" w:hanging="420"/>
      </w:pPr>
      <w:rPr>
        <w:rFonts w:ascii="Wingdings" w:hAnsi="Wingdings" w:hint="default"/>
        <w:b w:val="0"/>
        <w:i w:val="0"/>
        <w:sz w:val="15"/>
        <w:szCs w:val="15"/>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A4038FD"/>
    <w:multiLevelType w:val="multilevel"/>
    <w:tmpl w:val="1A4038FD"/>
    <w:lvl w:ilvl="0">
      <w:start w:val="1"/>
      <w:numFmt w:val="japaneseCounting"/>
      <w:pStyle w:val="10"/>
      <w:lvlText w:val="%1、"/>
      <w:lvlJc w:val="left"/>
      <w:pPr>
        <w:tabs>
          <w:tab w:val="left" w:pos="3243"/>
        </w:tabs>
        <w:ind w:left="3243"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DAC2829"/>
    <w:multiLevelType w:val="singleLevel"/>
    <w:tmpl w:val="3DAC2829"/>
    <w:lvl w:ilvl="0">
      <w:start w:val="1"/>
      <w:numFmt w:val="decimal"/>
      <w:pStyle w:val="2"/>
      <w:lvlText w:val="(%1)"/>
      <w:lvlJc w:val="left"/>
      <w:pPr>
        <w:tabs>
          <w:tab w:val="left" w:pos="907"/>
        </w:tabs>
        <w:ind w:left="907" w:hanging="482"/>
      </w:pPr>
      <w:rPr>
        <w:rFonts w:hint="default"/>
      </w:rPr>
    </w:lvl>
  </w:abstractNum>
  <w:abstractNum w:abstractNumId="3" w15:restartNumberingAfterBreak="0">
    <w:nsid w:val="48DC602A"/>
    <w:multiLevelType w:val="multilevel"/>
    <w:tmpl w:val="48DC602A"/>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oNotTrackMove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BE9"/>
    <w:rsid w:val="00000018"/>
    <w:rsid w:val="00000410"/>
    <w:rsid w:val="00001115"/>
    <w:rsid w:val="000011E4"/>
    <w:rsid w:val="00001619"/>
    <w:rsid w:val="000031D9"/>
    <w:rsid w:val="00003A39"/>
    <w:rsid w:val="00003A58"/>
    <w:rsid w:val="0000670B"/>
    <w:rsid w:val="000107F7"/>
    <w:rsid w:val="000118B7"/>
    <w:rsid w:val="0001284F"/>
    <w:rsid w:val="00012A8A"/>
    <w:rsid w:val="00012F8D"/>
    <w:rsid w:val="00014B1E"/>
    <w:rsid w:val="000163E8"/>
    <w:rsid w:val="00017120"/>
    <w:rsid w:val="00017A0C"/>
    <w:rsid w:val="0002343F"/>
    <w:rsid w:val="000244B6"/>
    <w:rsid w:val="00024664"/>
    <w:rsid w:val="000248F5"/>
    <w:rsid w:val="00025B1A"/>
    <w:rsid w:val="000275A0"/>
    <w:rsid w:val="00027DD6"/>
    <w:rsid w:val="000348C8"/>
    <w:rsid w:val="00034BDA"/>
    <w:rsid w:val="0003553D"/>
    <w:rsid w:val="00035B80"/>
    <w:rsid w:val="00035E40"/>
    <w:rsid w:val="0003624A"/>
    <w:rsid w:val="0004048E"/>
    <w:rsid w:val="00040959"/>
    <w:rsid w:val="000409C1"/>
    <w:rsid w:val="00041294"/>
    <w:rsid w:val="0004164A"/>
    <w:rsid w:val="00044F2F"/>
    <w:rsid w:val="000459D0"/>
    <w:rsid w:val="00045EED"/>
    <w:rsid w:val="00046D6F"/>
    <w:rsid w:val="00047255"/>
    <w:rsid w:val="00047BCA"/>
    <w:rsid w:val="000503C7"/>
    <w:rsid w:val="00052565"/>
    <w:rsid w:val="00052F45"/>
    <w:rsid w:val="000534D8"/>
    <w:rsid w:val="0005360C"/>
    <w:rsid w:val="00053708"/>
    <w:rsid w:val="000548ED"/>
    <w:rsid w:val="00054A99"/>
    <w:rsid w:val="000560C0"/>
    <w:rsid w:val="0005726A"/>
    <w:rsid w:val="00057899"/>
    <w:rsid w:val="00060D11"/>
    <w:rsid w:val="00061060"/>
    <w:rsid w:val="000613B4"/>
    <w:rsid w:val="00062602"/>
    <w:rsid w:val="000635C2"/>
    <w:rsid w:val="00064D69"/>
    <w:rsid w:val="00064F3F"/>
    <w:rsid w:val="00066685"/>
    <w:rsid w:val="00066FB0"/>
    <w:rsid w:val="00067457"/>
    <w:rsid w:val="00067CE5"/>
    <w:rsid w:val="000701D1"/>
    <w:rsid w:val="00070220"/>
    <w:rsid w:val="00071262"/>
    <w:rsid w:val="00071D4E"/>
    <w:rsid w:val="000724FF"/>
    <w:rsid w:val="000725EC"/>
    <w:rsid w:val="00072E60"/>
    <w:rsid w:val="00073022"/>
    <w:rsid w:val="00073D30"/>
    <w:rsid w:val="000759A9"/>
    <w:rsid w:val="00075BEB"/>
    <w:rsid w:val="00076FB8"/>
    <w:rsid w:val="000771C5"/>
    <w:rsid w:val="00080A1A"/>
    <w:rsid w:val="00081796"/>
    <w:rsid w:val="0008195C"/>
    <w:rsid w:val="00082203"/>
    <w:rsid w:val="000823B6"/>
    <w:rsid w:val="00082F38"/>
    <w:rsid w:val="0008461E"/>
    <w:rsid w:val="00084B3F"/>
    <w:rsid w:val="00086A37"/>
    <w:rsid w:val="00087336"/>
    <w:rsid w:val="000875C1"/>
    <w:rsid w:val="00087D0B"/>
    <w:rsid w:val="0009044B"/>
    <w:rsid w:val="0009064A"/>
    <w:rsid w:val="00090DEF"/>
    <w:rsid w:val="00091919"/>
    <w:rsid w:val="00093AFF"/>
    <w:rsid w:val="00094037"/>
    <w:rsid w:val="0009414E"/>
    <w:rsid w:val="000941D6"/>
    <w:rsid w:val="000945FF"/>
    <w:rsid w:val="00094BC5"/>
    <w:rsid w:val="000959CB"/>
    <w:rsid w:val="00095BDE"/>
    <w:rsid w:val="000969A6"/>
    <w:rsid w:val="00097033"/>
    <w:rsid w:val="00097DFC"/>
    <w:rsid w:val="000A03D6"/>
    <w:rsid w:val="000A191A"/>
    <w:rsid w:val="000A19F0"/>
    <w:rsid w:val="000A35C5"/>
    <w:rsid w:val="000A393D"/>
    <w:rsid w:val="000A58B5"/>
    <w:rsid w:val="000A62A4"/>
    <w:rsid w:val="000A6614"/>
    <w:rsid w:val="000A6EDE"/>
    <w:rsid w:val="000A70E7"/>
    <w:rsid w:val="000B0134"/>
    <w:rsid w:val="000B03E2"/>
    <w:rsid w:val="000B0D12"/>
    <w:rsid w:val="000B10AA"/>
    <w:rsid w:val="000B1D0F"/>
    <w:rsid w:val="000B1D36"/>
    <w:rsid w:val="000B1F1C"/>
    <w:rsid w:val="000B2CF7"/>
    <w:rsid w:val="000B2FBA"/>
    <w:rsid w:val="000B33D2"/>
    <w:rsid w:val="000B389C"/>
    <w:rsid w:val="000B45CF"/>
    <w:rsid w:val="000B4AAC"/>
    <w:rsid w:val="000B5B94"/>
    <w:rsid w:val="000B5BAA"/>
    <w:rsid w:val="000B5C33"/>
    <w:rsid w:val="000B699E"/>
    <w:rsid w:val="000B6D36"/>
    <w:rsid w:val="000B70BB"/>
    <w:rsid w:val="000B72F6"/>
    <w:rsid w:val="000B743E"/>
    <w:rsid w:val="000C35FD"/>
    <w:rsid w:val="000C4905"/>
    <w:rsid w:val="000C59F0"/>
    <w:rsid w:val="000C6756"/>
    <w:rsid w:val="000C69B8"/>
    <w:rsid w:val="000C6A33"/>
    <w:rsid w:val="000C78B5"/>
    <w:rsid w:val="000C7A58"/>
    <w:rsid w:val="000D0351"/>
    <w:rsid w:val="000D0851"/>
    <w:rsid w:val="000D0CF9"/>
    <w:rsid w:val="000D27C6"/>
    <w:rsid w:val="000D3394"/>
    <w:rsid w:val="000D367D"/>
    <w:rsid w:val="000D461A"/>
    <w:rsid w:val="000D4C12"/>
    <w:rsid w:val="000D53EF"/>
    <w:rsid w:val="000D5DC2"/>
    <w:rsid w:val="000D6025"/>
    <w:rsid w:val="000D71DD"/>
    <w:rsid w:val="000E05B8"/>
    <w:rsid w:val="000E0A00"/>
    <w:rsid w:val="000E0BCA"/>
    <w:rsid w:val="000E1483"/>
    <w:rsid w:val="000E1DDF"/>
    <w:rsid w:val="000E2A1B"/>
    <w:rsid w:val="000E5258"/>
    <w:rsid w:val="000E579F"/>
    <w:rsid w:val="000E6603"/>
    <w:rsid w:val="000E6BC8"/>
    <w:rsid w:val="000E77F9"/>
    <w:rsid w:val="000E78FA"/>
    <w:rsid w:val="000F0451"/>
    <w:rsid w:val="000F0629"/>
    <w:rsid w:val="000F07FE"/>
    <w:rsid w:val="000F13C5"/>
    <w:rsid w:val="000F160B"/>
    <w:rsid w:val="000F2AB8"/>
    <w:rsid w:val="000F47A2"/>
    <w:rsid w:val="000F52BC"/>
    <w:rsid w:val="000F56D9"/>
    <w:rsid w:val="000F6270"/>
    <w:rsid w:val="000F6CA6"/>
    <w:rsid w:val="001000D8"/>
    <w:rsid w:val="001003D3"/>
    <w:rsid w:val="00101145"/>
    <w:rsid w:val="001013DC"/>
    <w:rsid w:val="00101AC7"/>
    <w:rsid w:val="001034FE"/>
    <w:rsid w:val="0010485A"/>
    <w:rsid w:val="001057CF"/>
    <w:rsid w:val="00105861"/>
    <w:rsid w:val="00105ACE"/>
    <w:rsid w:val="00105E5F"/>
    <w:rsid w:val="00105EA2"/>
    <w:rsid w:val="00107608"/>
    <w:rsid w:val="00110203"/>
    <w:rsid w:val="00111C83"/>
    <w:rsid w:val="001145B4"/>
    <w:rsid w:val="0011465C"/>
    <w:rsid w:val="001151BF"/>
    <w:rsid w:val="0011593E"/>
    <w:rsid w:val="001159F7"/>
    <w:rsid w:val="00117D86"/>
    <w:rsid w:val="00122FDC"/>
    <w:rsid w:val="0012307E"/>
    <w:rsid w:val="001250EA"/>
    <w:rsid w:val="001260C6"/>
    <w:rsid w:val="001268C1"/>
    <w:rsid w:val="00127713"/>
    <w:rsid w:val="001278E3"/>
    <w:rsid w:val="00130867"/>
    <w:rsid w:val="00130A79"/>
    <w:rsid w:val="0013242A"/>
    <w:rsid w:val="00134C71"/>
    <w:rsid w:val="00135CCE"/>
    <w:rsid w:val="00136201"/>
    <w:rsid w:val="00136938"/>
    <w:rsid w:val="0014140B"/>
    <w:rsid w:val="00142552"/>
    <w:rsid w:val="00142FC0"/>
    <w:rsid w:val="00143355"/>
    <w:rsid w:val="00144A50"/>
    <w:rsid w:val="00145BD4"/>
    <w:rsid w:val="00145DDC"/>
    <w:rsid w:val="00147842"/>
    <w:rsid w:val="001500AE"/>
    <w:rsid w:val="00152D78"/>
    <w:rsid w:val="0015364F"/>
    <w:rsid w:val="0015366C"/>
    <w:rsid w:val="00154462"/>
    <w:rsid w:val="001546C4"/>
    <w:rsid w:val="00154735"/>
    <w:rsid w:val="00154E5B"/>
    <w:rsid w:val="00155446"/>
    <w:rsid w:val="00156A62"/>
    <w:rsid w:val="00157188"/>
    <w:rsid w:val="00157F15"/>
    <w:rsid w:val="00161F42"/>
    <w:rsid w:val="00162B90"/>
    <w:rsid w:val="00162F00"/>
    <w:rsid w:val="00163350"/>
    <w:rsid w:val="001633A1"/>
    <w:rsid w:val="001633CC"/>
    <w:rsid w:val="001637D5"/>
    <w:rsid w:val="00163D2F"/>
    <w:rsid w:val="00163D7C"/>
    <w:rsid w:val="001648B4"/>
    <w:rsid w:val="00164CF8"/>
    <w:rsid w:val="0016588A"/>
    <w:rsid w:val="001665C7"/>
    <w:rsid w:val="00167621"/>
    <w:rsid w:val="00167BD5"/>
    <w:rsid w:val="00167C0C"/>
    <w:rsid w:val="00170A4E"/>
    <w:rsid w:val="00170CE8"/>
    <w:rsid w:val="001715D9"/>
    <w:rsid w:val="001717BB"/>
    <w:rsid w:val="00172158"/>
    <w:rsid w:val="0017297B"/>
    <w:rsid w:val="001737C7"/>
    <w:rsid w:val="00173905"/>
    <w:rsid w:val="001754BD"/>
    <w:rsid w:val="001755E3"/>
    <w:rsid w:val="00176AED"/>
    <w:rsid w:val="00176D11"/>
    <w:rsid w:val="001770D4"/>
    <w:rsid w:val="0017794F"/>
    <w:rsid w:val="00180C8E"/>
    <w:rsid w:val="00180EA6"/>
    <w:rsid w:val="00181310"/>
    <w:rsid w:val="00181B55"/>
    <w:rsid w:val="00183E84"/>
    <w:rsid w:val="00184725"/>
    <w:rsid w:val="00185B77"/>
    <w:rsid w:val="00190578"/>
    <w:rsid w:val="00190C8A"/>
    <w:rsid w:val="0019160C"/>
    <w:rsid w:val="00192EA6"/>
    <w:rsid w:val="00193514"/>
    <w:rsid w:val="0019397A"/>
    <w:rsid w:val="00196455"/>
    <w:rsid w:val="0019671E"/>
    <w:rsid w:val="00196BA7"/>
    <w:rsid w:val="00197064"/>
    <w:rsid w:val="00197409"/>
    <w:rsid w:val="00197778"/>
    <w:rsid w:val="001A0310"/>
    <w:rsid w:val="001A078C"/>
    <w:rsid w:val="001A0A48"/>
    <w:rsid w:val="001A158D"/>
    <w:rsid w:val="001A250E"/>
    <w:rsid w:val="001A2C46"/>
    <w:rsid w:val="001A5BF5"/>
    <w:rsid w:val="001A5D8E"/>
    <w:rsid w:val="001A5E37"/>
    <w:rsid w:val="001A728B"/>
    <w:rsid w:val="001B0331"/>
    <w:rsid w:val="001B18A6"/>
    <w:rsid w:val="001B1BD7"/>
    <w:rsid w:val="001B372B"/>
    <w:rsid w:val="001B37B0"/>
    <w:rsid w:val="001B4FAD"/>
    <w:rsid w:val="001B5C50"/>
    <w:rsid w:val="001B7BFA"/>
    <w:rsid w:val="001C0505"/>
    <w:rsid w:val="001C07AF"/>
    <w:rsid w:val="001C2E5E"/>
    <w:rsid w:val="001C458F"/>
    <w:rsid w:val="001C4B8E"/>
    <w:rsid w:val="001C4BD9"/>
    <w:rsid w:val="001C4D51"/>
    <w:rsid w:val="001C5D04"/>
    <w:rsid w:val="001C66D1"/>
    <w:rsid w:val="001C6E4B"/>
    <w:rsid w:val="001C71C9"/>
    <w:rsid w:val="001D0611"/>
    <w:rsid w:val="001D0B03"/>
    <w:rsid w:val="001D18E5"/>
    <w:rsid w:val="001D1997"/>
    <w:rsid w:val="001D1D1E"/>
    <w:rsid w:val="001D2FAD"/>
    <w:rsid w:val="001D4C4A"/>
    <w:rsid w:val="001D6EC1"/>
    <w:rsid w:val="001D7740"/>
    <w:rsid w:val="001D7C3F"/>
    <w:rsid w:val="001D7CC9"/>
    <w:rsid w:val="001D7F08"/>
    <w:rsid w:val="001E06C5"/>
    <w:rsid w:val="001E1153"/>
    <w:rsid w:val="001E1C7E"/>
    <w:rsid w:val="001E2EEC"/>
    <w:rsid w:val="001E3CEF"/>
    <w:rsid w:val="001E41A7"/>
    <w:rsid w:val="001E4AFA"/>
    <w:rsid w:val="001E63B3"/>
    <w:rsid w:val="001E69B2"/>
    <w:rsid w:val="001F0776"/>
    <w:rsid w:val="001F1372"/>
    <w:rsid w:val="001F2379"/>
    <w:rsid w:val="001F3964"/>
    <w:rsid w:val="001F6342"/>
    <w:rsid w:val="001F7E62"/>
    <w:rsid w:val="002009EC"/>
    <w:rsid w:val="00201D94"/>
    <w:rsid w:val="002020EF"/>
    <w:rsid w:val="00202F67"/>
    <w:rsid w:val="0020303B"/>
    <w:rsid w:val="0020466B"/>
    <w:rsid w:val="00205287"/>
    <w:rsid w:val="002055BC"/>
    <w:rsid w:val="00210C87"/>
    <w:rsid w:val="00211F02"/>
    <w:rsid w:val="0021267F"/>
    <w:rsid w:val="00212698"/>
    <w:rsid w:val="00212BCA"/>
    <w:rsid w:val="0021351B"/>
    <w:rsid w:val="00213977"/>
    <w:rsid w:val="0021454F"/>
    <w:rsid w:val="00215225"/>
    <w:rsid w:val="00215434"/>
    <w:rsid w:val="00216016"/>
    <w:rsid w:val="00216925"/>
    <w:rsid w:val="002176A3"/>
    <w:rsid w:val="00220171"/>
    <w:rsid w:val="00220DC5"/>
    <w:rsid w:val="002214FF"/>
    <w:rsid w:val="00222D40"/>
    <w:rsid w:val="00223BD5"/>
    <w:rsid w:val="00224E6D"/>
    <w:rsid w:val="00225865"/>
    <w:rsid w:val="00226B65"/>
    <w:rsid w:val="00227EC1"/>
    <w:rsid w:val="00232621"/>
    <w:rsid w:val="002329B5"/>
    <w:rsid w:val="002330BB"/>
    <w:rsid w:val="00233EB1"/>
    <w:rsid w:val="00235796"/>
    <w:rsid w:val="0023662A"/>
    <w:rsid w:val="0023686C"/>
    <w:rsid w:val="00237009"/>
    <w:rsid w:val="0023761E"/>
    <w:rsid w:val="002376B3"/>
    <w:rsid w:val="00237836"/>
    <w:rsid w:val="00240D4C"/>
    <w:rsid w:val="00241335"/>
    <w:rsid w:val="00243177"/>
    <w:rsid w:val="002431F2"/>
    <w:rsid w:val="0024471D"/>
    <w:rsid w:val="00244F7E"/>
    <w:rsid w:val="002453BC"/>
    <w:rsid w:val="0024541D"/>
    <w:rsid w:val="002463A3"/>
    <w:rsid w:val="00246E4F"/>
    <w:rsid w:val="00247792"/>
    <w:rsid w:val="00247D44"/>
    <w:rsid w:val="002501BC"/>
    <w:rsid w:val="00250A4F"/>
    <w:rsid w:val="00251685"/>
    <w:rsid w:val="00251ACB"/>
    <w:rsid w:val="00251C22"/>
    <w:rsid w:val="00251D29"/>
    <w:rsid w:val="00252CC5"/>
    <w:rsid w:val="00253FB9"/>
    <w:rsid w:val="00254671"/>
    <w:rsid w:val="002548B0"/>
    <w:rsid w:val="00254AD6"/>
    <w:rsid w:val="00255315"/>
    <w:rsid w:val="00255BF6"/>
    <w:rsid w:val="00256CE7"/>
    <w:rsid w:val="0025704E"/>
    <w:rsid w:val="00257DBD"/>
    <w:rsid w:val="00260702"/>
    <w:rsid w:val="00263479"/>
    <w:rsid w:val="002634B8"/>
    <w:rsid w:val="002642F6"/>
    <w:rsid w:val="00264CE3"/>
    <w:rsid w:val="00265E3D"/>
    <w:rsid w:val="0026714D"/>
    <w:rsid w:val="00267198"/>
    <w:rsid w:val="0027033C"/>
    <w:rsid w:val="00270D80"/>
    <w:rsid w:val="0027250D"/>
    <w:rsid w:val="0027308C"/>
    <w:rsid w:val="0027331C"/>
    <w:rsid w:val="00273A26"/>
    <w:rsid w:val="0027449D"/>
    <w:rsid w:val="00274AE8"/>
    <w:rsid w:val="00274FE0"/>
    <w:rsid w:val="00276281"/>
    <w:rsid w:val="00276456"/>
    <w:rsid w:val="00276A4D"/>
    <w:rsid w:val="002773A8"/>
    <w:rsid w:val="0028018C"/>
    <w:rsid w:val="002801D0"/>
    <w:rsid w:val="002803F7"/>
    <w:rsid w:val="00281AF1"/>
    <w:rsid w:val="00283202"/>
    <w:rsid w:val="00283CA8"/>
    <w:rsid w:val="00284369"/>
    <w:rsid w:val="002847AF"/>
    <w:rsid w:val="00287B75"/>
    <w:rsid w:val="0029129B"/>
    <w:rsid w:val="002926A9"/>
    <w:rsid w:val="00293EA7"/>
    <w:rsid w:val="0029453E"/>
    <w:rsid w:val="0029496D"/>
    <w:rsid w:val="00294FED"/>
    <w:rsid w:val="00295004"/>
    <w:rsid w:val="002950D6"/>
    <w:rsid w:val="0029529E"/>
    <w:rsid w:val="00295C56"/>
    <w:rsid w:val="00296028"/>
    <w:rsid w:val="0029615D"/>
    <w:rsid w:val="002961D6"/>
    <w:rsid w:val="002978B9"/>
    <w:rsid w:val="00297916"/>
    <w:rsid w:val="002A39A3"/>
    <w:rsid w:val="002A499E"/>
    <w:rsid w:val="002A4B1C"/>
    <w:rsid w:val="002A74C5"/>
    <w:rsid w:val="002A77BE"/>
    <w:rsid w:val="002B0290"/>
    <w:rsid w:val="002B0463"/>
    <w:rsid w:val="002B10E3"/>
    <w:rsid w:val="002B1DC1"/>
    <w:rsid w:val="002B258E"/>
    <w:rsid w:val="002B2937"/>
    <w:rsid w:val="002B2ABF"/>
    <w:rsid w:val="002B3E37"/>
    <w:rsid w:val="002B4D2F"/>
    <w:rsid w:val="002B6079"/>
    <w:rsid w:val="002B6C01"/>
    <w:rsid w:val="002B701F"/>
    <w:rsid w:val="002C0710"/>
    <w:rsid w:val="002C0B59"/>
    <w:rsid w:val="002C1249"/>
    <w:rsid w:val="002C2B2E"/>
    <w:rsid w:val="002C50BC"/>
    <w:rsid w:val="002C5573"/>
    <w:rsid w:val="002C5A0D"/>
    <w:rsid w:val="002C60AB"/>
    <w:rsid w:val="002C63C9"/>
    <w:rsid w:val="002C7A50"/>
    <w:rsid w:val="002C7CE6"/>
    <w:rsid w:val="002D0B32"/>
    <w:rsid w:val="002D11EA"/>
    <w:rsid w:val="002D1A9A"/>
    <w:rsid w:val="002D1F8B"/>
    <w:rsid w:val="002D5054"/>
    <w:rsid w:val="002D5241"/>
    <w:rsid w:val="002D534E"/>
    <w:rsid w:val="002D53B4"/>
    <w:rsid w:val="002D53E4"/>
    <w:rsid w:val="002D541A"/>
    <w:rsid w:val="002E0153"/>
    <w:rsid w:val="002E0549"/>
    <w:rsid w:val="002E1B82"/>
    <w:rsid w:val="002E22D6"/>
    <w:rsid w:val="002E4AFD"/>
    <w:rsid w:val="002E53F9"/>
    <w:rsid w:val="002E565E"/>
    <w:rsid w:val="002E56C4"/>
    <w:rsid w:val="002E5BE6"/>
    <w:rsid w:val="002E6A98"/>
    <w:rsid w:val="002E6C2A"/>
    <w:rsid w:val="002E7135"/>
    <w:rsid w:val="002F0944"/>
    <w:rsid w:val="002F12D0"/>
    <w:rsid w:val="002F207D"/>
    <w:rsid w:val="002F23E1"/>
    <w:rsid w:val="002F2C4C"/>
    <w:rsid w:val="002F3634"/>
    <w:rsid w:val="002F38F8"/>
    <w:rsid w:val="002F46BA"/>
    <w:rsid w:val="002F6CD1"/>
    <w:rsid w:val="002F7104"/>
    <w:rsid w:val="002F7487"/>
    <w:rsid w:val="002F7AA2"/>
    <w:rsid w:val="002F7B36"/>
    <w:rsid w:val="003020F3"/>
    <w:rsid w:val="00302A53"/>
    <w:rsid w:val="00302BBF"/>
    <w:rsid w:val="00302C06"/>
    <w:rsid w:val="00303335"/>
    <w:rsid w:val="00304633"/>
    <w:rsid w:val="00304DB8"/>
    <w:rsid w:val="00305FB7"/>
    <w:rsid w:val="00306A23"/>
    <w:rsid w:val="003070EF"/>
    <w:rsid w:val="00310DEA"/>
    <w:rsid w:val="003111EE"/>
    <w:rsid w:val="003118B6"/>
    <w:rsid w:val="00312C4A"/>
    <w:rsid w:val="00312D86"/>
    <w:rsid w:val="00313ED1"/>
    <w:rsid w:val="0031410B"/>
    <w:rsid w:val="003163AE"/>
    <w:rsid w:val="00317B96"/>
    <w:rsid w:val="00320269"/>
    <w:rsid w:val="00320C42"/>
    <w:rsid w:val="003212ED"/>
    <w:rsid w:val="00321B3D"/>
    <w:rsid w:val="00321E09"/>
    <w:rsid w:val="00322580"/>
    <w:rsid w:val="00323478"/>
    <w:rsid w:val="003244D4"/>
    <w:rsid w:val="003245C1"/>
    <w:rsid w:val="00324F29"/>
    <w:rsid w:val="00325F61"/>
    <w:rsid w:val="003262C2"/>
    <w:rsid w:val="00326381"/>
    <w:rsid w:val="00326E24"/>
    <w:rsid w:val="003302B0"/>
    <w:rsid w:val="00330A37"/>
    <w:rsid w:val="0033116B"/>
    <w:rsid w:val="0033133B"/>
    <w:rsid w:val="00332188"/>
    <w:rsid w:val="0033243B"/>
    <w:rsid w:val="0033359F"/>
    <w:rsid w:val="00333935"/>
    <w:rsid w:val="003339E1"/>
    <w:rsid w:val="00333AF1"/>
    <w:rsid w:val="003340EA"/>
    <w:rsid w:val="0033577C"/>
    <w:rsid w:val="0033732B"/>
    <w:rsid w:val="003400C6"/>
    <w:rsid w:val="003407B5"/>
    <w:rsid w:val="003407D1"/>
    <w:rsid w:val="00341C55"/>
    <w:rsid w:val="00341DB4"/>
    <w:rsid w:val="0034387E"/>
    <w:rsid w:val="0034391F"/>
    <w:rsid w:val="00344398"/>
    <w:rsid w:val="003444E4"/>
    <w:rsid w:val="0034484A"/>
    <w:rsid w:val="003451AF"/>
    <w:rsid w:val="00345B20"/>
    <w:rsid w:val="00345FA0"/>
    <w:rsid w:val="00346B15"/>
    <w:rsid w:val="00347BC6"/>
    <w:rsid w:val="00351583"/>
    <w:rsid w:val="003516FD"/>
    <w:rsid w:val="003517E7"/>
    <w:rsid w:val="00351DE8"/>
    <w:rsid w:val="00352234"/>
    <w:rsid w:val="00352BCD"/>
    <w:rsid w:val="00353538"/>
    <w:rsid w:val="003536D2"/>
    <w:rsid w:val="00354562"/>
    <w:rsid w:val="00354B45"/>
    <w:rsid w:val="00354B96"/>
    <w:rsid w:val="0035667E"/>
    <w:rsid w:val="003566AE"/>
    <w:rsid w:val="0035722A"/>
    <w:rsid w:val="0035741D"/>
    <w:rsid w:val="0035780C"/>
    <w:rsid w:val="003578C4"/>
    <w:rsid w:val="00357E78"/>
    <w:rsid w:val="00360456"/>
    <w:rsid w:val="003606BC"/>
    <w:rsid w:val="00360E8F"/>
    <w:rsid w:val="0036134A"/>
    <w:rsid w:val="00361BE5"/>
    <w:rsid w:val="00362599"/>
    <w:rsid w:val="0036280F"/>
    <w:rsid w:val="00364048"/>
    <w:rsid w:val="00364072"/>
    <w:rsid w:val="00364DE9"/>
    <w:rsid w:val="00365889"/>
    <w:rsid w:val="00370937"/>
    <w:rsid w:val="003720F4"/>
    <w:rsid w:val="003727FC"/>
    <w:rsid w:val="00372C27"/>
    <w:rsid w:val="0037323D"/>
    <w:rsid w:val="00375841"/>
    <w:rsid w:val="00376908"/>
    <w:rsid w:val="00377593"/>
    <w:rsid w:val="00377F3F"/>
    <w:rsid w:val="00380C26"/>
    <w:rsid w:val="003810BB"/>
    <w:rsid w:val="00381328"/>
    <w:rsid w:val="00384173"/>
    <w:rsid w:val="00384A5F"/>
    <w:rsid w:val="003851B3"/>
    <w:rsid w:val="00386013"/>
    <w:rsid w:val="003860F2"/>
    <w:rsid w:val="003903C9"/>
    <w:rsid w:val="00390C99"/>
    <w:rsid w:val="0039278F"/>
    <w:rsid w:val="00393140"/>
    <w:rsid w:val="00393F8E"/>
    <w:rsid w:val="003945A2"/>
    <w:rsid w:val="00394DBD"/>
    <w:rsid w:val="00395DCF"/>
    <w:rsid w:val="00396B8C"/>
    <w:rsid w:val="003A021B"/>
    <w:rsid w:val="003A2A6B"/>
    <w:rsid w:val="003A2D38"/>
    <w:rsid w:val="003A3DBD"/>
    <w:rsid w:val="003A4942"/>
    <w:rsid w:val="003A51F6"/>
    <w:rsid w:val="003A520C"/>
    <w:rsid w:val="003A564C"/>
    <w:rsid w:val="003A72E2"/>
    <w:rsid w:val="003B071E"/>
    <w:rsid w:val="003B0AFF"/>
    <w:rsid w:val="003B0E52"/>
    <w:rsid w:val="003B166B"/>
    <w:rsid w:val="003B2991"/>
    <w:rsid w:val="003B2A3E"/>
    <w:rsid w:val="003B2E8C"/>
    <w:rsid w:val="003B35CB"/>
    <w:rsid w:val="003B5571"/>
    <w:rsid w:val="003B5B6A"/>
    <w:rsid w:val="003B66E2"/>
    <w:rsid w:val="003B67E5"/>
    <w:rsid w:val="003B748B"/>
    <w:rsid w:val="003B75A5"/>
    <w:rsid w:val="003C0526"/>
    <w:rsid w:val="003C06EF"/>
    <w:rsid w:val="003C07D1"/>
    <w:rsid w:val="003C09BE"/>
    <w:rsid w:val="003C0C7C"/>
    <w:rsid w:val="003C1029"/>
    <w:rsid w:val="003C2D1C"/>
    <w:rsid w:val="003C2F68"/>
    <w:rsid w:val="003C3DE8"/>
    <w:rsid w:val="003C41FB"/>
    <w:rsid w:val="003C4743"/>
    <w:rsid w:val="003C485F"/>
    <w:rsid w:val="003C5A69"/>
    <w:rsid w:val="003C60FA"/>
    <w:rsid w:val="003C6242"/>
    <w:rsid w:val="003C7335"/>
    <w:rsid w:val="003C7E04"/>
    <w:rsid w:val="003D03A9"/>
    <w:rsid w:val="003D0459"/>
    <w:rsid w:val="003D059F"/>
    <w:rsid w:val="003D06F8"/>
    <w:rsid w:val="003D0D24"/>
    <w:rsid w:val="003D155C"/>
    <w:rsid w:val="003D3135"/>
    <w:rsid w:val="003D3A91"/>
    <w:rsid w:val="003D470B"/>
    <w:rsid w:val="003D51D7"/>
    <w:rsid w:val="003D5B0A"/>
    <w:rsid w:val="003D7557"/>
    <w:rsid w:val="003D768C"/>
    <w:rsid w:val="003E0205"/>
    <w:rsid w:val="003E04C5"/>
    <w:rsid w:val="003E1676"/>
    <w:rsid w:val="003E2B3D"/>
    <w:rsid w:val="003E3A93"/>
    <w:rsid w:val="003E6B9E"/>
    <w:rsid w:val="003F0B54"/>
    <w:rsid w:val="003F1444"/>
    <w:rsid w:val="003F19DE"/>
    <w:rsid w:val="003F1FB3"/>
    <w:rsid w:val="003F295C"/>
    <w:rsid w:val="003F2C51"/>
    <w:rsid w:val="003F6784"/>
    <w:rsid w:val="003F7B71"/>
    <w:rsid w:val="004003DF"/>
    <w:rsid w:val="00400851"/>
    <w:rsid w:val="00400A9B"/>
    <w:rsid w:val="00401F8B"/>
    <w:rsid w:val="00402BB4"/>
    <w:rsid w:val="004079B8"/>
    <w:rsid w:val="00407A0E"/>
    <w:rsid w:val="004114BC"/>
    <w:rsid w:val="00411A60"/>
    <w:rsid w:val="004120C0"/>
    <w:rsid w:val="00412C13"/>
    <w:rsid w:val="004144A1"/>
    <w:rsid w:val="004146B6"/>
    <w:rsid w:val="00415082"/>
    <w:rsid w:val="004155D6"/>
    <w:rsid w:val="00415722"/>
    <w:rsid w:val="004158F4"/>
    <w:rsid w:val="00416A23"/>
    <w:rsid w:val="0041700B"/>
    <w:rsid w:val="0042072A"/>
    <w:rsid w:val="00420CCA"/>
    <w:rsid w:val="004225D1"/>
    <w:rsid w:val="00423361"/>
    <w:rsid w:val="00425A1E"/>
    <w:rsid w:val="00425B70"/>
    <w:rsid w:val="004265B1"/>
    <w:rsid w:val="00426B9C"/>
    <w:rsid w:val="0042716F"/>
    <w:rsid w:val="004304EC"/>
    <w:rsid w:val="004349B4"/>
    <w:rsid w:val="004374A9"/>
    <w:rsid w:val="0043768C"/>
    <w:rsid w:val="004401FD"/>
    <w:rsid w:val="004409A2"/>
    <w:rsid w:val="00442C21"/>
    <w:rsid w:val="00443207"/>
    <w:rsid w:val="00443846"/>
    <w:rsid w:val="00443EF7"/>
    <w:rsid w:val="0044500B"/>
    <w:rsid w:val="00445CE6"/>
    <w:rsid w:val="00446FFF"/>
    <w:rsid w:val="0044730D"/>
    <w:rsid w:val="004473C7"/>
    <w:rsid w:val="004477E2"/>
    <w:rsid w:val="004508AF"/>
    <w:rsid w:val="00450D0A"/>
    <w:rsid w:val="00451976"/>
    <w:rsid w:val="00454083"/>
    <w:rsid w:val="0045545B"/>
    <w:rsid w:val="00455C9E"/>
    <w:rsid w:val="00455D41"/>
    <w:rsid w:val="00456225"/>
    <w:rsid w:val="00456CC3"/>
    <w:rsid w:val="004600D1"/>
    <w:rsid w:val="004628CF"/>
    <w:rsid w:val="00462986"/>
    <w:rsid w:val="00462C61"/>
    <w:rsid w:val="00464474"/>
    <w:rsid w:val="004658BC"/>
    <w:rsid w:val="00465FE9"/>
    <w:rsid w:val="0046667B"/>
    <w:rsid w:val="00467E2A"/>
    <w:rsid w:val="00471364"/>
    <w:rsid w:val="00471FE8"/>
    <w:rsid w:val="0047400A"/>
    <w:rsid w:val="004750F2"/>
    <w:rsid w:val="0047654B"/>
    <w:rsid w:val="004772D0"/>
    <w:rsid w:val="00477523"/>
    <w:rsid w:val="00477580"/>
    <w:rsid w:val="00480515"/>
    <w:rsid w:val="0048438E"/>
    <w:rsid w:val="00484811"/>
    <w:rsid w:val="004861B4"/>
    <w:rsid w:val="00486513"/>
    <w:rsid w:val="004869D3"/>
    <w:rsid w:val="00486D16"/>
    <w:rsid w:val="0048730B"/>
    <w:rsid w:val="0049082A"/>
    <w:rsid w:val="00491AB9"/>
    <w:rsid w:val="00491F2E"/>
    <w:rsid w:val="004923E5"/>
    <w:rsid w:val="00492608"/>
    <w:rsid w:val="00492A0C"/>
    <w:rsid w:val="00494558"/>
    <w:rsid w:val="004947B9"/>
    <w:rsid w:val="00494834"/>
    <w:rsid w:val="004950AA"/>
    <w:rsid w:val="00496C01"/>
    <w:rsid w:val="00497562"/>
    <w:rsid w:val="004978E1"/>
    <w:rsid w:val="004A00D0"/>
    <w:rsid w:val="004A3137"/>
    <w:rsid w:val="004A37D9"/>
    <w:rsid w:val="004A3A25"/>
    <w:rsid w:val="004A4092"/>
    <w:rsid w:val="004A4DDB"/>
    <w:rsid w:val="004A4EB2"/>
    <w:rsid w:val="004A5256"/>
    <w:rsid w:val="004A54E0"/>
    <w:rsid w:val="004A5C18"/>
    <w:rsid w:val="004A690C"/>
    <w:rsid w:val="004A6A1F"/>
    <w:rsid w:val="004A72A4"/>
    <w:rsid w:val="004A7D12"/>
    <w:rsid w:val="004B0E21"/>
    <w:rsid w:val="004B193B"/>
    <w:rsid w:val="004B33F5"/>
    <w:rsid w:val="004B3DAA"/>
    <w:rsid w:val="004B4490"/>
    <w:rsid w:val="004B4875"/>
    <w:rsid w:val="004B4C98"/>
    <w:rsid w:val="004B5154"/>
    <w:rsid w:val="004B52BF"/>
    <w:rsid w:val="004B5557"/>
    <w:rsid w:val="004B5BB5"/>
    <w:rsid w:val="004B629D"/>
    <w:rsid w:val="004B7A84"/>
    <w:rsid w:val="004B7EC2"/>
    <w:rsid w:val="004B7FC8"/>
    <w:rsid w:val="004C0363"/>
    <w:rsid w:val="004C17A0"/>
    <w:rsid w:val="004C6474"/>
    <w:rsid w:val="004C70A4"/>
    <w:rsid w:val="004C70C9"/>
    <w:rsid w:val="004C71F7"/>
    <w:rsid w:val="004C7C8A"/>
    <w:rsid w:val="004D13E8"/>
    <w:rsid w:val="004D2073"/>
    <w:rsid w:val="004D236C"/>
    <w:rsid w:val="004D3293"/>
    <w:rsid w:val="004D378B"/>
    <w:rsid w:val="004D4314"/>
    <w:rsid w:val="004D4A14"/>
    <w:rsid w:val="004D5BCB"/>
    <w:rsid w:val="004D75D4"/>
    <w:rsid w:val="004E1756"/>
    <w:rsid w:val="004E2AE9"/>
    <w:rsid w:val="004E32A4"/>
    <w:rsid w:val="004E32BB"/>
    <w:rsid w:val="004E3462"/>
    <w:rsid w:val="004E3932"/>
    <w:rsid w:val="004E3A38"/>
    <w:rsid w:val="004E4497"/>
    <w:rsid w:val="004E5D54"/>
    <w:rsid w:val="004E5EB1"/>
    <w:rsid w:val="004E6C04"/>
    <w:rsid w:val="004F05E2"/>
    <w:rsid w:val="004F0F48"/>
    <w:rsid w:val="004F1D8D"/>
    <w:rsid w:val="004F2450"/>
    <w:rsid w:val="004F3C21"/>
    <w:rsid w:val="004F4860"/>
    <w:rsid w:val="004F4C32"/>
    <w:rsid w:val="004F5102"/>
    <w:rsid w:val="004F543B"/>
    <w:rsid w:val="004F5EFA"/>
    <w:rsid w:val="004F6C64"/>
    <w:rsid w:val="004F6EBB"/>
    <w:rsid w:val="004F768E"/>
    <w:rsid w:val="0050231E"/>
    <w:rsid w:val="00502F3F"/>
    <w:rsid w:val="0050443B"/>
    <w:rsid w:val="00505440"/>
    <w:rsid w:val="00505A72"/>
    <w:rsid w:val="005076D3"/>
    <w:rsid w:val="005078EF"/>
    <w:rsid w:val="0051007B"/>
    <w:rsid w:val="00511F3E"/>
    <w:rsid w:val="00512653"/>
    <w:rsid w:val="005132E7"/>
    <w:rsid w:val="0051350C"/>
    <w:rsid w:val="00513898"/>
    <w:rsid w:val="005145F0"/>
    <w:rsid w:val="00514626"/>
    <w:rsid w:val="00515F2D"/>
    <w:rsid w:val="00516944"/>
    <w:rsid w:val="00516AB6"/>
    <w:rsid w:val="00516F36"/>
    <w:rsid w:val="005177AA"/>
    <w:rsid w:val="00517897"/>
    <w:rsid w:val="00520B11"/>
    <w:rsid w:val="00521F9C"/>
    <w:rsid w:val="005228F9"/>
    <w:rsid w:val="00522BBC"/>
    <w:rsid w:val="0052367D"/>
    <w:rsid w:val="005247E4"/>
    <w:rsid w:val="00524BC0"/>
    <w:rsid w:val="00524BFF"/>
    <w:rsid w:val="005257F9"/>
    <w:rsid w:val="00525F31"/>
    <w:rsid w:val="005268DB"/>
    <w:rsid w:val="00527261"/>
    <w:rsid w:val="00527638"/>
    <w:rsid w:val="00530B0A"/>
    <w:rsid w:val="00530EE0"/>
    <w:rsid w:val="00530FC7"/>
    <w:rsid w:val="005315B1"/>
    <w:rsid w:val="00531FF7"/>
    <w:rsid w:val="00532E9B"/>
    <w:rsid w:val="00533C7B"/>
    <w:rsid w:val="0053554F"/>
    <w:rsid w:val="00535834"/>
    <w:rsid w:val="00535ADD"/>
    <w:rsid w:val="0053616C"/>
    <w:rsid w:val="00536C8B"/>
    <w:rsid w:val="00537B3D"/>
    <w:rsid w:val="0054076C"/>
    <w:rsid w:val="00541348"/>
    <w:rsid w:val="0054176B"/>
    <w:rsid w:val="00542986"/>
    <w:rsid w:val="00542C86"/>
    <w:rsid w:val="00542E19"/>
    <w:rsid w:val="00543B84"/>
    <w:rsid w:val="00543D73"/>
    <w:rsid w:val="00545203"/>
    <w:rsid w:val="005456C2"/>
    <w:rsid w:val="00546B4F"/>
    <w:rsid w:val="00547558"/>
    <w:rsid w:val="00547F9D"/>
    <w:rsid w:val="005510E6"/>
    <w:rsid w:val="00551267"/>
    <w:rsid w:val="00551714"/>
    <w:rsid w:val="00551995"/>
    <w:rsid w:val="00552A43"/>
    <w:rsid w:val="0055422B"/>
    <w:rsid w:val="00554647"/>
    <w:rsid w:val="00554A65"/>
    <w:rsid w:val="0055565D"/>
    <w:rsid w:val="0055641B"/>
    <w:rsid w:val="00556F24"/>
    <w:rsid w:val="00557611"/>
    <w:rsid w:val="00557FA1"/>
    <w:rsid w:val="00560746"/>
    <w:rsid w:val="00560E93"/>
    <w:rsid w:val="00561376"/>
    <w:rsid w:val="005617DF"/>
    <w:rsid w:val="00561CBE"/>
    <w:rsid w:val="005640AF"/>
    <w:rsid w:val="00564445"/>
    <w:rsid w:val="005659D6"/>
    <w:rsid w:val="00566168"/>
    <w:rsid w:val="00566FBA"/>
    <w:rsid w:val="00567931"/>
    <w:rsid w:val="00567EB7"/>
    <w:rsid w:val="005706C1"/>
    <w:rsid w:val="00570AA4"/>
    <w:rsid w:val="005718A8"/>
    <w:rsid w:val="00571EB0"/>
    <w:rsid w:val="0057226A"/>
    <w:rsid w:val="005734D3"/>
    <w:rsid w:val="00573C47"/>
    <w:rsid w:val="00573C8E"/>
    <w:rsid w:val="00573DA6"/>
    <w:rsid w:val="00574830"/>
    <w:rsid w:val="0057520A"/>
    <w:rsid w:val="0057552C"/>
    <w:rsid w:val="0057565A"/>
    <w:rsid w:val="0057731C"/>
    <w:rsid w:val="00580E4D"/>
    <w:rsid w:val="00581D17"/>
    <w:rsid w:val="00581DB1"/>
    <w:rsid w:val="00581E76"/>
    <w:rsid w:val="0058368D"/>
    <w:rsid w:val="00584BB7"/>
    <w:rsid w:val="00584DBE"/>
    <w:rsid w:val="005852CE"/>
    <w:rsid w:val="00586276"/>
    <w:rsid w:val="00586B53"/>
    <w:rsid w:val="00586D79"/>
    <w:rsid w:val="0058706A"/>
    <w:rsid w:val="00587ED5"/>
    <w:rsid w:val="00590470"/>
    <w:rsid w:val="005906BA"/>
    <w:rsid w:val="00591268"/>
    <w:rsid w:val="00591F3B"/>
    <w:rsid w:val="005926DC"/>
    <w:rsid w:val="00592E83"/>
    <w:rsid w:val="0059402B"/>
    <w:rsid w:val="00595089"/>
    <w:rsid w:val="005957A0"/>
    <w:rsid w:val="0059583F"/>
    <w:rsid w:val="00596E50"/>
    <w:rsid w:val="00597517"/>
    <w:rsid w:val="005A00EC"/>
    <w:rsid w:val="005A0273"/>
    <w:rsid w:val="005A0594"/>
    <w:rsid w:val="005A0BD1"/>
    <w:rsid w:val="005A14E2"/>
    <w:rsid w:val="005A3B7D"/>
    <w:rsid w:val="005A425B"/>
    <w:rsid w:val="005A4801"/>
    <w:rsid w:val="005A61C1"/>
    <w:rsid w:val="005A66CE"/>
    <w:rsid w:val="005A6969"/>
    <w:rsid w:val="005A77E9"/>
    <w:rsid w:val="005A7918"/>
    <w:rsid w:val="005B0D6F"/>
    <w:rsid w:val="005B1471"/>
    <w:rsid w:val="005B1CCC"/>
    <w:rsid w:val="005B2501"/>
    <w:rsid w:val="005B463E"/>
    <w:rsid w:val="005B48A8"/>
    <w:rsid w:val="005B5526"/>
    <w:rsid w:val="005B5BA1"/>
    <w:rsid w:val="005B64A0"/>
    <w:rsid w:val="005B6639"/>
    <w:rsid w:val="005B68B8"/>
    <w:rsid w:val="005B7730"/>
    <w:rsid w:val="005C1052"/>
    <w:rsid w:val="005C1985"/>
    <w:rsid w:val="005C1DBD"/>
    <w:rsid w:val="005C2007"/>
    <w:rsid w:val="005C2A9A"/>
    <w:rsid w:val="005C2EF6"/>
    <w:rsid w:val="005C3F3E"/>
    <w:rsid w:val="005C45DA"/>
    <w:rsid w:val="005C4D83"/>
    <w:rsid w:val="005C5FEE"/>
    <w:rsid w:val="005C650A"/>
    <w:rsid w:val="005C6799"/>
    <w:rsid w:val="005C72A9"/>
    <w:rsid w:val="005C7637"/>
    <w:rsid w:val="005D038D"/>
    <w:rsid w:val="005D1600"/>
    <w:rsid w:val="005D16C7"/>
    <w:rsid w:val="005D250A"/>
    <w:rsid w:val="005D2548"/>
    <w:rsid w:val="005D38AF"/>
    <w:rsid w:val="005D393E"/>
    <w:rsid w:val="005D447A"/>
    <w:rsid w:val="005D6DD6"/>
    <w:rsid w:val="005D7366"/>
    <w:rsid w:val="005E0877"/>
    <w:rsid w:val="005E1BCD"/>
    <w:rsid w:val="005E3972"/>
    <w:rsid w:val="005E43CE"/>
    <w:rsid w:val="005E5211"/>
    <w:rsid w:val="005E52CE"/>
    <w:rsid w:val="005E7DBF"/>
    <w:rsid w:val="005F2295"/>
    <w:rsid w:val="005F31C1"/>
    <w:rsid w:val="005F401E"/>
    <w:rsid w:val="005F40C3"/>
    <w:rsid w:val="005F4454"/>
    <w:rsid w:val="005F4903"/>
    <w:rsid w:val="005F574C"/>
    <w:rsid w:val="005F5AFB"/>
    <w:rsid w:val="005F5B7F"/>
    <w:rsid w:val="005F6CF4"/>
    <w:rsid w:val="005F77B0"/>
    <w:rsid w:val="005F7EB7"/>
    <w:rsid w:val="00602BDC"/>
    <w:rsid w:val="00603536"/>
    <w:rsid w:val="00603B8B"/>
    <w:rsid w:val="00605387"/>
    <w:rsid w:val="00605E68"/>
    <w:rsid w:val="00606467"/>
    <w:rsid w:val="00607056"/>
    <w:rsid w:val="00607964"/>
    <w:rsid w:val="00610125"/>
    <w:rsid w:val="00610687"/>
    <w:rsid w:val="00610841"/>
    <w:rsid w:val="00610FF4"/>
    <w:rsid w:val="00612DFE"/>
    <w:rsid w:val="006132A2"/>
    <w:rsid w:val="006135AA"/>
    <w:rsid w:val="00613600"/>
    <w:rsid w:val="006144D7"/>
    <w:rsid w:val="00614BF2"/>
    <w:rsid w:val="006156A9"/>
    <w:rsid w:val="00615BE2"/>
    <w:rsid w:val="00616063"/>
    <w:rsid w:val="00616A50"/>
    <w:rsid w:val="00616E6A"/>
    <w:rsid w:val="006175BA"/>
    <w:rsid w:val="00617907"/>
    <w:rsid w:val="0062007F"/>
    <w:rsid w:val="00622A51"/>
    <w:rsid w:val="00624523"/>
    <w:rsid w:val="006245EA"/>
    <w:rsid w:val="006268BB"/>
    <w:rsid w:val="00630EF9"/>
    <w:rsid w:val="00631BB6"/>
    <w:rsid w:val="00632929"/>
    <w:rsid w:val="0063323D"/>
    <w:rsid w:val="006346D8"/>
    <w:rsid w:val="00635CDC"/>
    <w:rsid w:val="006364E5"/>
    <w:rsid w:val="00636906"/>
    <w:rsid w:val="00636D56"/>
    <w:rsid w:val="00636E8D"/>
    <w:rsid w:val="00637073"/>
    <w:rsid w:val="00637644"/>
    <w:rsid w:val="00637A5D"/>
    <w:rsid w:val="00640C87"/>
    <w:rsid w:val="0064372D"/>
    <w:rsid w:val="006446B6"/>
    <w:rsid w:val="00644E1D"/>
    <w:rsid w:val="00646A45"/>
    <w:rsid w:val="00647B44"/>
    <w:rsid w:val="006519E8"/>
    <w:rsid w:val="006524CA"/>
    <w:rsid w:val="006534D9"/>
    <w:rsid w:val="00653661"/>
    <w:rsid w:val="0065366B"/>
    <w:rsid w:val="00654343"/>
    <w:rsid w:val="0065445E"/>
    <w:rsid w:val="00654A27"/>
    <w:rsid w:val="00655C59"/>
    <w:rsid w:val="006560A9"/>
    <w:rsid w:val="00656F7C"/>
    <w:rsid w:val="00657482"/>
    <w:rsid w:val="00657B50"/>
    <w:rsid w:val="00657CD2"/>
    <w:rsid w:val="0066111E"/>
    <w:rsid w:val="0066148F"/>
    <w:rsid w:val="00662940"/>
    <w:rsid w:val="00662FA4"/>
    <w:rsid w:val="00663534"/>
    <w:rsid w:val="006637FB"/>
    <w:rsid w:val="00664812"/>
    <w:rsid w:val="00664F37"/>
    <w:rsid w:val="006650DC"/>
    <w:rsid w:val="00665E14"/>
    <w:rsid w:val="0066754D"/>
    <w:rsid w:val="00667F51"/>
    <w:rsid w:val="00670566"/>
    <w:rsid w:val="006709CB"/>
    <w:rsid w:val="00671F17"/>
    <w:rsid w:val="00672540"/>
    <w:rsid w:val="00672C23"/>
    <w:rsid w:val="00672D0A"/>
    <w:rsid w:val="00674843"/>
    <w:rsid w:val="00675743"/>
    <w:rsid w:val="00675969"/>
    <w:rsid w:val="00676461"/>
    <w:rsid w:val="0068077E"/>
    <w:rsid w:val="00680A4A"/>
    <w:rsid w:val="006817D6"/>
    <w:rsid w:val="006826F9"/>
    <w:rsid w:val="0068306C"/>
    <w:rsid w:val="00685AA5"/>
    <w:rsid w:val="006866B5"/>
    <w:rsid w:val="00686D94"/>
    <w:rsid w:val="00687C87"/>
    <w:rsid w:val="00687E87"/>
    <w:rsid w:val="00692161"/>
    <w:rsid w:val="0069394C"/>
    <w:rsid w:val="00694F90"/>
    <w:rsid w:val="006954C0"/>
    <w:rsid w:val="00695754"/>
    <w:rsid w:val="0069694C"/>
    <w:rsid w:val="006A0F03"/>
    <w:rsid w:val="006A1737"/>
    <w:rsid w:val="006A2360"/>
    <w:rsid w:val="006A3790"/>
    <w:rsid w:val="006A42CE"/>
    <w:rsid w:val="006A457C"/>
    <w:rsid w:val="006A4E8D"/>
    <w:rsid w:val="006A6162"/>
    <w:rsid w:val="006A62CE"/>
    <w:rsid w:val="006A6334"/>
    <w:rsid w:val="006A6B38"/>
    <w:rsid w:val="006A75BF"/>
    <w:rsid w:val="006A783E"/>
    <w:rsid w:val="006B07F3"/>
    <w:rsid w:val="006B15F7"/>
    <w:rsid w:val="006B27B5"/>
    <w:rsid w:val="006B285B"/>
    <w:rsid w:val="006B2949"/>
    <w:rsid w:val="006B2E9C"/>
    <w:rsid w:val="006B3877"/>
    <w:rsid w:val="006B39DA"/>
    <w:rsid w:val="006B46AA"/>
    <w:rsid w:val="006B4C0B"/>
    <w:rsid w:val="006B56D5"/>
    <w:rsid w:val="006B586C"/>
    <w:rsid w:val="006B5A7F"/>
    <w:rsid w:val="006B7087"/>
    <w:rsid w:val="006C0490"/>
    <w:rsid w:val="006C1248"/>
    <w:rsid w:val="006C1C9C"/>
    <w:rsid w:val="006C2CA0"/>
    <w:rsid w:val="006C3D77"/>
    <w:rsid w:val="006C46AE"/>
    <w:rsid w:val="006C479E"/>
    <w:rsid w:val="006C4CC7"/>
    <w:rsid w:val="006C560F"/>
    <w:rsid w:val="006C5E7C"/>
    <w:rsid w:val="006C6CFA"/>
    <w:rsid w:val="006D06D1"/>
    <w:rsid w:val="006D07B9"/>
    <w:rsid w:val="006D0BDF"/>
    <w:rsid w:val="006D0F8C"/>
    <w:rsid w:val="006D2952"/>
    <w:rsid w:val="006D30C8"/>
    <w:rsid w:val="006D543E"/>
    <w:rsid w:val="006D56A2"/>
    <w:rsid w:val="006D65E3"/>
    <w:rsid w:val="006D6709"/>
    <w:rsid w:val="006D71AE"/>
    <w:rsid w:val="006D76AB"/>
    <w:rsid w:val="006E0E28"/>
    <w:rsid w:val="006E0F70"/>
    <w:rsid w:val="006E1430"/>
    <w:rsid w:val="006E1DCB"/>
    <w:rsid w:val="006E339E"/>
    <w:rsid w:val="006E38C2"/>
    <w:rsid w:val="006E3E3D"/>
    <w:rsid w:val="006E3E3E"/>
    <w:rsid w:val="006E4CA3"/>
    <w:rsid w:val="006E57B2"/>
    <w:rsid w:val="006E6711"/>
    <w:rsid w:val="006E69C6"/>
    <w:rsid w:val="006E7B49"/>
    <w:rsid w:val="006F0E87"/>
    <w:rsid w:val="006F133E"/>
    <w:rsid w:val="006F1B5E"/>
    <w:rsid w:val="006F28DC"/>
    <w:rsid w:val="006F2F48"/>
    <w:rsid w:val="006F5C8B"/>
    <w:rsid w:val="006F5CDF"/>
    <w:rsid w:val="006F5F81"/>
    <w:rsid w:val="006F6FB1"/>
    <w:rsid w:val="006F77A1"/>
    <w:rsid w:val="006F78B5"/>
    <w:rsid w:val="00700BFB"/>
    <w:rsid w:val="00701627"/>
    <w:rsid w:val="00701783"/>
    <w:rsid w:val="007018C0"/>
    <w:rsid w:val="00701E35"/>
    <w:rsid w:val="007036BC"/>
    <w:rsid w:val="00703730"/>
    <w:rsid w:val="0070375A"/>
    <w:rsid w:val="007038CA"/>
    <w:rsid w:val="007041A3"/>
    <w:rsid w:val="00704E0F"/>
    <w:rsid w:val="007050B7"/>
    <w:rsid w:val="00706E86"/>
    <w:rsid w:val="007103EB"/>
    <w:rsid w:val="00710818"/>
    <w:rsid w:val="007117B6"/>
    <w:rsid w:val="00711BD9"/>
    <w:rsid w:val="00711F19"/>
    <w:rsid w:val="0071216F"/>
    <w:rsid w:val="00712D5B"/>
    <w:rsid w:val="00713534"/>
    <w:rsid w:val="007136F1"/>
    <w:rsid w:val="007145DC"/>
    <w:rsid w:val="00715E58"/>
    <w:rsid w:val="00716BC4"/>
    <w:rsid w:val="00716E75"/>
    <w:rsid w:val="007176E1"/>
    <w:rsid w:val="0071772E"/>
    <w:rsid w:val="00722B92"/>
    <w:rsid w:val="00723016"/>
    <w:rsid w:val="0072306E"/>
    <w:rsid w:val="00723746"/>
    <w:rsid w:val="007238E9"/>
    <w:rsid w:val="007257EE"/>
    <w:rsid w:val="00725C4D"/>
    <w:rsid w:val="00726199"/>
    <w:rsid w:val="007268E7"/>
    <w:rsid w:val="00726C16"/>
    <w:rsid w:val="00731E71"/>
    <w:rsid w:val="00731F8C"/>
    <w:rsid w:val="00732199"/>
    <w:rsid w:val="00732D5D"/>
    <w:rsid w:val="007338F9"/>
    <w:rsid w:val="007347C0"/>
    <w:rsid w:val="007353D0"/>
    <w:rsid w:val="00735B15"/>
    <w:rsid w:val="00735E81"/>
    <w:rsid w:val="007369AC"/>
    <w:rsid w:val="00736D62"/>
    <w:rsid w:val="00741DAC"/>
    <w:rsid w:val="007430E4"/>
    <w:rsid w:val="00744075"/>
    <w:rsid w:val="00744BBC"/>
    <w:rsid w:val="007452A3"/>
    <w:rsid w:val="00746633"/>
    <w:rsid w:val="00746E01"/>
    <w:rsid w:val="00746F53"/>
    <w:rsid w:val="00747C60"/>
    <w:rsid w:val="0075017C"/>
    <w:rsid w:val="0075115C"/>
    <w:rsid w:val="00751D96"/>
    <w:rsid w:val="00752A1D"/>
    <w:rsid w:val="00752C02"/>
    <w:rsid w:val="00752DAD"/>
    <w:rsid w:val="007534B4"/>
    <w:rsid w:val="00753778"/>
    <w:rsid w:val="0075390C"/>
    <w:rsid w:val="0075593D"/>
    <w:rsid w:val="0075695E"/>
    <w:rsid w:val="00756A90"/>
    <w:rsid w:val="007618B7"/>
    <w:rsid w:val="00763F10"/>
    <w:rsid w:val="00764559"/>
    <w:rsid w:val="00764565"/>
    <w:rsid w:val="00765151"/>
    <w:rsid w:val="00765CEC"/>
    <w:rsid w:val="00767964"/>
    <w:rsid w:val="00767DEA"/>
    <w:rsid w:val="0077251C"/>
    <w:rsid w:val="00772E70"/>
    <w:rsid w:val="007738DF"/>
    <w:rsid w:val="00773AB3"/>
    <w:rsid w:val="00774B11"/>
    <w:rsid w:val="00776C92"/>
    <w:rsid w:val="007803CE"/>
    <w:rsid w:val="00780AF1"/>
    <w:rsid w:val="007813F6"/>
    <w:rsid w:val="007815B9"/>
    <w:rsid w:val="007819AE"/>
    <w:rsid w:val="007825A3"/>
    <w:rsid w:val="00782AC1"/>
    <w:rsid w:val="00782FD6"/>
    <w:rsid w:val="007841A8"/>
    <w:rsid w:val="0078565F"/>
    <w:rsid w:val="00786A28"/>
    <w:rsid w:val="00787740"/>
    <w:rsid w:val="00791845"/>
    <w:rsid w:val="00792686"/>
    <w:rsid w:val="00792F84"/>
    <w:rsid w:val="00794873"/>
    <w:rsid w:val="00795D66"/>
    <w:rsid w:val="00795DC2"/>
    <w:rsid w:val="00796924"/>
    <w:rsid w:val="0079693A"/>
    <w:rsid w:val="00796CB0"/>
    <w:rsid w:val="00796D36"/>
    <w:rsid w:val="007A0768"/>
    <w:rsid w:val="007A1F51"/>
    <w:rsid w:val="007A245A"/>
    <w:rsid w:val="007A27B1"/>
    <w:rsid w:val="007A2BE9"/>
    <w:rsid w:val="007A2CC7"/>
    <w:rsid w:val="007A4DC9"/>
    <w:rsid w:val="007A50A4"/>
    <w:rsid w:val="007A54EE"/>
    <w:rsid w:val="007A675D"/>
    <w:rsid w:val="007B0F93"/>
    <w:rsid w:val="007B14CB"/>
    <w:rsid w:val="007B1DE9"/>
    <w:rsid w:val="007B2341"/>
    <w:rsid w:val="007B2913"/>
    <w:rsid w:val="007B381E"/>
    <w:rsid w:val="007B4526"/>
    <w:rsid w:val="007B48BC"/>
    <w:rsid w:val="007B5021"/>
    <w:rsid w:val="007B568A"/>
    <w:rsid w:val="007B5FCA"/>
    <w:rsid w:val="007B6A02"/>
    <w:rsid w:val="007C1232"/>
    <w:rsid w:val="007C2CC4"/>
    <w:rsid w:val="007C30B6"/>
    <w:rsid w:val="007C6448"/>
    <w:rsid w:val="007C6E81"/>
    <w:rsid w:val="007C6FFC"/>
    <w:rsid w:val="007C76A5"/>
    <w:rsid w:val="007D0270"/>
    <w:rsid w:val="007D137E"/>
    <w:rsid w:val="007D27C2"/>
    <w:rsid w:val="007D3106"/>
    <w:rsid w:val="007D3F76"/>
    <w:rsid w:val="007D428C"/>
    <w:rsid w:val="007D613E"/>
    <w:rsid w:val="007D6C8C"/>
    <w:rsid w:val="007D6DF8"/>
    <w:rsid w:val="007D73DD"/>
    <w:rsid w:val="007E0084"/>
    <w:rsid w:val="007E099E"/>
    <w:rsid w:val="007E1220"/>
    <w:rsid w:val="007E21DF"/>
    <w:rsid w:val="007E37BF"/>
    <w:rsid w:val="007E3D6A"/>
    <w:rsid w:val="007E4666"/>
    <w:rsid w:val="007E4DD7"/>
    <w:rsid w:val="007E6B98"/>
    <w:rsid w:val="007E72C5"/>
    <w:rsid w:val="007E78C4"/>
    <w:rsid w:val="007E7CBB"/>
    <w:rsid w:val="007F0055"/>
    <w:rsid w:val="007F0178"/>
    <w:rsid w:val="007F09E0"/>
    <w:rsid w:val="007F0E57"/>
    <w:rsid w:val="007F2B1E"/>
    <w:rsid w:val="007F3C80"/>
    <w:rsid w:val="007F3CED"/>
    <w:rsid w:val="007F43C9"/>
    <w:rsid w:val="007F51D6"/>
    <w:rsid w:val="007F58D6"/>
    <w:rsid w:val="007F71FB"/>
    <w:rsid w:val="007F7C1D"/>
    <w:rsid w:val="007F7C2A"/>
    <w:rsid w:val="007F7FB6"/>
    <w:rsid w:val="00800277"/>
    <w:rsid w:val="00800754"/>
    <w:rsid w:val="00800866"/>
    <w:rsid w:val="00802EF3"/>
    <w:rsid w:val="00804D4D"/>
    <w:rsid w:val="00807548"/>
    <w:rsid w:val="00810AA3"/>
    <w:rsid w:val="008111E8"/>
    <w:rsid w:val="008115AD"/>
    <w:rsid w:val="00812613"/>
    <w:rsid w:val="00812EDE"/>
    <w:rsid w:val="008143CB"/>
    <w:rsid w:val="0081515A"/>
    <w:rsid w:val="008166F2"/>
    <w:rsid w:val="008219B1"/>
    <w:rsid w:val="00821AFE"/>
    <w:rsid w:val="008232CD"/>
    <w:rsid w:val="00823EFF"/>
    <w:rsid w:val="00824432"/>
    <w:rsid w:val="00825A76"/>
    <w:rsid w:val="00827928"/>
    <w:rsid w:val="00830BFE"/>
    <w:rsid w:val="0083115B"/>
    <w:rsid w:val="00831750"/>
    <w:rsid w:val="00834045"/>
    <w:rsid w:val="0083480D"/>
    <w:rsid w:val="00834F99"/>
    <w:rsid w:val="0083507A"/>
    <w:rsid w:val="00836FDD"/>
    <w:rsid w:val="008407DA"/>
    <w:rsid w:val="008411EC"/>
    <w:rsid w:val="00841AA1"/>
    <w:rsid w:val="008435DB"/>
    <w:rsid w:val="008440F0"/>
    <w:rsid w:val="00844C0D"/>
    <w:rsid w:val="00845BCD"/>
    <w:rsid w:val="00845BEC"/>
    <w:rsid w:val="008463ED"/>
    <w:rsid w:val="00846A44"/>
    <w:rsid w:val="00846B97"/>
    <w:rsid w:val="00846E5E"/>
    <w:rsid w:val="00847AD4"/>
    <w:rsid w:val="00851B99"/>
    <w:rsid w:val="0085475A"/>
    <w:rsid w:val="00854767"/>
    <w:rsid w:val="008569CF"/>
    <w:rsid w:val="00857A66"/>
    <w:rsid w:val="00857B6B"/>
    <w:rsid w:val="00860CD8"/>
    <w:rsid w:val="00861374"/>
    <w:rsid w:val="00863E7D"/>
    <w:rsid w:val="0086423A"/>
    <w:rsid w:val="0086761C"/>
    <w:rsid w:val="008679A0"/>
    <w:rsid w:val="00870382"/>
    <w:rsid w:val="008706A5"/>
    <w:rsid w:val="00874B94"/>
    <w:rsid w:val="00874E7F"/>
    <w:rsid w:val="008753DC"/>
    <w:rsid w:val="00876506"/>
    <w:rsid w:val="00876B28"/>
    <w:rsid w:val="00880E6E"/>
    <w:rsid w:val="0088109E"/>
    <w:rsid w:val="008819AD"/>
    <w:rsid w:val="00883215"/>
    <w:rsid w:val="00884389"/>
    <w:rsid w:val="008865C0"/>
    <w:rsid w:val="00886B73"/>
    <w:rsid w:val="00891481"/>
    <w:rsid w:val="00891E18"/>
    <w:rsid w:val="00892773"/>
    <w:rsid w:val="00893189"/>
    <w:rsid w:val="00893604"/>
    <w:rsid w:val="008952DA"/>
    <w:rsid w:val="008957F6"/>
    <w:rsid w:val="00896E96"/>
    <w:rsid w:val="0089775D"/>
    <w:rsid w:val="008979BF"/>
    <w:rsid w:val="00897BEE"/>
    <w:rsid w:val="00897D29"/>
    <w:rsid w:val="008A0242"/>
    <w:rsid w:val="008A074A"/>
    <w:rsid w:val="008A2396"/>
    <w:rsid w:val="008A29E9"/>
    <w:rsid w:val="008A3784"/>
    <w:rsid w:val="008A47DF"/>
    <w:rsid w:val="008A4FFA"/>
    <w:rsid w:val="008A513E"/>
    <w:rsid w:val="008A5F49"/>
    <w:rsid w:val="008A6289"/>
    <w:rsid w:val="008A698A"/>
    <w:rsid w:val="008A722E"/>
    <w:rsid w:val="008A7793"/>
    <w:rsid w:val="008B02B9"/>
    <w:rsid w:val="008B038E"/>
    <w:rsid w:val="008B077E"/>
    <w:rsid w:val="008B0BF0"/>
    <w:rsid w:val="008B347C"/>
    <w:rsid w:val="008B4208"/>
    <w:rsid w:val="008B4BC1"/>
    <w:rsid w:val="008B577A"/>
    <w:rsid w:val="008B5BFD"/>
    <w:rsid w:val="008B70BF"/>
    <w:rsid w:val="008B7A0D"/>
    <w:rsid w:val="008C0EF9"/>
    <w:rsid w:val="008C0F5A"/>
    <w:rsid w:val="008C10F1"/>
    <w:rsid w:val="008C1B18"/>
    <w:rsid w:val="008C2B26"/>
    <w:rsid w:val="008C34A8"/>
    <w:rsid w:val="008C35BF"/>
    <w:rsid w:val="008C3670"/>
    <w:rsid w:val="008C43A4"/>
    <w:rsid w:val="008C59B7"/>
    <w:rsid w:val="008C5CA6"/>
    <w:rsid w:val="008C6195"/>
    <w:rsid w:val="008C7734"/>
    <w:rsid w:val="008C7E38"/>
    <w:rsid w:val="008D04AA"/>
    <w:rsid w:val="008D0A33"/>
    <w:rsid w:val="008D1297"/>
    <w:rsid w:val="008D171B"/>
    <w:rsid w:val="008D3435"/>
    <w:rsid w:val="008D5931"/>
    <w:rsid w:val="008D5B0A"/>
    <w:rsid w:val="008D6820"/>
    <w:rsid w:val="008E0796"/>
    <w:rsid w:val="008E491E"/>
    <w:rsid w:val="008E501E"/>
    <w:rsid w:val="008E5197"/>
    <w:rsid w:val="008E527A"/>
    <w:rsid w:val="008E6FC7"/>
    <w:rsid w:val="008F1BD4"/>
    <w:rsid w:val="008F25C3"/>
    <w:rsid w:val="008F4842"/>
    <w:rsid w:val="008F557A"/>
    <w:rsid w:val="008F622F"/>
    <w:rsid w:val="008F6870"/>
    <w:rsid w:val="00901244"/>
    <w:rsid w:val="00903A73"/>
    <w:rsid w:val="00904493"/>
    <w:rsid w:val="0090460B"/>
    <w:rsid w:val="00904D83"/>
    <w:rsid w:val="00905338"/>
    <w:rsid w:val="009053E1"/>
    <w:rsid w:val="00905FD3"/>
    <w:rsid w:val="009060AB"/>
    <w:rsid w:val="0090649B"/>
    <w:rsid w:val="00906EC5"/>
    <w:rsid w:val="00906FA4"/>
    <w:rsid w:val="00907434"/>
    <w:rsid w:val="009076E3"/>
    <w:rsid w:val="00910177"/>
    <w:rsid w:val="00910886"/>
    <w:rsid w:val="00912800"/>
    <w:rsid w:val="009137F7"/>
    <w:rsid w:val="0091383B"/>
    <w:rsid w:val="00913F3A"/>
    <w:rsid w:val="009144D5"/>
    <w:rsid w:val="009149D8"/>
    <w:rsid w:val="009150E5"/>
    <w:rsid w:val="00915533"/>
    <w:rsid w:val="00917237"/>
    <w:rsid w:val="00920C7B"/>
    <w:rsid w:val="009222B2"/>
    <w:rsid w:val="0092268D"/>
    <w:rsid w:val="00922CD8"/>
    <w:rsid w:val="00923943"/>
    <w:rsid w:val="00924468"/>
    <w:rsid w:val="0092551C"/>
    <w:rsid w:val="00930B7B"/>
    <w:rsid w:val="0093118F"/>
    <w:rsid w:val="00931406"/>
    <w:rsid w:val="0093185E"/>
    <w:rsid w:val="00933B5F"/>
    <w:rsid w:val="00933BD2"/>
    <w:rsid w:val="00933F7E"/>
    <w:rsid w:val="00934929"/>
    <w:rsid w:val="00935FDA"/>
    <w:rsid w:val="009378B9"/>
    <w:rsid w:val="00940C14"/>
    <w:rsid w:val="009424CF"/>
    <w:rsid w:val="00944CD1"/>
    <w:rsid w:val="00945C4C"/>
    <w:rsid w:val="009464F5"/>
    <w:rsid w:val="009465EB"/>
    <w:rsid w:val="0094663D"/>
    <w:rsid w:val="009509F3"/>
    <w:rsid w:val="0095231D"/>
    <w:rsid w:val="00953B77"/>
    <w:rsid w:val="00954C9E"/>
    <w:rsid w:val="00955621"/>
    <w:rsid w:val="0095568B"/>
    <w:rsid w:val="00957658"/>
    <w:rsid w:val="009607EE"/>
    <w:rsid w:val="00962658"/>
    <w:rsid w:val="009629A2"/>
    <w:rsid w:val="00962F18"/>
    <w:rsid w:val="009639B0"/>
    <w:rsid w:val="0096449F"/>
    <w:rsid w:val="00964604"/>
    <w:rsid w:val="00965566"/>
    <w:rsid w:val="009659DF"/>
    <w:rsid w:val="009661C0"/>
    <w:rsid w:val="0096756E"/>
    <w:rsid w:val="00970932"/>
    <w:rsid w:val="00970A63"/>
    <w:rsid w:val="00970C42"/>
    <w:rsid w:val="00971660"/>
    <w:rsid w:val="00971C18"/>
    <w:rsid w:val="00971E05"/>
    <w:rsid w:val="00972A7A"/>
    <w:rsid w:val="0097391D"/>
    <w:rsid w:val="0097572C"/>
    <w:rsid w:val="0098060C"/>
    <w:rsid w:val="00981B98"/>
    <w:rsid w:val="0098201B"/>
    <w:rsid w:val="0098250A"/>
    <w:rsid w:val="009830B4"/>
    <w:rsid w:val="00984247"/>
    <w:rsid w:val="00984A20"/>
    <w:rsid w:val="00984A3A"/>
    <w:rsid w:val="00987084"/>
    <w:rsid w:val="00990E06"/>
    <w:rsid w:val="00990F95"/>
    <w:rsid w:val="009916B6"/>
    <w:rsid w:val="00991AA0"/>
    <w:rsid w:val="00991EF5"/>
    <w:rsid w:val="00991F7D"/>
    <w:rsid w:val="00992154"/>
    <w:rsid w:val="00992D38"/>
    <w:rsid w:val="00993F74"/>
    <w:rsid w:val="009943EA"/>
    <w:rsid w:val="0099605F"/>
    <w:rsid w:val="009969AD"/>
    <w:rsid w:val="0099789C"/>
    <w:rsid w:val="00997D1D"/>
    <w:rsid w:val="009A194E"/>
    <w:rsid w:val="009A2C1E"/>
    <w:rsid w:val="009A2E07"/>
    <w:rsid w:val="009A2F4A"/>
    <w:rsid w:val="009A30B1"/>
    <w:rsid w:val="009A349F"/>
    <w:rsid w:val="009A4E46"/>
    <w:rsid w:val="009A4F9A"/>
    <w:rsid w:val="009A549A"/>
    <w:rsid w:val="009A5598"/>
    <w:rsid w:val="009A6EB8"/>
    <w:rsid w:val="009A7C54"/>
    <w:rsid w:val="009A7ECA"/>
    <w:rsid w:val="009B0439"/>
    <w:rsid w:val="009B05A1"/>
    <w:rsid w:val="009B1083"/>
    <w:rsid w:val="009B1674"/>
    <w:rsid w:val="009B1812"/>
    <w:rsid w:val="009B1CA4"/>
    <w:rsid w:val="009B2463"/>
    <w:rsid w:val="009B3114"/>
    <w:rsid w:val="009B31D2"/>
    <w:rsid w:val="009B3B51"/>
    <w:rsid w:val="009B4DD5"/>
    <w:rsid w:val="009B55A5"/>
    <w:rsid w:val="009B6020"/>
    <w:rsid w:val="009B64BF"/>
    <w:rsid w:val="009C25E4"/>
    <w:rsid w:val="009C2DF6"/>
    <w:rsid w:val="009C570C"/>
    <w:rsid w:val="009C595A"/>
    <w:rsid w:val="009C6460"/>
    <w:rsid w:val="009C7414"/>
    <w:rsid w:val="009D0B44"/>
    <w:rsid w:val="009D0CE5"/>
    <w:rsid w:val="009D0D39"/>
    <w:rsid w:val="009D1098"/>
    <w:rsid w:val="009D17C4"/>
    <w:rsid w:val="009D2304"/>
    <w:rsid w:val="009D2DE7"/>
    <w:rsid w:val="009D3AE8"/>
    <w:rsid w:val="009D50EF"/>
    <w:rsid w:val="009D510A"/>
    <w:rsid w:val="009D6D23"/>
    <w:rsid w:val="009D6EC0"/>
    <w:rsid w:val="009D75B2"/>
    <w:rsid w:val="009E52BF"/>
    <w:rsid w:val="009E643E"/>
    <w:rsid w:val="009E64D1"/>
    <w:rsid w:val="009E7630"/>
    <w:rsid w:val="009E7A7D"/>
    <w:rsid w:val="009F033C"/>
    <w:rsid w:val="009F17D3"/>
    <w:rsid w:val="009F1C87"/>
    <w:rsid w:val="009F1DA1"/>
    <w:rsid w:val="009F6138"/>
    <w:rsid w:val="009F621D"/>
    <w:rsid w:val="009F76C0"/>
    <w:rsid w:val="00A00E22"/>
    <w:rsid w:val="00A027E7"/>
    <w:rsid w:val="00A02A34"/>
    <w:rsid w:val="00A03175"/>
    <w:rsid w:val="00A04524"/>
    <w:rsid w:val="00A0571C"/>
    <w:rsid w:val="00A06211"/>
    <w:rsid w:val="00A06EFA"/>
    <w:rsid w:val="00A070A4"/>
    <w:rsid w:val="00A1072F"/>
    <w:rsid w:val="00A11F82"/>
    <w:rsid w:val="00A12DB8"/>
    <w:rsid w:val="00A14044"/>
    <w:rsid w:val="00A148A9"/>
    <w:rsid w:val="00A15735"/>
    <w:rsid w:val="00A166E6"/>
    <w:rsid w:val="00A205A2"/>
    <w:rsid w:val="00A21490"/>
    <w:rsid w:val="00A22871"/>
    <w:rsid w:val="00A23D7E"/>
    <w:rsid w:val="00A2460B"/>
    <w:rsid w:val="00A248BF"/>
    <w:rsid w:val="00A251EA"/>
    <w:rsid w:val="00A2527C"/>
    <w:rsid w:val="00A25BD9"/>
    <w:rsid w:val="00A26831"/>
    <w:rsid w:val="00A278D6"/>
    <w:rsid w:val="00A279A0"/>
    <w:rsid w:val="00A301BA"/>
    <w:rsid w:val="00A30412"/>
    <w:rsid w:val="00A310A3"/>
    <w:rsid w:val="00A332FD"/>
    <w:rsid w:val="00A3379A"/>
    <w:rsid w:val="00A33FDB"/>
    <w:rsid w:val="00A34188"/>
    <w:rsid w:val="00A34AAD"/>
    <w:rsid w:val="00A35D56"/>
    <w:rsid w:val="00A366BC"/>
    <w:rsid w:val="00A37DA8"/>
    <w:rsid w:val="00A412A8"/>
    <w:rsid w:val="00A417E3"/>
    <w:rsid w:val="00A41CBA"/>
    <w:rsid w:val="00A42119"/>
    <w:rsid w:val="00A42D6A"/>
    <w:rsid w:val="00A42E46"/>
    <w:rsid w:val="00A437AA"/>
    <w:rsid w:val="00A43F68"/>
    <w:rsid w:val="00A44CD6"/>
    <w:rsid w:val="00A45EB0"/>
    <w:rsid w:val="00A46A77"/>
    <w:rsid w:val="00A47350"/>
    <w:rsid w:val="00A473A8"/>
    <w:rsid w:val="00A476A6"/>
    <w:rsid w:val="00A50674"/>
    <w:rsid w:val="00A5103A"/>
    <w:rsid w:val="00A510DE"/>
    <w:rsid w:val="00A514B5"/>
    <w:rsid w:val="00A51CAF"/>
    <w:rsid w:val="00A51F43"/>
    <w:rsid w:val="00A52480"/>
    <w:rsid w:val="00A53D63"/>
    <w:rsid w:val="00A56AB9"/>
    <w:rsid w:val="00A56D24"/>
    <w:rsid w:val="00A620C1"/>
    <w:rsid w:val="00A629D6"/>
    <w:rsid w:val="00A62DBD"/>
    <w:rsid w:val="00A63479"/>
    <w:rsid w:val="00A644FF"/>
    <w:rsid w:val="00A64F64"/>
    <w:rsid w:val="00A64F7C"/>
    <w:rsid w:val="00A652F0"/>
    <w:rsid w:val="00A66CC5"/>
    <w:rsid w:val="00A67312"/>
    <w:rsid w:val="00A67A18"/>
    <w:rsid w:val="00A709E6"/>
    <w:rsid w:val="00A725C1"/>
    <w:rsid w:val="00A7264B"/>
    <w:rsid w:val="00A732C1"/>
    <w:rsid w:val="00A73A4A"/>
    <w:rsid w:val="00A73D4B"/>
    <w:rsid w:val="00A7474D"/>
    <w:rsid w:val="00A7561A"/>
    <w:rsid w:val="00A75CEC"/>
    <w:rsid w:val="00A761E4"/>
    <w:rsid w:val="00A77052"/>
    <w:rsid w:val="00A772F4"/>
    <w:rsid w:val="00A77C50"/>
    <w:rsid w:val="00A80317"/>
    <w:rsid w:val="00A8114C"/>
    <w:rsid w:val="00A8177E"/>
    <w:rsid w:val="00A81DEF"/>
    <w:rsid w:val="00A8259E"/>
    <w:rsid w:val="00A8261E"/>
    <w:rsid w:val="00A827D0"/>
    <w:rsid w:val="00A83B31"/>
    <w:rsid w:val="00A83B38"/>
    <w:rsid w:val="00A85495"/>
    <w:rsid w:val="00A859AF"/>
    <w:rsid w:val="00A85A1E"/>
    <w:rsid w:val="00A85BEE"/>
    <w:rsid w:val="00A864EF"/>
    <w:rsid w:val="00A8672B"/>
    <w:rsid w:val="00A86DE3"/>
    <w:rsid w:val="00A872DD"/>
    <w:rsid w:val="00A9029A"/>
    <w:rsid w:val="00A90A35"/>
    <w:rsid w:val="00A92802"/>
    <w:rsid w:val="00A92D8C"/>
    <w:rsid w:val="00A92F1B"/>
    <w:rsid w:val="00A951C3"/>
    <w:rsid w:val="00A952EA"/>
    <w:rsid w:val="00A95573"/>
    <w:rsid w:val="00A9680F"/>
    <w:rsid w:val="00A96BD9"/>
    <w:rsid w:val="00A97393"/>
    <w:rsid w:val="00A97ED3"/>
    <w:rsid w:val="00AA0B2B"/>
    <w:rsid w:val="00AA15CC"/>
    <w:rsid w:val="00AA1774"/>
    <w:rsid w:val="00AA19AF"/>
    <w:rsid w:val="00AA208C"/>
    <w:rsid w:val="00AA25E7"/>
    <w:rsid w:val="00AA2A09"/>
    <w:rsid w:val="00AA2EFF"/>
    <w:rsid w:val="00AA311F"/>
    <w:rsid w:val="00AA372E"/>
    <w:rsid w:val="00AA3CD3"/>
    <w:rsid w:val="00AA51CC"/>
    <w:rsid w:val="00AA5807"/>
    <w:rsid w:val="00AA5F1A"/>
    <w:rsid w:val="00AA6C33"/>
    <w:rsid w:val="00AB001B"/>
    <w:rsid w:val="00AB0928"/>
    <w:rsid w:val="00AB127D"/>
    <w:rsid w:val="00AB1DE6"/>
    <w:rsid w:val="00AB2FA6"/>
    <w:rsid w:val="00AB3A0A"/>
    <w:rsid w:val="00AB3D4C"/>
    <w:rsid w:val="00AB3DAE"/>
    <w:rsid w:val="00AB4084"/>
    <w:rsid w:val="00AB4BB3"/>
    <w:rsid w:val="00AB5748"/>
    <w:rsid w:val="00AB6424"/>
    <w:rsid w:val="00AB6A10"/>
    <w:rsid w:val="00AB6CE1"/>
    <w:rsid w:val="00AC0C60"/>
    <w:rsid w:val="00AC130D"/>
    <w:rsid w:val="00AC1A37"/>
    <w:rsid w:val="00AC1B30"/>
    <w:rsid w:val="00AC21D7"/>
    <w:rsid w:val="00AC225F"/>
    <w:rsid w:val="00AC37CD"/>
    <w:rsid w:val="00AC4AC4"/>
    <w:rsid w:val="00AC51BF"/>
    <w:rsid w:val="00AC671B"/>
    <w:rsid w:val="00AC6C18"/>
    <w:rsid w:val="00AC73DF"/>
    <w:rsid w:val="00AC7D3E"/>
    <w:rsid w:val="00AC7F09"/>
    <w:rsid w:val="00AD17BA"/>
    <w:rsid w:val="00AD26A0"/>
    <w:rsid w:val="00AD38AD"/>
    <w:rsid w:val="00AD4422"/>
    <w:rsid w:val="00AD4A5A"/>
    <w:rsid w:val="00AD4FCE"/>
    <w:rsid w:val="00AD506A"/>
    <w:rsid w:val="00AD54C9"/>
    <w:rsid w:val="00AD5507"/>
    <w:rsid w:val="00AD590D"/>
    <w:rsid w:val="00AD5D81"/>
    <w:rsid w:val="00AD5F74"/>
    <w:rsid w:val="00AD7E98"/>
    <w:rsid w:val="00AE01A7"/>
    <w:rsid w:val="00AE2B40"/>
    <w:rsid w:val="00AE412E"/>
    <w:rsid w:val="00AE4414"/>
    <w:rsid w:val="00AE4B07"/>
    <w:rsid w:val="00AE4C2A"/>
    <w:rsid w:val="00AE5706"/>
    <w:rsid w:val="00AE61C3"/>
    <w:rsid w:val="00AE64FA"/>
    <w:rsid w:val="00AE6F73"/>
    <w:rsid w:val="00AE73C2"/>
    <w:rsid w:val="00AE7F31"/>
    <w:rsid w:val="00AF0CF8"/>
    <w:rsid w:val="00AF10B3"/>
    <w:rsid w:val="00AF2738"/>
    <w:rsid w:val="00AF3ECF"/>
    <w:rsid w:val="00AF461E"/>
    <w:rsid w:val="00AF5C50"/>
    <w:rsid w:val="00AF7103"/>
    <w:rsid w:val="00B0095E"/>
    <w:rsid w:val="00B00F02"/>
    <w:rsid w:val="00B00F36"/>
    <w:rsid w:val="00B01314"/>
    <w:rsid w:val="00B01B2C"/>
    <w:rsid w:val="00B02B78"/>
    <w:rsid w:val="00B04945"/>
    <w:rsid w:val="00B04F32"/>
    <w:rsid w:val="00B05F4F"/>
    <w:rsid w:val="00B065C8"/>
    <w:rsid w:val="00B06C91"/>
    <w:rsid w:val="00B0725D"/>
    <w:rsid w:val="00B07CA4"/>
    <w:rsid w:val="00B07DB7"/>
    <w:rsid w:val="00B10F3F"/>
    <w:rsid w:val="00B1139D"/>
    <w:rsid w:val="00B1236E"/>
    <w:rsid w:val="00B12A3E"/>
    <w:rsid w:val="00B13C1F"/>
    <w:rsid w:val="00B1453C"/>
    <w:rsid w:val="00B148A6"/>
    <w:rsid w:val="00B149C3"/>
    <w:rsid w:val="00B153E8"/>
    <w:rsid w:val="00B154AB"/>
    <w:rsid w:val="00B1632D"/>
    <w:rsid w:val="00B16C1D"/>
    <w:rsid w:val="00B16FDB"/>
    <w:rsid w:val="00B20D62"/>
    <w:rsid w:val="00B20D71"/>
    <w:rsid w:val="00B20E0A"/>
    <w:rsid w:val="00B217C5"/>
    <w:rsid w:val="00B21A8B"/>
    <w:rsid w:val="00B21D7B"/>
    <w:rsid w:val="00B225A9"/>
    <w:rsid w:val="00B231CC"/>
    <w:rsid w:val="00B23755"/>
    <w:rsid w:val="00B24E41"/>
    <w:rsid w:val="00B254D3"/>
    <w:rsid w:val="00B274F5"/>
    <w:rsid w:val="00B30811"/>
    <w:rsid w:val="00B3158F"/>
    <w:rsid w:val="00B322E4"/>
    <w:rsid w:val="00B324ED"/>
    <w:rsid w:val="00B349B4"/>
    <w:rsid w:val="00B35885"/>
    <w:rsid w:val="00B35B70"/>
    <w:rsid w:val="00B364D1"/>
    <w:rsid w:val="00B36DE3"/>
    <w:rsid w:val="00B3792D"/>
    <w:rsid w:val="00B37F47"/>
    <w:rsid w:val="00B4050E"/>
    <w:rsid w:val="00B40C6F"/>
    <w:rsid w:val="00B41E5A"/>
    <w:rsid w:val="00B4267A"/>
    <w:rsid w:val="00B43269"/>
    <w:rsid w:val="00B46191"/>
    <w:rsid w:val="00B4639E"/>
    <w:rsid w:val="00B4647E"/>
    <w:rsid w:val="00B46DDB"/>
    <w:rsid w:val="00B47413"/>
    <w:rsid w:val="00B4748A"/>
    <w:rsid w:val="00B47762"/>
    <w:rsid w:val="00B47EE7"/>
    <w:rsid w:val="00B51A65"/>
    <w:rsid w:val="00B54DC5"/>
    <w:rsid w:val="00B575CA"/>
    <w:rsid w:val="00B57950"/>
    <w:rsid w:val="00B57A31"/>
    <w:rsid w:val="00B6009F"/>
    <w:rsid w:val="00B605D5"/>
    <w:rsid w:val="00B6154F"/>
    <w:rsid w:val="00B62B9A"/>
    <w:rsid w:val="00B62F20"/>
    <w:rsid w:val="00B63A1E"/>
    <w:rsid w:val="00B6477D"/>
    <w:rsid w:val="00B65FF2"/>
    <w:rsid w:val="00B66393"/>
    <w:rsid w:val="00B66736"/>
    <w:rsid w:val="00B66B39"/>
    <w:rsid w:val="00B703C3"/>
    <w:rsid w:val="00B70609"/>
    <w:rsid w:val="00B71203"/>
    <w:rsid w:val="00B72EE6"/>
    <w:rsid w:val="00B7424B"/>
    <w:rsid w:val="00B7541D"/>
    <w:rsid w:val="00B754FE"/>
    <w:rsid w:val="00B75D28"/>
    <w:rsid w:val="00B77FAA"/>
    <w:rsid w:val="00B81DE3"/>
    <w:rsid w:val="00B83044"/>
    <w:rsid w:val="00B83096"/>
    <w:rsid w:val="00B83F19"/>
    <w:rsid w:val="00B84054"/>
    <w:rsid w:val="00B84351"/>
    <w:rsid w:val="00B8450C"/>
    <w:rsid w:val="00B859B2"/>
    <w:rsid w:val="00B87CBC"/>
    <w:rsid w:val="00B87FAE"/>
    <w:rsid w:val="00B9043D"/>
    <w:rsid w:val="00B9170A"/>
    <w:rsid w:val="00B91F64"/>
    <w:rsid w:val="00B926ED"/>
    <w:rsid w:val="00B93DA2"/>
    <w:rsid w:val="00B93EE3"/>
    <w:rsid w:val="00B93EE4"/>
    <w:rsid w:val="00B941F8"/>
    <w:rsid w:val="00B9432C"/>
    <w:rsid w:val="00B947CF"/>
    <w:rsid w:val="00B96755"/>
    <w:rsid w:val="00B9697B"/>
    <w:rsid w:val="00B96C54"/>
    <w:rsid w:val="00B97216"/>
    <w:rsid w:val="00B972C9"/>
    <w:rsid w:val="00BA01CD"/>
    <w:rsid w:val="00BA0B59"/>
    <w:rsid w:val="00BA1C83"/>
    <w:rsid w:val="00BA36EE"/>
    <w:rsid w:val="00BA36EF"/>
    <w:rsid w:val="00BA43EF"/>
    <w:rsid w:val="00BA4830"/>
    <w:rsid w:val="00BB086F"/>
    <w:rsid w:val="00BB0B61"/>
    <w:rsid w:val="00BB2158"/>
    <w:rsid w:val="00BB2809"/>
    <w:rsid w:val="00BB31F9"/>
    <w:rsid w:val="00BB3D1F"/>
    <w:rsid w:val="00BB48AF"/>
    <w:rsid w:val="00BB48BB"/>
    <w:rsid w:val="00BB652D"/>
    <w:rsid w:val="00BC040D"/>
    <w:rsid w:val="00BC040F"/>
    <w:rsid w:val="00BC1694"/>
    <w:rsid w:val="00BC2134"/>
    <w:rsid w:val="00BC2FFF"/>
    <w:rsid w:val="00BC332F"/>
    <w:rsid w:val="00BC33CE"/>
    <w:rsid w:val="00BC34E4"/>
    <w:rsid w:val="00BC3D82"/>
    <w:rsid w:val="00BC523D"/>
    <w:rsid w:val="00BC5503"/>
    <w:rsid w:val="00BC5AB2"/>
    <w:rsid w:val="00BC5B3D"/>
    <w:rsid w:val="00BC6003"/>
    <w:rsid w:val="00BC6FC6"/>
    <w:rsid w:val="00BD19EF"/>
    <w:rsid w:val="00BD1E1F"/>
    <w:rsid w:val="00BD2542"/>
    <w:rsid w:val="00BD25E2"/>
    <w:rsid w:val="00BD2E94"/>
    <w:rsid w:val="00BD40AB"/>
    <w:rsid w:val="00BD40F7"/>
    <w:rsid w:val="00BD5481"/>
    <w:rsid w:val="00BD597E"/>
    <w:rsid w:val="00BD773C"/>
    <w:rsid w:val="00BE03ED"/>
    <w:rsid w:val="00BE148F"/>
    <w:rsid w:val="00BE1A6B"/>
    <w:rsid w:val="00BE26FC"/>
    <w:rsid w:val="00BE3173"/>
    <w:rsid w:val="00BE3EEF"/>
    <w:rsid w:val="00BE4021"/>
    <w:rsid w:val="00BE481A"/>
    <w:rsid w:val="00BE49AE"/>
    <w:rsid w:val="00BE57C6"/>
    <w:rsid w:val="00BE6733"/>
    <w:rsid w:val="00BE6C50"/>
    <w:rsid w:val="00BE774A"/>
    <w:rsid w:val="00BE7C89"/>
    <w:rsid w:val="00BF04F7"/>
    <w:rsid w:val="00BF0641"/>
    <w:rsid w:val="00BF1B6E"/>
    <w:rsid w:val="00BF4A52"/>
    <w:rsid w:val="00C00D52"/>
    <w:rsid w:val="00C01B7C"/>
    <w:rsid w:val="00C01FBA"/>
    <w:rsid w:val="00C02C0F"/>
    <w:rsid w:val="00C033B2"/>
    <w:rsid w:val="00C034E4"/>
    <w:rsid w:val="00C037C2"/>
    <w:rsid w:val="00C05116"/>
    <w:rsid w:val="00C05F18"/>
    <w:rsid w:val="00C07799"/>
    <w:rsid w:val="00C10583"/>
    <w:rsid w:val="00C10A9C"/>
    <w:rsid w:val="00C1108C"/>
    <w:rsid w:val="00C115E4"/>
    <w:rsid w:val="00C117DE"/>
    <w:rsid w:val="00C1247B"/>
    <w:rsid w:val="00C1427D"/>
    <w:rsid w:val="00C174CC"/>
    <w:rsid w:val="00C20DB5"/>
    <w:rsid w:val="00C21B8B"/>
    <w:rsid w:val="00C24992"/>
    <w:rsid w:val="00C24A79"/>
    <w:rsid w:val="00C24B6B"/>
    <w:rsid w:val="00C251F4"/>
    <w:rsid w:val="00C25490"/>
    <w:rsid w:val="00C2664D"/>
    <w:rsid w:val="00C26A3E"/>
    <w:rsid w:val="00C26BE3"/>
    <w:rsid w:val="00C27548"/>
    <w:rsid w:val="00C302AF"/>
    <w:rsid w:val="00C303B3"/>
    <w:rsid w:val="00C30CCD"/>
    <w:rsid w:val="00C32BD7"/>
    <w:rsid w:val="00C34000"/>
    <w:rsid w:val="00C3426E"/>
    <w:rsid w:val="00C34C17"/>
    <w:rsid w:val="00C35D1E"/>
    <w:rsid w:val="00C362C2"/>
    <w:rsid w:val="00C37EAA"/>
    <w:rsid w:val="00C40555"/>
    <w:rsid w:val="00C408F3"/>
    <w:rsid w:val="00C41EAA"/>
    <w:rsid w:val="00C42A6A"/>
    <w:rsid w:val="00C45850"/>
    <w:rsid w:val="00C459BD"/>
    <w:rsid w:val="00C45E27"/>
    <w:rsid w:val="00C46530"/>
    <w:rsid w:val="00C47473"/>
    <w:rsid w:val="00C50A57"/>
    <w:rsid w:val="00C50E37"/>
    <w:rsid w:val="00C5183E"/>
    <w:rsid w:val="00C53B16"/>
    <w:rsid w:val="00C53DFF"/>
    <w:rsid w:val="00C53FC5"/>
    <w:rsid w:val="00C54F08"/>
    <w:rsid w:val="00C55CC1"/>
    <w:rsid w:val="00C56103"/>
    <w:rsid w:val="00C57906"/>
    <w:rsid w:val="00C609E6"/>
    <w:rsid w:val="00C60FF2"/>
    <w:rsid w:val="00C61577"/>
    <w:rsid w:val="00C61C1C"/>
    <w:rsid w:val="00C64183"/>
    <w:rsid w:val="00C644FE"/>
    <w:rsid w:val="00C6540E"/>
    <w:rsid w:val="00C65EAC"/>
    <w:rsid w:val="00C70302"/>
    <w:rsid w:val="00C704AB"/>
    <w:rsid w:val="00C7107F"/>
    <w:rsid w:val="00C720F8"/>
    <w:rsid w:val="00C742A8"/>
    <w:rsid w:val="00C75CF3"/>
    <w:rsid w:val="00C75DBA"/>
    <w:rsid w:val="00C76941"/>
    <w:rsid w:val="00C771E0"/>
    <w:rsid w:val="00C772A3"/>
    <w:rsid w:val="00C773CB"/>
    <w:rsid w:val="00C80B18"/>
    <w:rsid w:val="00C80C3E"/>
    <w:rsid w:val="00C814F9"/>
    <w:rsid w:val="00C824FB"/>
    <w:rsid w:val="00C84ED4"/>
    <w:rsid w:val="00C859FC"/>
    <w:rsid w:val="00C85B68"/>
    <w:rsid w:val="00C85F32"/>
    <w:rsid w:val="00C8692F"/>
    <w:rsid w:val="00C903F7"/>
    <w:rsid w:val="00C91133"/>
    <w:rsid w:val="00C914FB"/>
    <w:rsid w:val="00C92E50"/>
    <w:rsid w:val="00C93832"/>
    <w:rsid w:val="00C94C52"/>
    <w:rsid w:val="00C94FB1"/>
    <w:rsid w:val="00C95CCD"/>
    <w:rsid w:val="00C960A8"/>
    <w:rsid w:val="00C9653A"/>
    <w:rsid w:val="00C96638"/>
    <w:rsid w:val="00C9665A"/>
    <w:rsid w:val="00C96D72"/>
    <w:rsid w:val="00C97541"/>
    <w:rsid w:val="00C977DB"/>
    <w:rsid w:val="00CA07E6"/>
    <w:rsid w:val="00CA088A"/>
    <w:rsid w:val="00CA1AD9"/>
    <w:rsid w:val="00CA2294"/>
    <w:rsid w:val="00CA3271"/>
    <w:rsid w:val="00CA39D1"/>
    <w:rsid w:val="00CA4606"/>
    <w:rsid w:val="00CA4917"/>
    <w:rsid w:val="00CA4930"/>
    <w:rsid w:val="00CA52DF"/>
    <w:rsid w:val="00CA55F2"/>
    <w:rsid w:val="00CA5619"/>
    <w:rsid w:val="00CA5973"/>
    <w:rsid w:val="00CA5D52"/>
    <w:rsid w:val="00CA611A"/>
    <w:rsid w:val="00CA64F9"/>
    <w:rsid w:val="00CA7AE7"/>
    <w:rsid w:val="00CB002A"/>
    <w:rsid w:val="00CB0F3D"/>
    <w:rsid w:val="00CB11C5"/>
    <w:rsid w:val="00CB154E"/>
    <w:rsid w:val="00CB3898"/>
    <w:rsid w:val="00CB3D67"/>
    <w:rsid w:val="00CB41B3"/>
    <w:rsid w:val="00CB5B97"/>
    <w:rsid w:val="00CB5C19"/>
    <w:rsid w:val="00CB63A2"/>
    <w:rsid w:val="00CB6B0D"/>
    <w:rsid w:val="00CC0ADB"/>
    <w:rsid w:val="00CC0E40"/>
    <w:rsid w:val="00CC3FAA"/>
    <w:rsid w:val="00CC4B65"/>
    <w:rsid w:val="00CC5122"/>
    <w:rsid w:val="00CC6072"/>
    <w:rsid w:val="00CC6A2E"/>
    <w:rsid w:val="00CC7090"/>
    <w:rsid w:val="00CC7543"/>
    <w:rsid w:val="00CC7A60"/>
    <w:rsid w:val="00CD1382"/>
    <w:rsid w:val="00CD1C48"/>
    <w:rsid w:val="00CD2489"/>
    <w:rsid w:val="00CD3262"/>
    <w:rsid w:val="00CD3CF1"/>
    <w:rsid w:val="00CD502C"/>
    <w:rsid w:val="00CD5483"/>
    <w:rsid w:val="00CD57B9"/>
    <w:rsid w:val="00CD599F"/>
    <w:rsid w:val="00CD5C94"/>
    <w:rsid w:val="00CD5F35"/>
    <w:rsid w:val="00CD6154"/>
    <w:rsid w:val="00CD6FE0"/>
    <w:rsid w:val="00CD761C"/>
    <w:rsid w:val="00CD7BAF"/>
    <w:rsid w:val="00CE0885"/>
    <w:rsid w:val="00CE0F6B"/>
    <w:rsid w:val="00CE1437"/>
    <w:rsid w:val="00CE14AF"/>
    <w:rsid w:val="00CE3DBD"/>
    <w:rsid w:val="00CE4B98"/>
    <w:rsid w:val="00CE50AA"/>
    <w:rsid w:val="00CE5E77"/>
    <w:rsid w:val="00CE61E8"/>
    <w:rsid w:val="00CF0D2A"/>
    <w:rsid w:val="00CF1132"/>
    <w:rsid w:val="00CF18CB"/>
    <w:rsid w:val="00CF3CF7"/>
    <w:rsid w:val="00CF57B7"/>
    <w:rsid w:val="00CF5C13"/>
    <w:rsid w:val="00D0009F"/>
    <w:rsid w:val="00D012AC"/>
    <w:rsid w:val="00D01ADB"/>
    <w:rsid w:val="00D024AE"/>
    <w:rsid w:val="00D02529"/>
    <w:rsid w:val="00D0290E"/>
    <w:rsid w:val="00D02918"/>
    <w:rsid w:val="00D030CB"/>
    <w:rsid w:val="00D031BE"/>
    <w:rsid w:val="00D03AA1"/>
    <w:rsid w:val="00D04FE7"/>
    <w:rsid w:val="00D07763"/>
    <w:rsid w:val="00D07C90"/>
    <w:rsid w:val="00D11318"/>
    <w:rsid w:val="00D122BA"/>
    <w:rsid w:val="00D1261E"/>
    <w:rsid w:val="00D14CDB"/>
    <w:rsid w:val="00D14D84"/>
    <w:rsid w:val="00D171AD"/>
    <w:rsid w:val="00D174E1"/>
    <w:rsid w:val="00D21798"/>
    <w:rsid w:val="00D22537"/>
    <w:rsid w:val="00D225A4"/>
    <w:rsid w:val="00D2328D"/>
    <w:rsid w:val="00D24430"/>
    <w:rsid w:val="00D25264"/>
    <w:rsid w:val="00D26DFE"/>
    <w:rsid w:val="00D27A2F"/>
    <w:rsid w:val="00D3023A"/>
    <w:rsid w:val="00D315B3"/>
    <w:rsid w:val="00D327CD"/>
    <w:rsid w:val="00D34E12"/>
    <w:rsid w:val="00D36761"/>
    <w:rsid w:val="00D36916"/>
    <w:rsid w:val="00D36BB7"/>
    <w:rsid w:val="00D36BC7"/>
    <w:rsid w:val="00D36CE2"/>
    <w:rsid w:val="00D37273"/>
    <w:rsid w:val="00D379D2"/>
    <w:rsid w:val="00D401A7"/>
    <w:rsid w:val="00D41D8C"/>
    <w:rsid w:val="00D42478"/>
    <w:rsid w:val="00D4327C"/>
    <w:rsid w:val="00D456D2"/>
    <w:rsid w:val="00D459B2"/>
    <w:rsid w:val="00D45B90"/>
    <w:rsid w:val="00D47147"/>
    <w:rsid w:val="00D47BDC"/>
    <w:rsid w:val="00D51585"/>
    <w:rsid w:val="00D5268C"/>
    <w:rsid w:val="00D5306E"/>
    <w:rsid w:val="00D54331"/>
    <w:rsid w:val="00D55208"/>
    <w:rsid w:val="00D55448"/>
    <w:rsid w:val="00D564B1"/>
    <w:rsid w:val="00D5752B"/>
    <w:rsid w:val="00D57620"/>
    <w:rsid w:val="00D612BD"/>
    <w:rsid w:val="00D61951"/>
    <w:rsid w:val="00D61F02"/>
    <w:rsid w:val="00D620F8"/>
    <w:rsid w:val="00D638D0"/>
    <w:rsid w:val="00D63D1E"/>
    <w:rsid w:val="00D641EB"/>
    <w:rsid w:val="00D65646"/>
    <w:rsid w:val="00D66EF7"/>
    <w:rsid w:val="00D67AA1"/>
    <w:rsid w:val="00D67D85"/>
    <w:rsid w:val="00D717DA"/>
    <w:rsid w:val="00D71F48"/>
    <w:rsid w:val="00D72412"/>
    <w:rsid w:val="00D72AD3"/>
    <w:rsid w:val="00D72DE1"/>
    <w:rsid w:val="00D73A1F"/>
    <w:rsid w:val="00D74FE2"/>
    <w:rsid w:val="00D764F8"/>
    <w:rsid w:val="00D77561"/>
    <w:rsid w:val="00D80FA6"/>
    <w:rsid w:val="00D81166"/>
    <w:rsid w:val="00D81642"/>
    <w:rsid w:val="00D82570"/>
    <w:rsid w:val="00D82C80"/>
    <w:rsid w:val="00D87503"/>
    <w:rsid w:val="00D90886"/>
    <w:rsid w:val="00D911B5"/>
    <w:rsid w:val="00D91A5D"/>
    <w:rsid w:val="00D92465"/>
    <w:rsid w:val="00D92DC8"/>
    <w:rsid w:val="00D92FC4"/>
    <w:rsid w:val="00D9424D"/>
    <w:rsid w:val="00D943DD"/>
    <w:rsid w:val="00D961B0"/>
    <w:rsid w:val="00D97058"/>
    <w:rsid w:val="00DA00CE"/>
    <w:rsid w:val="00DA0662"/>
    <w:rsid w:val="00DA0A6C"/>
    <w:rsid w:val="00DA12F0"/>
    <w:rsid w:val="00DA229B"/>
    <w:rsid w:val="00DA2500"/>
    <w:rsid w:val="00DA33E8"/>
    <w:rsid w:val="00DA44C4"/>
    <w:rsid w:val="00DA5A43"/>
    <w:rsid w:val="00DA6FB0"/>
    <w:rsid w:val="00DA7F70"/>
    <w:rsid w:val="00DB058B"/>
    <w:rsid w:val="00DB15D7"/>
    <w:rsid w:val="00DB2854"/>
    <w:rsid w:val="00DB3B57"/>
    <w:rsid w:val="00DB4605"/>
    <w:rsid w:val="00DB52EF"/>
    <w:rsid w:val="00DB7DA7"/>
    <w:rsid w:val="00DC0DD5"/>
    <w:rsid w:val="00DC1214"/>
    <w:rsid w:val="00DC156F"/>
    <w:rsid w:val="00DC4D2E"/>
    <w:rsid w:val="00DC52AF"/>
    <w:rsid w:val="00DC56B6"/>
    <w:rsid w:val="00DC6D90"/>
    <w:rsid w:val="00DC6E39"/>
    <w:rsid w:val="00DC769E"/>
    <w:rsid w:val="00DD2685"/>
    <w:rsid w:val="00DD457E"/>
    <w:rsid w:val="00DD48A0"/>
    <w:rsid w:val="00DD5689"/>
    <w:rsid w:val="00DD58DE"/>
    <w:rsid w:val="00DD6646"/>
    <w:rsid w:val="00DD6CDE"/>
    <w:rsid w:val="00DD709A"/>
    <w:rsid w:val="00DE001A"/>
    <w:rsid w:val="00DE0ABE"/>
    <w:rsid w:val="00DE0E10"/>
    <w:rsid w:val="00DE1B39"/>
    <w:rsid w:val="00DE21AB"/>
    <w:rsid w:val="00DE23A0"/>
    <w:rsid w:val="00DE27E2"/>
    <w:rsid w:val="00DE32DC"/>
    <w:rsid w:val="00DE377F"/>
    <w:rsid w:val="00DE39B8"/>
    <w:rsid w:val="00DE3CC1"/>
    <w:rsid w:val="00DE4F0B"/>
    <w:rsid w:val="00DE55A3"/>
    <w:rsid w:val="00DE55C9"/>
    <w:rsid w:val="00DE5764"/>
    <w:rsid w:val="00DE5ED5"/>
    <w:rsid w:val="00DE7947"/>
    <w:rsid w:val="00DF042B"/>
    <w:rsid w:val="00DF15E1"/>
    <w:rsid w:val="00DF1A62"/>
    <w:rsid w:val="00DF27D5"/>
    <w:rsid w:val="00DF317D"/>
    <w:rsid w:val="00DF7EA1"/>
    <w:rsid w:val="00E00CC4"/>
    <w:rsid w:val="00E00D85"/>
    <w:rsid w:val="00E01113"/>
    <w:rsid w:val="00E01304"/>
    <w:rsid w:val="00E0199B"/>
    <w:rsid w:val="00E02193"/>
    <w:rsid w:val="00E02951"/>
    <w:rsid w:val="00E032CE"/>
    <w:rsid w:val="00E04055"/>
    <w:rsid w:val="00E0407F"/>
    <w:rsid w:val="00E045BD"/>
    <w:rsid w:val="00E04A36"/>
    <w:rsid w:val="00E05D1D"/>
    <w:rsid w:val="00E05F62"/>
    <w:rsid w:val="00E05FF1"/>
    <w:rsid w:val="00E061A1"/>
    <w:rsid w:val="00E07246"/>
    <w:rsid w:val="00E073BA"/>
    <w:rsid w:val="00E07739"/>
    <w:rsid w:val="00E122B2"/>
    <w:rsid w:val="00E12DC6"/>
    <w:rsid w:val="00E12F57"/>
    <w:rsid w:val="00E13265"/>
    <w:rsid w:val="00E14ED6"/>
    <w:rsid w:val="00E158F2"/>
    <w:rsid w:val="00E15E7D"/>
    <w:rsid w:val="00E165E8"/>
    <w:rsid w:val="00E16AB9"/>
    <w:rsid w:val="00E16E3F"/>
    <w:rsid w:val="00E17CAD"/>
    <w:rsid w:val="00E17F01"/>
    <w:rsid w:val="00E20A19"/>
    <w:rsid w:val="00E21867"/>
    <w:rsid w:val="00E22677"/>
    <w:rsid w:val="00E23C28"/>
    <w:rsid w:val="00E2489D"/>
    <w:rsid w:val="00E24AB3"/>
    <w:rsid w:val="00E24D88"/>
    <w:rsid w:val="00E26E6D"/>
    <w:rsid w:val="00E26FC9"/>
    <w:rsid w:val="00E274B3"/>
    <w:rsid w:val="00E27512"/>
    <w:rsid w:val="00E278E8"/>
    <w:rsid w:val="00E27C66"/>
    <w:rsid w:val="00E3019A"/>
    <w:rsid w:val="00E308BB"/>
    <w:rsid w:val="00E31029"/>
    <w:rsid w:val="00E328CC"/>
    <w:rsid w:val="00E33351"/>
    <w:rsid w:val="00E3399F"/>
    <w:rsid w:val="00E33F6A"/>
    <w:rsid w:val="00E351DE"/>
    <w:rsid w:val="00E35756"/>
    <w:rsid w:val="00E35E69"/>
    <w:rsid w:val="00E36415"/>
    <w:rsid w:val="00E36542"/>
    <w:rsid w:val="00E365EE"/>
    <w:rsid w:val="00E367B4"/>
    <w:rsid w:val="00E4046D"/>
    <w:rsid w:val="00E4224E"/>
    <w:rsid w:val="00E427F5"/>
    <w:rsid w:val="00E42B4B"/>
    <w:rsid w:val="00E44076"/>
    <w:rsid w:val="00E442E2"/>
    <w:rsid w:val="00E4472E"/>
    <w:rsid w:val="00E448E5"/>
    <w:rsid w:val="00E462A9"/>
    <w:rsid w:val="00E464AC"/>
    <w:rsid w:val="00E46C30"/>
    <w:rsid w:val="00E4787A"/>
    <w:rsid w:val="00E5074C"/>
    <w:rsid w:val="00E510DE"/>
    <w:rsid w:val="00E51218"/>
    <w:rsid w:val="00E5127B"/>
    <w:rsid w:val="00E5298D"/>
    <w:rsid w:val="00E5319E"/>
    <w:rsid w:val="00E54467"/>
    <w:rsid w:val="00E54C77"/>
    <w:rsid w:val="00E55266"/>
    <w:rsid w:val="00E55A8A"/>
    <w:rsid w:val="00E56AF6"/>
    <w:rsid w:val="00E579FF"/>
    <w:rsid w:val="00E60466"/>
    <w:rsid w:val="00E61E45"/>
    <w:rsid w:val="00E6250B"/>
    <w:rsid w:val="00E63C17"/>
    <w:rsid w:val="00E63C66"/>
    <w:rsid w:val="00E64712"/>
    <w:rsid w:val="00E648BB"/>
    <w:rsid w:val="00E64954"/>
    <w:rsid w:val="00E65267"/>
    <w:rsid w:val="00E65688"/>
    <w:rsid w:val="00E65AEB"/>
    <w:rsid w:val="00E66704"/>
    <w:rsid w:val="00E67590"/>
    <w:rsid w:val="00E714C8"/>
    <w:rsid w:val="00E72122"/>
    <w:rsid w:val="00E7255F"/>
    <w:rsid w:val="00E72F86"/>
    <w:rsid w:val="00E7368D"/>
    <w:rsid w:val="00E73D5E"/>
    <w:rsid w:val="00E73DAE"/>
    <w:rsid w:val="00E73F84"/>
    <w:rsid w:val="00E74834"/>
    <w:rsid w:val="00E76497"/>
    <w:rsid w:val="00E77C1F"/>
    <w:rsid w:val="00E77C27"/>
    <w:rsid w:val="00E81198"/>
    <w:rsid w:val="00E81247"/>
    <w:rsid w:val="00E832D6"/>
    <w:rsid w:val="00E83FA9"/>
    <w:rsid w:val="00E84C73"/>
    <w:rsid w:val="00E84F0B"/>
    <w:rsid w:val="00E850BE"/>
    <w:rsid w:val="00E87712"/>
    <w:rsid w:val="00E87E6C"/>
    <w:rsid w:val="00E916B4"/>
    <w:rsid w:val="00E91A1B"/>
    <w:rsid w:val="00E91A2B"/>
    <w:rsid w:val="00E92BBC"/>
    <w:rsid w:val="00E931C0"/>
    <w:rsid w:val="00E96CB6"/>
    <w:rsid w:val="00E974A9"/>
    <w:rsid w:val="00EA0CC3"/>
    <w:rsid w:val="00EA1495"/>
    <w:rsid w:val="00EA1CD7"/>
    <w:rsid w:val="00EA2766"/>
    <w:rsid w:val="00EA2F71"/>
    <w:rsid w:val="00EA44E6"/>
    <w:rsid w:val="00EA55CF"/>
    <w:rsid w:val="00EA5C26"/>
    <w:rsid w:val="00EA7125"/>
    <w:rsid w:val="00EA75AF"/>
    <w:rsid w:val="00EA776C"/>
    <w:rsid w:val="00EB0505"/>
    <w:rsid w:val="00EB27C2"/>
    <w:rsid w:val="00EB3170"/>
    <w:rsid w:val="00EB3807"/>
    <w:rsid w:val="00EB5DC8"/>
    <w:rsid w:val="00EB6CDB"/>
    <w:rsid w:val="00EB6EA4"/>
    <w:rsid w:val="00EB76EB"/>
    <w:rsid w:val="00EB7EC8"/>
    <w:rsid w:val="00EC0258"/>
    <w:rsid w:val="00EC07B8"/>
    <w:rsid w:val="00EC2696"/>
    <w:rsid w:val="00EC7491"/>
    <w:rsid w:val="00ED0F59"/>
    <w:rsid w:val="00ED1E97"/>
    <w:rsid w:val="00ED2F46"/>
    <w:rsid w:val="00ED353C"/>
    <w:rsid w:val="00ED397F"/>
    <w:rsid w:val="00ED49A9"/>
    <w:rsid w:val="00ED4C46"/>
    <w:rsid w:val="00ED5056"/>
    <w:rsid w:val="00ED758D"/>
    <w:rsid w:val="00EE1CE3"/>
    <w:rsid w:val="00EE277A"/>
    <w:rsid w:val="00EE2BE8"/>
    <w:rsid w:val="00EE4043"/>
    <w:rsid w:val="00EE47AC"/>
    <w:rsid w:val="00EE48F3"/>
    <w:rsid w:val="00EE4D21"/>
    <w:rsid w:val="00EE4E51"/>
    <w:rsid w:val="00EF0286"/>
    <w:rsid w:val="00EF2469"/>
    <w:rsid w:val="00EF2B8F"/>
    <w:rsid w:val="00EF351B"/>
    <w:rsid w:val="00EF3801"/>
    <w:rsid w:val="00EF5715"/>
    <w:rsid w:val="00EF695E"/>
    <w:rsid w:val="00EF6E44"/>
    <w:rsid w:val="00F00E9F"/>
    <w:rsid w:val="00F021DD"/>
    <w:rsid w:val="00F029BA"/>
    <w:rsid w:val="00F02A11"/>
    <w:rsid w:val="00F02B9D"/>
    <w:rsid w:val="00F02C65"/>
    <w:rsid w:val="00F0389F"/>
    <w:rsid w:val="00F04990"/>
    <w:rsid w:val="00F04999"/>
    <w:rsid w:val="00F04BCF"/>
    <w:rsid w:val="00F06218"/>
    <w:rsid w:val="00F06C6C"/>
    <w:rsid w:val="00F077A3"/>
    <w:rsid w:val="00F10A8A"/>
    <w:rsid w:val="00F132B7"/>
    <w:rsid w:val="00F13FE2"/>
    <w:rsid w:val="00F14F5A"/>
    <w:rsid w:val="00F15A9A"/>
    <w:rsid w:val="00F167C2"/>
    <w:rsid w:val="00F16B90"/>
    <w:rsid w:val="00F17836"/>
    <w:rsid w:val="00F17A9E"/>
    <w:rsid w:val="00F17CDF"/>
    <w:rsid w:val="00F207CB"/>
    <w:rsid w:val="00F21470"/>
    <w:rsid w:val="00F21CC2"/>
    <w:rsid w:val="00F241E3"/>
    <w:rsid w:val="00F25AF0"/>
    <w:rsid w:val="00F25B42"/>
    <w:rsid w:val="00F26096"/>
    <w:rsid w:val="00F26C1C"/>
    <w:rsid w:val="00F27219"/>
    <w:rsid w:val="00F2731D"/>
    <w:rsid w:val="00F30628"/>
    <w:rsid w:val="00F311DE"/>
    <w:rsid w:val="00F32B8A"/>
    <w:rsid w:val="00F32C94"/>
    <w:rsid w:val="00F32D2C"/>
    <w:rsid w:val="00F356D1"/>
    <w:rsid w:val="00F3645C"/>
    <w:rsid w:val="00F36748"/>
    <w:rsid w:val="00F36B96"/>
    <w:rsid w:val="00F37075"/>
    <w:rsid w:val="00F40E0F"/>
    <w:rsid w:val="00F41774"/>
    <w:rsid w:val="00F41DFF"/>
    <w:rsid w:val="00F42615"/>
    <w:rsid w:val="00F42E31"/>
    <w:rsid w:val="00F43046"/>
    <w:rsid w:val="00F432C6"/>
    <w:rsid w:val="00F43BE9"/>
    <w:rsid w:val="00F44663"/>
    <w:rsid w:val="00F45171"/>
    <w:rsid w:val="00F4578A"/>
    <w:rsid w:val="00F46FF0"/>
    <w:rsid w:val="00F472D5"/>
    <w:rsid w:val="00F474C6"/>
    <w:rsid w:val="00F527CD"/>
    <w:rsid w:val="00F52FB4"/>
    <w:rsid w:val="00F539D4"/>
    <w:rsid w:val="00F541FB"/>
    <w:rsid w:val="00F54554"/>
    <w:rsid w:val="00F54B3E"/>
    <w:rsid w:val="00F54FCD"/>
    <w:rsid w:val="00F567C8"/>
    <w:rsid w:val="00F56BB6"/>
    <w:rsid w:val="00F57BD8"/>
    <w:rsid w:val="00F6028C"/>
    <w:rsid w:val="00F606E5"/>
    <w:rsid w:val="00F62E4E"/>
    <w:rsid w:val="00F632D5"/>
    <w:rsid w:val="00F6370E"/>
    <w:rsid w:val="00F63A0F"/>
    <w:rsid w:val="00F63A8E"/>
    <w:rsid w:val="00F643FF"/>
    <w:rsid w:val="00F64C20"/>
    <w:rsid w:val="00F64F6B"/>
    <w:rsid w:val="00F66A05"/>
    <w:rsid w:val="00F673DF"/>
    <w:rsid w:val="00F679DE"/>
    <w:rsid w:val="00F7021F"/>
    <w:rsid w:val="00F70D8A"/>
    <w:rsid w:val="00F716E2"/>
    <w:rsid w:val="00F723E5"/>
    <w:rsid w:val="00F72F0B"/>
    <w:rsid w:val="00F73B7E"/>
    <w:rsid w:val="00F748A9"/>
    <w:rsid w:val="00F74E32"/>
    <w:rsid w:val="00F7575C"/>
    <w:rsid w:val="00F75E50"/>
    <w:rsid w:val="00F76EA2"/>
    <w:rsid w:val="00F77C23"/>
    <w:rsid w:val="00F80095"/>
    <w:rsid w:val="00F80235"/>
    <w:rsid w:val="00F80456"/>
    <w:rsid w:val="00F818A7"/>
    <w:rsid w:val="00F832BB"/>
    <w:rsid w:val="00F84CF3"/>
    <w:rsid w:val="00F87796"/>
    <w:rsid w:val="00F87D43"/>
    <w:rsid w:val="00F87F4B"/>
    <w:rsid w:val="00F87F74"/>
    <w:rsid w:val="00F906CF"/>
    <w:rsid w:val="00F91112"/>
    <w:rsid w:val="00F91271"/>
    <w:rsid w:val="00F9160B"/>
    <w:rsid w:val="00F930D0"/>
    <w:rsid w:val="00F93814"/>
    <w:rsid w:val="00F95AEB"/>
    <w:rsid w:val="00F96D3A"/>
    <w:rsid w:val="00F974BE"/>
    <w:rsid w:val="00F978BB"/>
    <w:rsid w:val="00F97985"/>
    <w:rsid w:val="00FA0B19"/>
    <w:rsid w:val="00FA169A"/>
    <w:rsid w:val="00FA169F"/>
    <w:rsid w:val="00FA27BD"/>
    <w:rsid w:val="00FA35C2"/>
    <w:rsid w:val="00FA4DD0"/>
    <w:rsid w:val="00FA5717"/>
    <w:rsid w:val="00FA5959"/>
    <w:rsid w:val="00FA59DC"/>
    <w:rsid w:val="00FA6DD8"/>
    <w:rsid w:val="00FA777E"/>
    <w:rsid w:val="00FA7F38"/>
    <w:rsid w:val="00FB1BF2"/>
    <w:rsid w:val="00FB1C38"/>
    <w:rsid w:val="00FB241A"/>
    <w:rsid w:val="00FB4313"/>
    <w:rsid w:val="00FB473C"/>
    <w:rsid w:val="00FB48C5"/>
    <w:rsid w:val="00FB6117"/>
    <w:rsid w:val="00FB658F"/>
    <w:rsid w:val="00FB6693"/>
    <w:rsid w:val="00FB7F33"/>
    <w:rsid w:val="00FC0ABA"/>
    <w:rsid w:val="00FC1630"/>
    <w:rsid w:val="00FC1C06"/>
    <w:rsid w:val="00FC20BB"/>
    <w:rsid w:val="00FC2D9B"/>
    <w:rsid w:val="00FC4323"/>
    <w:rsid w:val="00FC63A0"/>
    <w:rsid w:val="00FC6855"/>
    <w:rsid w:val="00FC709B"/>
    <w:rsid w:val="00FC712F"/>
    <w:rsid w:val="00FC7C64"/>
    <w:rsid w:val="00FD06E7"/>
    <w:rsid w:val="00FD0D6C"/>
    <w:rsid w:val="00FD1F16"/>
    <w:rsid w:val="00FD21BB"/>
    <w:rsid w:val="00FD2655"/>
    <w:rsid w:val="00FD3560"/>
    <w:rsid w:val="00FD4786"/>
    <w:rsid w:val="00FD60BB"/>
    <w:rsid w:val="00FE080D"/>
    <w:rsid w:val="00FE0B75"/>
    <w:rsid w:val="00FE0CB2"/>
    <w:rsid w:val="00FE0D8E"/>
    <w:rsid w:val="00FE13FC"/>
    <w:rsid w:val="00FE1B31"/>
    <w:rsid w:val="00FE1EE2"/>
    <w:rsid w:val="00FE24D4"/>
    <w:rsid w:val="00FE3B80"/>
    <w:rsid w:val="00FE4508"/>
    <w:rsid w:val="00FE5585"/>
    <w:rsid w:val="00FE5DAD"/>
    <w:rsid w:val="00FE5DD9"/>
    <w:rsid w:val="00FE7F73"/>
    <w:rsid w:val="00FF0384"/>
    <w:rsid w:val="00FF12A5"/>
    <w:rsid w:val="00FF170F"/>
    <w:rsid w:val="00FF2CFA"/>
    <w:rsid w:val="00FF340C"/>
    <w:rsid w:val="00FF41E2"/>
    <w:rsid w:val="00FF6295"/>
    <w:rsid w:val="00FF723B"/>
    <w:rsid w:val="00FF73AC"/>
    <w:rsid w:val="045763A2"/>
    <w:rsid w:val="05B63F66"/>
    <w:rsid w:val="0B111429"/>
    <w:rsid w:val="113710CD"/>
    <w:rsid w:val="184C3A8F"/>
    <w:rsid w:val="23745AEA"/>
    <w:rsid w:val="291512FF"/>
    <w:rsid w:val="298158FD"/>
    <w:rsid w:val="46EB38DF"/>
    <w:rsid w:val="50222DDE"/>
    <w:rsid w:val="5F5D02E6"/>
    <w:rsid w:val="5FEE1389"/>
    <w:rsid w:val="6AD549F7"/>
    <w:rsid w:val="78194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0F195C"/>
  <w15:docId w15:val="{1DF17699-66AA-444F-9A29-EAB5E4FD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lsdException w:name="toc 3" w:uiPriority="0" w:qFormat="1"/>
    <w:lsdException w:name="toc 4" w:uiPriority="0"/>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qFormat="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Calibri"/>
      <w:kern w:val="2"/>
      <w:sz w:val="21"/>
      <w:szCs w:val="24"/>
    </w:rPr>
  </w:style>
  <w:style w:type="paragraph" w:styleId="11">
    <w:name w:val="heading 1"/>
    <w:basedOn w:val="a0"/>
    <w:next w:val="a0"/>
    <w:link w:val="12"/>
    <w:qFormat/>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basedOn w:val="a0"/>
    <w:next w:val="a0"/>
    <w:link w:val="21"/>
    <w:uiPriority w:val="9"/>
    <w:qFormat/>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basedOn w:val="a0"/>
    <w:next w:val="a0"/>
    <w:link w:val="30"/>
    <w:qFormat/>
    <w:pPr>
      <w:keepNext/>
      <w:keepLines/>
      <w:spacing w:before="260" w:after="260" w:line="416" w:lineRule="auto"/>
      <w:outlineLvl w:val="2"/>
    </w:pPr>
    <w:rPr>
      <w:b/>
      <w:bCs/>
      <w:kern w:val="0"/>
      <w:sz w:val="20"/>
      <w:szCs w:val="32"/>
    </w:rPr>
  </w:style>
  <w:style w:type="paragraph" w:styleId="4">
    <w:name w:val="heading 4"/>
    <w:basedOn w:val="a0"/>
    <w:next w:val="a0"/>
    <w:link w:val="40"/>
    <w:qFormat/>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0"/>
    <w:next w:val="a0"/>
    <w:link w:val="50"/>
    <w:qFormat/>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0"/>
    <w:next w:val="a0"/>
    <w:link w:val="60"/>
    <w:qFormat/>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0"/>
    <w:next w:val="a0"/>
    <w:link w:val="70"/>
    <w:qFormat/>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0"/>
    <w:next w:val="a0"/>
    <w:link w:val="80"/>
    <w:qFormat/>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rPr>
      <w:b/>
      <w:bCs/>
    </w:rPr>
  </w:style>
  <w:style w:type="paragraph" w:styleId="a5">
    <w:name w:val="annotation text"/>
    <w:basedOn w:val="a0"/>
    <w:link w:val="13"/>
    <w:qFormat/>
    <w:pPr>
      <w:jc w:val="left"/>
    </w:pPr>
    <w:rPr>
      <w:kern w:val="0"/>
      <w:sz w:val="20"/>
    </w:rPr>
  </w:style>
  <w:style w:type="paragraph" w:styleId="71">
    <w:name w:val="toc 7"/>
    <w:basedOn w:val="a0"/>
    <w:next w:val="a0"/>
    <w:qFormat/>
    <w:pPr>
      <w:spacing w:after="120" w:line="360" w:lineRule="auto"/>
      <w:ind w:left="2520" w:firstLine="480"/>
    </w:pPr>
    <w:rPr>
      <w:rFonts w:ascii="宋体" w:hAnsi="宋体" w:cs="Arial"/>
      <w:bCs/>
      <w:color w:val="000000"/>
      <w:kern w:val="0"/>
      <w:szCs w:val="21"/>
      <w:lang w:val="zh-CN"/>
    </w:rPr>
  </w:style>
  <w:style w:type="paragraph" w:styleId="a7">
    <w:name w:val="Body Text First Indent"/>
    <w:basedOn w:val="a8"/>
    <w:link w:val="a9"/>
    <w:qFormat/>
    <w:pPr>
      <w:spacing w:after="120"/>
      <w:ind w:firstLineChars="100" w:firstLine="420"/>
    </w:pPr>
    <w:rPr>
      <w:rFonts w:ascii="Times New Roman" w:hAnsi="Times New Roman"/>
      <w:szCs w:val="24"/>
    </w:rPr>
  </w:style>
  <w:style w:type="paragraph" w:styleId="a8">
    <w:name w:val="Body Text"/>
    <w:basedOn w:val="a0"/>
    <w:link w:val="aa"/>
    <w:qFormat/>
    <w:rPr>
      <w:rFonts w:ascii="宋体" w:hAnsi="宋体"/>
      <w:kern w:val="0"/>
      <w:sz w:val="24"/>
      <w:szCs w:val="21"/>
    </w:rPr>
  </w:style>
  <w:style w:type="paragraph" w:styleId="ab">
    <w:name w:val="Normal Indent"/>
    <w:basedOn w:val="a0"/>
    <w:qFormat/>
    <w:pPr>
      <w:ind w:firstLine="420"/>
    </w:pPr>
    <w:rPr>
      <w:szCs w:val="20"/>
    </w:rPr>
  </w:style>
  <w:style w:type="paragraph" w:styleId="ac">
    <w:name w:val="caption"/>
    <w:basedOn w:val="a0"/>
    <w:next w:val="a0"/>
    <w:qFormat/>
    <w:pPr>
      <w:spacing w:line="360" w:lineRule="auto"/>
      <w:ind w:firstLineChars="200" w:firstLine="200"/>
    </w:pPr>
    <w:rPr>
      <w:rFonts w:ascii="Cambria" w:eastAsia="黑体" w:hAnsi="Cambria"/>
      <w:sz w:val="20"/>
      <w:szCs w:val="20"/>
    </w:rPr>
  </w:style>
  <w:style w:type="paragraph" w:styleId="ad">
    <w:name w:val="List Bullet"/>
    <w:basedOn w:val="a0"/>
    <w:pPr>
      <w:tabs>
        <w:tab w:val="left" w:pos="360"/>
      </w:tabs>
      <w:autoSpaceDE w:val="0"/>
      <w:autoSpaceDN w:val="0"/>
      <w:adjustRightInd w:val="0"/>
      <w:spacing w:after="120"/>
      <w:ind w:left="360" w:hangingChars="200" w:hanging="360"/>
      <w:textAlignment w:val="baseline"/>
    </w:pPr>
    <w:rPr>
      <w:rFonts w:ascii="宋体"/>
      <w:kern w:val="0"/>
      <w:sz w:val="28"/>
      <w:szCs w:val="20"/>
    </w:rPr>
  </w:style>
  <w:style w:type="paragraph" w:styleId="ae">
    <w:name w:val="Document Map"/>
    <w:basedOn w:val="a0"/>
    <w:link w:val="af"/>
    <w:qFormat/>
    <w:pPr>
      <w:shd w:val="clear" w:color="auto" w:fill="000080"/>
      <w:spacing w:after="120" w:line="360" w:lineRule="auto"/>
      <w:ind w:firstLine="480"/>
    </w:pPr>
    <w:rPr>
      <w:rFonts w:ascii="宋体" w:hAnsi="宋体"/>
      <w:bCs/>
      <w:color w:val="000000"/>
      <w:kern w:val="0"/>
      <w:sz w:val="20"/>
      <w:szCs w:val="21"/>
      <w:lang w:val="zh-CN"/>
    </w:rPr>
  </w:style>
  <w:style w:type="paragraph" w:styleId="af0">
    <w:name w:val="Body Text Indent"/>
    <w:basedOn w:val="a0"/>
    <w:link w:val="af1"/>
    <w:qFormat/>
    <w:pPr>
      <w:ind w:firstLine="540"/>
    </w:pPr>
    <w:rPr>
      <w:kern w:val="0"/>
      <w:sz w:val="24"/>
      <w:szCs w:val="20"/>
    </w:rPr>
  </w:style>
  <w:style w:type="paragraph" w:styleId="51">
    <w:name w:val="toc 5"/>
    <w:basedOn w:val="a0"/>
    <w:next w:val="a0"/>
    <w:qFormat/>
    <w:pPr>
      <w:spacing w:after="120" w:line="360" w:lineRule="auto"/>
      <w:ind w:left="1680" w:firstLine="480"/>
    </w:pPr>
    <w:rPr>
      <w:rFonts w:ascii="宋体" w:hAnsi="宋体" w:cs="Arial"/>
      <w:bCs/>
      <w:color w:val="000000"/>
      <w:kern w:val="0"/>
      <w:szCs w:val="21"/>
      <w:lang w:val="zh-CN"/>
    </w:rPr>
  </w:style>
  <w:style w:type="paragraph" w:styleId="31">
    <w:name w:val="toc 3"/>
    <w:basedOn w:val="a0"/>
    <w:next w:val="a0"/>
    <w:qFormat/>
    <w:pPr>
      <w:spacing w:after="120" w:line="360" w:lineRule="auto"/>
      <w:ind w:left="840" w:firstLine="480"/>
    </w:pPr>
    <w:rPr>
      <w:rFonts w:ascii="宋体" w:hAnsi="宋体" w:cs="Arial"/>
      <w:bCs/>
      <w:color w:val="000000"/>
      <w:kern w:val="0"/>
      <w:szCs w:val="21"/>
      <w:lang w:val="zh-CN"/>
    </w:rPr>
  </w:style>
  <w:style w:type="paragraph" w:styleId="af2">
    <w:name w:val="Plain Text"/>
    <w:basedOn w:val="a0"/>
    <w:link w:val="af3"/>
    <w:pPr>
      <w:widowControl/>
      <w:spacing w:before="100" w:beforeAutospacing="1" w:after="100" w:afterAutospacing="1"/>
      <w:jc w:val="left"/>
    </w:pPr>
    <w:rPr>
      <w:rFonts w:ascii="Arial Unicode MS" w:eastAsia="Arial Unicode MS" w:hAnsi="Arial Unicode MS"/>
      <w:kern w:val="0"/>
      <w:sz w:val="24"/>
    </w:rPr>
  </w:style>
  <w:style w:type="paragraph" w:styleId="81">
    <w:name w:val="toc 8"/>
    <w:basedOn w:val="a0"/>
    <w:next w:val="a0"/>
    <w:qFormat/>
    <w:pPr>
      <w:spacing w:after="120" w:line="360" w:lineRule="auto"/>
      <w:ind w:left="2940" w:firstLine="480"/>
    </w:pPr>
    <w:rPr>
      <w:rFonts w:ascii="宋体" w:hAnsi="宋体" w:cs="Arial"/>
      <w:bCs/>
      <w:color w:val="000000"/>
      <w:kern w:val="0"/>
      <w:szCs w:val="21"/>
      <w:lang w:val="zh-CN"/>
    </w:rPr>
  </w:style>
  <w:style w:type="paragraph" w:styleId="af4">
    <w:name w:val="Date"/>
    <w:basedOn w:val="a0"/>
    <w:next w:val="a0"/>
    <w:link w:val="af5"/>
    <w:qFormat/>
    <w:pPr>
      <w:ind w:leftChars="2500" w:left="100"/>
    </w:pPr>
    <w:rPr>
      <w:rFonts w:ascii="宋体" w:hAnsi="宋体"/>
      <w:kern w:val="0"/>
      <w:sz w:val="24"/>
      <w:szCs w:val="21"/>
    </w:rPr>
  </w:style>
  <w:style w:type="paragraph" w:styleId="22">
    <w:name w:val="Body Text Indent 2"/>
    <w:basedOn w:val="a0"/>
    <w:link w:val="23"/>
    <w:pPr>
      <w:tabs>
        <w:tab w:val="left" w:pos="1110"/>
      </w:tabs>
      <w:spacing w:line="360" w:lineRule="auto"/>
      <w:ind w:firstLineChars="200" w:firstLine="420"/>
    </w:pPr>
    <w:rPr>
      <w:rFonts w:ascii="宋体" w:hAnsi="宋体"/>
      <w:color w:val="FF0000"/>
      <w:kern w:val="0"/>
      <w:sz w:val="20"/>
    </w:rPr>
  </w:style>
  <w:style w:type="paragraph" w:styleId="af6">
    <w:name w:val="endnote text"/>
    <w:basedOn w:val="a0"/>
    <w:link w:val="af7"/>
    <w:qFormat/>
    <w:pPr>
      <w:snapToGrid w:val="0"/>
      <w:jc w:val="left"/>
    </w:pPr>
    <w:rPr>
      <w:kern w:val="0"/>
      <w:sz w:val="20"/>
      <w:szCs w:val="20"/>
    </w:rPr>
  </w:style>
  <w:style w:type="paragraph" w:styleId="af8">
    <w:name w:val="Balloon Text"/>
    <w:basedOn w:val="a0"/>
    <w:link w:val="af9"/>
    <w:semiHidden/>
    <w:qFormat/>
    <w:rPr>
      <w:kern w:val="0"/>
      <w:sz w:val="18"/>
      <w:szCs w:val="18"/>
    </w:rPr>
  </w:style>
  <w:style w:type="paragraph" w:styleId="afa">
    <w:name w:val="footer"/>
    <w:basedOn w:val="a0"/>
    <w:link w:val="afb"/>
    <w:uiPriority w:val="99"/>
    <w:pPr>
      <w:tabs>
        <w:tab w:val="center" w:pos="4153"/>
        <w:tab w:val="right" w:pos="8306"/>
      </w:tabs>
      <w:snapToGrid w:val="0"/>
      <w:jc w:val="left"/>
    </w:pPr>
    <w:rPr>
      <w:kern w:val="0"/>
      <w:sz w:val="18"/>
      <w:szCs w:val="18"/>
    </w:rPr>
  </w:style>
  <w:style w:type="paragraph" w:styleId="afc">
    <w:name w:val="header"/>
    <w:basedOn w:val="a0"/>
    <w:link w:val="afd"/>
    <w:uiPriority w:val="99"/>
    <w:qFormat/>
    <w:pPr>
      <w:pBdr>
        <w:bottom w:val="single" w:sz="6" w:space="1" w:color="auto"/>
      </w:pBdr>
      <w:tabs>
        <w:tab w:val="center" w:pos="4153"/>
        <w:tab w:val="right" w:pos="8306"/>
      </w:tabs>
      <w:snapToGrid w:val="0"/>
      <w:jc w:val="center"/>
    </w:pPr>
    <w:rPr>
      <w:kern w:val="0"/>
      <w:sz w:val="18"/>
      <w:szCs w:val="18"/>
    </w:rPr>
  </w:style>
  <w:style w:type="paragraph" w:styleId="14">
    <w:name w:val="toc 1"/>
    <w:basedOn w:val="a0"/>
    <w:next w:val="a0"/>
    <w:uiPriority w:val="39"/>
    <w:qFormat/>
    <w:pPr>
      <w:tabs>
        <w:tab w:val="right" w:leader="dot" w:pos="8295"/>
      </w:tabs>
      <w:snapToGrid w:val="0"/>
      <w:spacing w:line="360" w:lineRule="auto"/>
    </w:pPr>
    <w:rPr>
      <w:rFonts w:ascii="宋体" w:hAnsi="宋体"/>
      <w:caps/>
      <w:sz w:val="24"/>
    </w:rPr>
  </w:style>
  <w:style w:type="paragraph" w:styleId="41">
    <w:name w:val="toc 4"/>
    <w:basedOn w:val="a0"/>
    <w:next w:val="a0"/>
    <w:pPr>
      <w:spacing w:after="120" w:line="360" w:lineRule="auto"/>
      <w:ind w:left="1260" w:firstLine="480"/>
    </w:pPr>
    <w:rPr>
      <w:rFonts w:ascii="宋体" w:hAnsi="宋体" w:cs="Arial"/>
      <w:bCs/>
      <w:color w:val="000000"/>
      <w:kern w:val="0"/>
      <w:szCs w:val="21"/>
      <w:lang w:val="zh-CN"/>
    </w:rPr>
  </w:style>
  <w:style w:type="paragraph" w:styleId="afe">
    <w:name w:val="footnote text"/>
    <w:basedOn w:val="a0"/>
    <w:link w:val="aff"/>
    <w:qFormat/>
    <w:pPr>
      <w:snapToGrid w:val="0"/>
      <w:jc w:val="left"/>
    </w:pPr>
    <w:rPr>
      <w:kern w:val="0"/>
      <w:sz w:val="18"/>
      <w:szCs w:val="18"/>
    </w:rPr>
  </w:style>
  <w:style w:type="paragraph" w:styleId="61">
    <w:name w:val="toc 6"/>
    <w:basedOn w:val="a0"/>
    <w:next w:val="a0"/>
    <w:qFormat/>
    <w:pPr>
      <w:spacing w:after="120" w:line="360" w:lineRule="auto"/>
      <w:ind w:left="2100" w:firstLine="480"/>
    </w:pPr>
    <w:rPr>
      <w:rFonts w:ascii="宋体" w:hAnsi="宋体" w:cs="Arial"/>
      <w:bCs/>
      <w:color w:val="000000"/>
      <w:kern w:val="0"/>
      <w:szCs w:val="21"/>
      <w:lang w:val="zh-CN"/>
    </w:rPr>
  </w:style>
  <w:style w:type="paragraph" w:styleId="32">
    <w:name w:val="Body Text Indent 3"/>
    <w:basedOn w:val="a0"/>
    <w:link w:val="33"/>
    <w:qFormat/>
    <w:pPr>
      <w:spacing w:line="360" w:lineRule="auto"/>
      <w:ind w:firstLine="425"/>
    </w:pPr>
    <w:rPr>
      <w:rFonts w:ascii="宋体"/>
      <w:kern w:val="0"/>
      <w:sz w:val="20"/>
    </w:rPr>
  </w:style>
  <w:style w:type="paragraph" w:styleId="24">
    <w:name w:val="toc 2"/>
    <w:basedOn w:val="a0"/>
    <w:next w:val="a0"/>
    <w:pPr>
      <w:spacing w:after="120" w:line="360" w:lineRule="auto"/>
      <w:ind w:left="420" w:firstLine="480"/>
    </w:pPr>
    <w:rPr>
      <w:rFonts w:ascii="宋体" w:hAnsi="宋体" w:cs="Arial"/>
      <w:bCs/>
      <w:color w:val="000000"/>
      <w:kern w:val="0"/>
      <w:szCs w:val="21"/>
      <w:lang w:val="zh-CN"/>
    </w:rPr>
  </w:style>
  <w:style w:type="paragraph" w:styleId="91">
    <w:name w:val="toc 9"/>
    <w:basedOn w:val="a0"/>
    <w:next w:val="a0"/>
    <w:qFormat/>
    <w:pPr>
      <w:spacing w:after="120" w:line="360" w:lineRule="auto"/>
      <w:ind w:left="3360" w:firstLine="480"/>
    </w:pPr>
    <w:rPr>
      <w:rFonts w:ascii="宋体" w:hAnsi="宋体" w:cs="Arial"/>
      <w:bCs/>
      <w:color w:val="000000"/>
      <w:kern w:val="0"/>
      <w:szCs w:val="21"/>
      <w:lang w:val="zh-CN"/>
    </w:rPr>
  </w:style>
  <w:style w:type="paragraph" w:styleId="25">
    <w:name w:val="Body Text 2"/>
    <w:basedOn w:val="a0"/>
    <w:link w:val="26"/>
    <w:qFormat/>
    <w:rPr>
      <w:kern w:val="0"/>
      <w:sz w:val="28"/>
      <w:szCs w:val="20"/>
    </w:rPr>
  </w:style>
  <w:style w:type="paragraph" w:styleId="aff0">
    <w:name w:val="Normal (Web)"/>
    <w:basedOn w:val="a0"/>
    <w:uiPriority w:val="99"/>
    <w:qFormat/>
    <w:pPr>
      <w:widowControl/>
      <w:spacing w:before="100" w:beforeAutospacing="1" w:after="100" w:afterAutospacing="1"/>
      <w:jc w:val="left"/>
    </w:pPr>
    <w:rPr>
      <w:rFonts w:ascii="宋体" w:hAnsi="宋体"/>
      <w:kern w:val="0"/>
      <w:sz w:val="24"/>
    </w:rPr>
  </w:style>
  <w:style w:type="paragraph" w:styleId="aff1">
    <w:name w:val="Title"/>
    <w:basedOn w:val="a0"/>
    <w:link w:val="aff2"/>
    <w:qFormat/>
    <w:pPr>
      <w:autoSpaceDE w:val="0"/>
      <w:autoSpaceDN w:val="0"/>
      <w:adjustRightInd w:val="0"/>
      <w:spacing w:before="240" w:after="60"/>
      <w:jc w:val="center"/>
      <w:textAlignment w:val="baseline"/>
      <w:outlineLvl w:val="0"/>
    </w:pPr>
    <w:rPr>
      <w:rFonts w:ascii="Arial" w:hAnsi="Arial"/>
      <w:b/>
      <w:bCs/>
      <w:kern w:val="0"/>
      <w:sz w:val="32"/>
      <w:szCs w:val="32"/>
    </w:rPr>
  </w:style>
  <w:style w:type="character" w:styleId="aff3">
    <w:name w:val="Strong"/>
    <w:uiPriority w:val="22"/>
    <w:qFormat/>
    <w:rPr>
      <w:b/>
      <w:bCs/>
    </w:rPr>
  </w:style>
  <w:style w:type="character" w:styleId="aff4">
    <w:name w:val="endnote reference"/>
    <w:rPr>
      <w:vertAlign w:val="superscript"/>
    </w:rPr>
  </w:style>
  <w:style w:type="character" w:styleId="aff5">
    <w:name w:val="page number"/>
    <w:basedOn w:val="a1"/>
    <w:qFormat/>
  </w:style>
  <w:style w:type="character" w:styleId="aff6">
    <w:name w:val="FollowedHyperlink"/>
    <w:rPr>
      <w:color w:val="800080"/>
      <w:u w:val="single"/>
    </w:rPr>
  </w:style>
  <w:style w:type="character" w:styleId="aff7">
    <w:name w:val="Emphasis"/>
    <w:uiPriority w:val="20"/>
    <w:qFormat/>
    <w:rPr>
      <w:i/>
      <w:iCs/>
    </w:rPr>
  </w:style>
  <w:style w:type="character" w:styleId="aff8">
    <w:name w:val="Hyperlink"/>
    <w:uiPriority w:val="99"/>
    <w:qFormat/>
    <w:rPr>
      <w:color w:val="0000FF"/>
      <w:u w:val="single"/>
    </w:rPr>
  </w:style>
  <w:style w:type="character" w:styleId="aff9">
    <w:name w:val="annotation reference"/>
    <w:qFormat/>
    <w:rPr>
      <w:sz w:val="21"/>
      <w:szCs w:val="21"/>
    </w:rPr>
  </w:style>
  <w:style w:type="character" w:styleId="affa">
    <w:name w:val="footnote reference"/>
    <w:qFormat/>
    <w:rPr>
      <w:vertAlign w:val="superscript"/>
    </w:rPr>
  </w:style>
  <w:style w:type="table" w:styleId="affb">
    <w:name w:val="Table Grid"/>
    <w:basedOn w:val="a2"/>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Theme"/>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olorful 1"/>
    <w:basedOn w:val="a2"/>
    <w:qFormat/>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customStyle="1" w:styleId="23">
    <w:name w:val="正文文本缩进 2 字符"/>
    <w:link w:val="22"/>
    <w:qFormat/>
    <w:rPr>
      <w:rFonts w:ascii="宋体" w:hAnsi="宋体"/>
      <w:color w:val="FF0000"/>
      <w:szCs w:val="24"/>
    </w:rPr>
  </w:style>
  <w:style w:type="character" w:customStyle="1" w:styleId="33">
    <w:name w:val="正文文本缩进 3 字符"/>
    <w:link w:val="32"/>
    <w:qFormat/>
    <w:rPr>
      <w:rFonts w:ascii="宋体" w:hAnsi="Times New Roman"/>
      <w:szCs w:val="24"/>
    </w:rPr>
  </w:style>
  <w:style w:type="character" w:customStyle="1" w:styleId="tt11">
    <w:name w:val="tt11"/>
    <w:rPr>
      <w:spacing w:val="400"/>
      <w:sz w:val="22"/>
      <w:szCs w:val="22"/>
    </w:rPr>
  </w:style>
  <w:style w:type="character" w:customStyle="1" w:styleId="af3">
    <w:name w:val="纯文本 字符"/>
    <w:link w:val="af2"/>
    <w:rPr>
      <w:rFonts w:ascii="Arial Unicode MS" w:eastAsia="Arial Unicode MS" w:hAnsi="Arial Unicode MS" w:cs="Arial Unicode MS"/>
      <w:kern w:val="0"/>
      <w:sz w:val="24"/>
      <w:szCs w:val="24"/>
    </w:rPr>
  </w:style>
  <w:style w:type="character" w:customStyle="1" w:styleId="60">
    <w:name w:val="标题 6 字符"/>
    <w:link w:val="6"/>
    <w:rPr>
      <w:rFonts w:ascii="Arial" w:eastAsia="黑体" w:hAnsi="Arial" w:cs="Times New Roman"/>
      <w:b/>
      <w:kern w:val="0"/>
      <w:sz w:val="24"/>
      <w:szCs w:val="20"/>
    </w:rPr>
  </w:style>
  <w:style w:type="character" w:customStyle="1" w:styleId="a9">
    <w:name w:val="正文首行缩进 字符"/>
    <w:link w:val="a7"/>
    <w:qFormat/>
    <w:rPr>
      <w:rFonts w:ascii="Times New Roman" w:hAnsi="Times New Roman"/>
      <w:sz w:val="24"/>
      <w:szCs w:val="24"/>
    </w:rPr>
  </w:style>
  <w:style w:type="character" w:customStyle="1" w:styleId="50">
    <w:name w:val="标题 5 字符"/>
    <w:link w:val="5"/>
    <w:qFormat/>
    <w:rPr>
      <w:rFonts w:ascii="宋体" w:eastAsia="宋体" w:hAnsi="Times New Roman" w:cs="Times New Roman"/>
      <w:b/>
      <w:kern w:val="0"/>
      <w:sz w:val="28"/>
      <w:szCs w:val="20"/>
    </w:rPr>
  </w:style>
  <w:style w:type="character" w:customStyle="1" w:styleId="big1">
    <w:name w:val="big1"/>
    <w:rPr>
      <w:spacing w:val="360"/>
      <w:sz w:val="25"/>
      <w:szCs w:val="25"/>
    </w:rPr>
  </w:style>
  <w:style w:type="character" w:customStyle="1" w:styleId="apple-style-span">
    <w:name w:val="apple-style-span"/>
    <w:basedOn w:val="a1"/>
  </w:style>
  <w:style w:type="character" w:customStyle="1" w:styleId="af7">
    <w:name w:val="尾注文本 字符"/>
    <w:link w:val="af6"/>
    <w:rPr>
      <w:rFonts w:ascii="Times New Roman" w:hAnsi="Times New Roman"/>
    </w:rPr>
  </w:style>
  <w:style w:type="character" w:customStyle="1" w:styleId="af">
    <w:name w:val="文档结构图 字符"/>
    <w:link w:val="ae"/>
    <w:qFormat/>
    <w:rPr>
      <w:rFonts w:ascii="宋体" w:hAnsi="宋体"/>
      <w:bCs/>
      <w:color w:val="000000"/>
      <w:szCs w:val="21"/>
      <w:shd w:val="clear" w:color="auto" w:fill="000080"/>
      <w:lang w:val="zh-CN"/>
    </w:rPr>
  </w:style>
  <w:style w:type="character" w:customStyle="1" w:styleId="c1">
    <w:name w:val="c1"/>
    <w:rPr>
      <w:color w:val="000000"/>
      <w:spacing w:val="257"/>
      <w:sz w:val="15"/>
      <w:szCs w:val="15"/>
    </w:rPr>
  </w:style>
  <w:style w:type="character" w:customStyle="1" w:styleId="12">
    <w:name w:val="标题 1 字符"/>
    <w:link w:val="11"/>
    <w:rPr>
      <w:rFonts w:ascii="宋体" w:eastAsia="黑体" w:hAnsi="Times New Roman" w:cs="Times New Roman"/>
      <w:kern w:val="0"/>
      <w:sz w:val="24"/>
      <w:szCs w:val="20"/>
    </w:rPr>
  </w:style>
  <w:style w:type="character" w:customStyle="1" w:styleId="80">
    <w:name w:val="标题 8 字符"/>
    <w:link w:val="8"/>
    <w:rPr>
      <w:rFonts w:ascii="Arial" w:eastAsia="黑体" w:hAnsi="Arial" w:cs="Times New Roman"/>
      <w:kern w:val="0"/>
      <w:sz w:val="24"/>
      <w:szCs w:val="20"/>
    </w:rPr>
  </w:style>
  <w:style w:type="character" w:customStyle="1" w:styleId="21">
    <w:name w:val="标题 2 字符"/>
    <w:link w:val="20"/>
    <w:uiPriority w:val="9"/>
    <w:qFormat/>
    <w:rPr>
      <w:rFonts w:ascii="Arial" w:eastAsia="黑体" w:hAnsi="Arial" w:cs="Times New Roman"/>
      <w:b/>
      <w:kern w:val="0"/>
      <w:sz w:val="32"/>
      <w:szCs w:val="20"/>
    </w:rPr>
  </w:style>
  <w:style w:type="character" w:customStyle="1" w:styleId="30">
    <w:name w:val="标题 3 字符"/>
    <w:link w:val="3"/>
    <w:qFormat/>
    <w:rPr>
      <w:rFonts w:ascii="Times New Roman" w:hAnsi="Times New Roman"/>
      <w:b/>
      <w:bCs/>
      <w:szCs w:val="32"/>
    </w:rPr>
  </w:style>
  <w:style w:type="character" w:customStyle="1" w:styleId="40">
    <w:name w:val="标题 4 字符"/>
    <w:link w:val="4"/>
    <w:rPr>
      <w:rFonts w:ascii="Arial" w:eastAsia="黑体" w:hAnsi="Arial" w:cs="Times New Roman"/>
      <w:b/>
      <w:kern w:val="0"/>
      <w:sz w:val="28"/>
      <w:szCs w:val="20"/>
    </w:rPr>
  </w:style>
  <w:style w:type="character" w:customStyle="1" w:styleId="26">
    <w:name w:val="正文文本 2 字符"/>
    <w:link w:val="25"/>
    <w:rPr>
      <w:rFonts w:ascii="Times New Roman" w:hAnsi="Times New Roman"/>
      <w:sz w:val="28"/>
    </w:rPr>
  </w:style>
  <w:style w:type="character" w:customStyle="1" w:styleId="70">
    <w:name w:val="标题 7 字符"/>
    <w:link w:val="7"/>
    <w:qFormat/>
    <w:rPr>
      <w:rFonts w:ascii="宋体" w:eastAsia="宋体" w:hAnsi="Times New Roman" w:cs="Times New Roman"/>
      <w:b/>
      <w:kern w:val="0"/>
      <w:sz w:val="24"/>
      <w:szCs w:val="20"/>
    </w:rPr>
  </w:style>
  <w:style w:type="character" w:customStyle="1" w:styleId="90">
    <w:name w:val="标题 9 字符"/>
    <w:link w:val="9"/>
    <w:qFormat/>
    <w:rPr>
      <w:rFonts w:ascii="Arial" w:eastAsia="黑体" w:hAnsi="Arial"/>
    </w:rPr>
  </w:style>
  <w:style w:type="character" w:customStyle="1" w:styleId="afd">
    <w:name w:val="页眉 字符"/>
    <w:link w:val="afc"/>
    <w:uiPriority w:val="99"/>
    <w:qFormat/>
    <w:rPr>
      <w:rFonts w:ascii="Times New Roman" w:hAnsi="Times New Roman"/>
      <w:sz w:val="18"/>
      <w:szCs w:val="18"/>
    </w:rPr>
  </w:style>
  <w:style w:type="character" w:customStyle="1" w:styleId="afb">
    <w:name w:val="页脚 字符"/>
    <w:link w:val="afa"/>
    <w:uiPriority w:val="99"/>
    <w:qFormat/>
    <w:rPr>
      <w:rFonts w:ascii="Times New Roman" w:hAnsi="Times New Roman"/>
      <w:sz w:val="18"/>
      <w:szCs w:val="18"/>
    </w:rPr>
  </w:style>
  <w:style w:type="character" w:customStyle="1" w:styleId="read1">
    <w:name w:val="read1"/>
    <w:qFormat/>
    <w:rPr>
      <w:rFonts w:hint="default"/>
      <w:color w:val="000000"/>
      <w:spacing w:val="450"/>
      <w:u w:val="none"/>
    </w:rPr>
  </w:style>
  <w:style w:type="character" w:customStyle="1" w:styleId="af5">
    <w:name w:val="日期 字符"/>
    <w:link w:val="af4"/>
    <w:qFormat/>
    <w:rPr>
      <w:rFonts w:ascii="宋体" w:eastAsia="宋体" w:hAnsi="宋体" w:cs="Times New Roman"/>
      <w:kern w:val="0"/>
      <w:sz w:val="24"/>
      <w:szCs w:val="21"/>
    </w:rPr>
  </w:style>
  <w:style w:type="character" w:customStyle="1" w:styleId="aff2">
    <w:name w:val="标题 字符"/>
    <w:link w:val="aff1"/>
    <w:qFormat/>
    <w:rPr>
      <w:rFonts w:ascii="Arial" w:eastAsia="宋体" w:hAnsi="Arial" w:cs="Arial"/>
      <w:b/>
      <w:bCs/>
      <w:kern w:val="0"/>
      <w:sz w:val="32"/>
      <w:szCs w:val="32"/>
    </w:rPr>
  </w:style>
  <w:style w:type="character" w:customStyle="1" w:styleId="aa">
    <w:name w:val="正文文本 字符"/>
    <w:link w:val="a8"/>
    <w:qFormat/>
    <w:rPr>
      <w:rFonts w:ascii="宋体" w:eastAsia="宋体" w:hAnsi="宋体" w:cs="Times New Roman"/>
      <w:kern w:val="0"/>
      <w:sz w:val="24"/>
      <w:szCs w:val="21"/>
    </w:rPr>
  </w:style>
  <w:style w:type="character" w:customStyle="1" w:styleId="af1">
    <w:name w:val="正文文本缩进 字符"/>
    <w:link w:val="af0"/>
    <w:rPr>
      <w:rFonts w:ascii="Times New Roman" w:hAnsi="Times New Roman"/>
      <w:sz w:val="24"/>
    </w:rPr>
  </w:style>
  <w:style w:type="character" w:customStyle="1" w:styleId="c">
    <w:name w:val="c"/>
    <w:basedOn w:val="a1"/>
    <w:qFormat/>
  </w:style>
  <w:style w:type="character" w:customStyle="1" w:styleId="read">
    <w:name w:val="read"/>
    <w:basedOn w:val="a1"/>
    <w:qFormat/>
  </w:style>
  <w:style w:type="character" w:customStyle="1" w:styleId="affd">
    <w:name w:val="批注文字 字符"/>
    <w:qFormat/>
    <w:rPr>
      <w:kern w:val="2"/>
      <w:sz w:val="21"/>
    </w:rPr>
  </w:style>
  <w:style w:type="character" w:customStyle="1" w:styleId="font21">
    <w:name w:val="font21"/>
    <w:qFormat/>
    <w:rPr>
      <w:color w:val="CC6600"/>
      <w:sz w:val="20"/>
      <w:szCs w:val="20"/>
    </w:rPr>
  </w:style>
  <w:style w:type="character" w:customStyle="1" w:styleId="aff">
    <w:name w:val="脚注文本 字符"/>
    <w:link w:val="afe"/>
    <w:rPr>
      <w:rFonts w:ascii="Times New Roman" w:hAnsi="Times New Roman"/>
      <w:sz w:val="18"/>
      <w:szCs w:val="18"/>
    </w:rPr>
  </w:style>
  <w:style w:type="character" w:customStyle="1" w:styleId="af9">
    <w:name w:val="批注框文本 字符"/>
    <w:link w:val="af8"/>
    <w:semiHidden/>
    <w:rPr>
      <w:rFonts w:ascii="Times New Roman" w:hAnsi="Times New Roman"/>
      <w:sz w:val="18"/>
      <w:szCs w:val="18"/>
    </w:rPr>
  </w:style>
  <w:style w:type="character" w:customStyle="1" w:styleId="msoins0">
    <w:name w:val="msoins"/>
    <w:basedOn w:val="a1"/>
    <w:qFormat/>
  </w:style>
  <w:style w:type="character" w:customStyle="1" w:styleId="13">
    <w:name w:val="批注文字 字符1"/>
    <w:link w:val="a5"/>
    <w:rPr>
      <w:rFonts w:ascii="Times New Roman" w:hAnsi="Times New Roman"/>
      <w:szCs w:val="24"/>
    </w:rPr>
  </w:style>
  <w:style w:type="character" w:customStyle="1" w:styleId="a6">
    <w:name w:val="批注主题 字符"/>
    <w:link w:val="a4"/>
    <w:rPr>
      <w:rFonts w:ascii="Times New Roman" w:hAnsi="Times New Roman"/>
      <w:b/>
      <w:bCs/>
      <w:szCs w:val="24"/>
    </w:rPr>
  </w:style>
  <w:style w:type="character" w:customStyle="1" w:styleId="unnamed11">
    <w:name w:val="unnamed11"/>
    <w:qFormat/>
    <w:rPr>
      <w:rFonts w:ascii="宋体" w:eastAsia="宋体" w:hAnsi="宋体" w:hint="eastAsia"/>
      <w:sz w:val="18"/>
      <w:szCs w:val="18"/>
    </w:rPr>
  </w:style>
  <w:style w:type="character" w:customStyle="1" w:styleId="BS8Char">
    <w:name w:val="BS标题8 Char"/>
    <w:link w:val="BS8"/>
    <w:rPr>
      <w:rFonts w:ascii="Times New Roman" w:hAnsi="Times New Roman"/>
      <w:szCs w:val="32"/>
    </w:rPr>
  </w:style>
  <w:style w:type="paragraph" w:customStyle="1" w:styleId="BS8">
    <w:name w:val="BS标题8"/>
    <w:basedOn w:val="20"/>
    <w:link w:val="BS8Char"/>
    <w:qFormat/>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character" w:customStyle="1" w:styleId="txtcontent11">
    <w:name w:val="txtcontent11"/>
    <w:qFormat/>
    <w:rPr>
      <w:rFonts w:ascii="ˎ̥" w:hAnsi="ˎ̥" w:hint="default"/>
      <w:color w:val="000000"/>
      <w:sz w:val="21"/>
      <w:szCs w:val="21"/>
    </w:rPr>
  </w:style>
  <w:style w:type="paragraph" w:customStyle="1" w:styleId="10">
    <w:name w:val="1"/>
    <w:basedOn w:val="a0"/>
    <w:qFormat/>
    <w:pPr>
      <w:numPr>
        <w:numId w:val="1"/>
      </w:numPr>
      <w:spacing w:before="100" w:beforeAutospacing="1" w:after="100" w:afterAutospacing="1" w:line="360" w:lineRule="auto"/>
      <w:ind w:leftChars="200" w:left="420" w:firstLine="0"/>
    </w:pPr>
  </w:style>
  <w:style w:type="paragraph" w:customStyle="1" w:styleId="16">
    <w:name w:val="列出段落1"/>
    <w:basedOn w:val="a0"/>
    <w:pPr>
      <w:ind w:firstLineChars="200" w:firstLine="420"/>
    </w:pPr>
    <w:rPr>
      <w:rFonts w:ascii="Calibri" w:hAnsi="Calibri"/>
      <w:szCs w:val="22"/>
    </w:rPr>
  </w:style>
  <w:style w:type="paragraph" w:customStyle="1" w:styleId="2">
    <w:name w:val="列表2"/>
    <w:basedOn w:val="a0"/>
    <w:next w:val="aff1"/>
    <w:pPr>
      <w:numPr>
        <w:numId w:val="2"/>
      </w:numPr>
      <w:spacing w:line="360" w:lineRule="auto"/>
    </w:pPr>
    <w:rPr>
      <w:rFonts w:ascii="宋体"/>
      <w:szCs w:val="20"/>
    </w:rPr>
  </w:style>
  <w:style w:type="paragraph" w:customStyle="1" w:styleId="Default">
    <w:name w:val="Default"/>
    <w:qFormat/>
    <w:pPr>
      <w:widowControl w:val="0"/>
      <w:autoSpaceDE w:val="0"/>
      <w:autoSpaceDN w:val="0"/>
      <w:adjustRightInd w:val="0"/>
    </w:pPr>
    <w:rPr>
      <w:rFonts w:ascii="宋体" w:eastAsia="宋体" w:hAnsi="Times New Roman" w:cs="Calibri"/>
      <w:color w:val="000000"/>
      <w:sz w:val="24"/>
      <w:szCs w:val="24"/>
    </w:rPr>
  </w:style>
  <w:style w:type="paragraph" w:customStyle="1" w:styleId="Char">
    <w:name w:val="Char"/>
    <w:basedOn w:val="a0"/>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0"/>
    <w:qFormat/>
    <w:pPr>
      <w:widowControl/>
      <w:jc w:val="left"/>
    </w:pPr>
    <w:rPr>
      <w:sz w:val="24"/>
    </w:rPr>
  </w:style>
  <w:style w:type="paragraph" w:customStyle="1" w:styleId="affe">
    <w:name w:val="正文正文"/>
    <w:basedOn w:val="a0"/>
    <w:qFormat/>
    <w:pPr>
      <w:spacing w:afterLines="25" w:line="360" w:lineRule="auto"/>
      <w:ind w:firstLineChars="200" w:firstLine="200"/>
    </w:pPr>
    <w:rPr>
      <w:sz w:val="24"/>
    </w:rPr>
  </w:style>
  <w:style w:type="paragraph" w:customStyle="1" w:styleId="1">
    <w:name w:val="列表1"/>
    <w:basedOn w:val="a0"/>
    <w:next w:val="a0"/>
    <w:pPr>
      <w:numPr>
        <w:numId w:val="3"/>
      </w:numPr>
      <w:spacing w:line="360" w:lineRule="auto"/>
    </w:pPr>
    <w:rPr>
      <w:szCs w:val="20"/>
    </w:rPr>
  </w:style>
  <w:style w:type="paragraph" w:customStyle="1" w:styleId="CharCharCharChar">
    <w:name w:val="Char Char Char Char"/>
    <w:basedOn w:val="a0"/>
    <w:pPr>
      <w:tabs>
        <w:tab w:val="left" w:pos="360"/>
      </w:tabs>
    </w:pPr>
    <w:rPr>
      <w:sz w:val="24"/>
    </w:rPr>
  </w:style>
  <w:style w:type="paragraph" w:customStyle="1" w:styleId="Char2">
    <w:name w:val="Char2"/>
    <w:basedOn w:val="a0"/>
    <w:qFormat/>
  </w:style>
  <w:style w:type="paragraph" w:customStyle="1" w:styleId="CharCharCharChar11">
    <w:name w:val="Char Char Char Char11"/>
    <w:basedOn w:val="a0"/>
    <w:qFormat/>
    <w:rPr>
      <w:szCs w:val="20"/>
    </w:rPr>
  </w:style>
  <w:style w:type="paragraph" w:customStyle="1" w:styleId="content">
    <w:name w:val="content"/>
    <w:basedOn w:val="a0"/>
    <w:qFormat/>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afff">
    <w:name w:val="正文所"/>
    <w:basedOn w:val="a0"/>
    <w:qFormat/>
    <w:pPr>
      <w:spacing w:line="360" w:lineRule="auto"/>
      <w:ind w:firstLineChars="200" w:firstLine="420"/>
    </w:pPr>
    <w:rPr>
      <w:rFonts w:ascii="宋体"/>
      <w:szCs w:val="20"/>
    </w:rPr>
  </w:style>
  <w:style w:type="paragraph" w:customStyle="1" w:styleId="Char1">
    <w:name w:val="Char1"/>
    <w:basedOn w:val="a0"/>
    <w:qFormat/>
    <w:pPr>
      <w:tabs>
        <w:tab w:val="left" w:pos="360"/>
      </w:tabs>
    </w:pPr>
    <w:rPr>
      <w:sz w:val="24"/>
    </w:rPr>
  </w:style>
  <w:style w:type="paragraph" w:customStyle="1" w:styleId="2211">
    <w:name w:val="样式 标题 2 + 首行缩进:  2 字符 段前: 1 行 段后: 1 行"/>
    <w:basedOn w:val="20"/>
    <w:qFormat/>
    <w:pPr>
      <w:tabs>
        <w:tab w:val="left" w:pos="1276"/>
      </w:tabs>
      <w:autoSpaceDE/>
      <w:autoSpaceDN/>
      <w:adjustRightInd/>
      <w:spacing w:before="100" w:after="100" w:line="240" w:lineRule="auto"/>
      <w:ind w:left="851"/>
      <w:jc w:val="both"/>
      <w:textAlignment w:val="auto"/>
    </w:pPr>
    <w:rPr>
      <w:rFonts w:eastAsia="宋体"/>
      <w:kern w:val="2"/>
      <w:sz w:val="28"/>
    </w:rPr>
  </w:style>
  <w:style w:type="paragraph" w:customStyle="1" w:styleId="42">
    <w:name w:val="标题4"/>
    <w:basedOn w:val="af0"/>
    <w:qFormat/>
    <w:pPr>
      <w:spacing w:line="360" w:lineRule="auto"/>
      <w:ind w:firstLine="0"/>
    </w:pPr>
    <w:rPr>
      <w:szCs w:val="24"/>
    </w:rPr>
  </w:style>
  <w:style w:type="paragraph" w:customStyle="1" w:styleId="150">
    <w:name w:val="样式 宋体 四号 行距: 1.5 倍行距"/>
    <w:basedOn w:val="a0"/>
    <w:qFormat/>
    <w:pPr>
      <w:spacing w:line="360" w:lineRule="auto"/>
    </w:pPr>
    <w:rPr>
      <w:rFonts w:ascii="宋体" w:hAnsi="宋体"/>
      <w:sz w:val="24"/>
      <w:szCs w:val="20"/>
    </w:rPr>
  </w:style>
  <w:style w:type="paragraph" w:customStyle="1" w:styleId="Char1CharCharCharChar">
    <w:name w:val="Char1 Char Char Char Char"/>
    <w:basedOn w:val="a0"/>
    <w:qFormat/>
    <w:pPr>
      <w:widowControl/>
      <w:spacing w:after="160" w:line="240" w:lineRule="exact"/>
      <w:jc w:val="left"/>
    </w:pPr>
    <w:rPr>
      <w:rFonts w:ascii="Verdana" w:hAnsi="Verdana" w:cs="Verdana"/>
      <w:kern w:val="0"/>
      <w:sz w:val="20"/>
      <w:szCs w:val="20"/>
      <w:lang w:eastAsia="en-US"/>
    </w:rPr>
  </w:style>
  <w:style w:type="paragraph" w:customStyle="1" w:styleId="ParaChar">
    <w:name w:val="默认段落字体 Para Char"/>
    <w:basedOn w:val="a0"/>
    <w:qFormat/>
    <w:pPr>
      <w:tabs>
        <w:tab w:val="left" w:pos="757"/>
      </w:tabs>
      <w:ind w:firstLine="397"/>
    </w:pPr>
    <w:rPr>
      <w:sz w:val="24"/>
    </w:rPr>
  </w:style>
  <w:style w:type="paragraph" w:customStyle="1" w:styleId="17">
    <w:name w:val="修订1"/>
    <w:uiPriority w:val="99"/>
    <w:semiHidden/>
    <w:qFormat/>
    <w:rPr>
      <w:rFonts w:ascii="Times New Roman" w:eastAsia="宋体" w:hAnsi="Times New Roman" w:cs="Calibri"/>
      <w:kern w:val="2"/>
      <w:sz w:val="21"/>
      <w:szCs w:val="24"/>
    </w:rPr>
  </w:style>
  <w:style w:type="paragraph" w:customStyle="1" w:styleId="27">
    <w:name w:val="编号正文2"/>
    <w:basedOn w:val="a0"/>
    <w:qFormat/>
    <w:pPr>
      <w:autoSpaceDE w:val="0"/>
      <w:autoSpaceDN w:val="0"/>
      <w:adjustRightInd w:val="0"/>
      <w:spacing w:after="120" w:line="300" w:lineRule="auto"/>
      <w:ind w:firstLine="480"/>
      <w:textAlignment w:val="baseline"/>
    </w:pPr>
    <w:rPr>
      <w:rFonts w:ascii="宋体"/>
      <w:color w:val="000000"/>
      <w:kern w:val="0"/>
      <w:szCs w:val="21"/>
      <w:lang w:val="zh-CN"/>
    </w:rPr>
  </w:style>
  <w:style w:type="paragraph" w:customStyle="1" w:styleId="a">
    <w:name w:val="项目"/>
    <w:basedOn w:val="4"/>
    <w:qFormat/>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paragraph" w:styleId="afff0">
    <w:name w:val="List Paragraph"/>
    <w:basedOn w:val="a0"/>
    <w:uiPriority w:val="34"/>
    <w:qFormat/>
    <w:pPr>
      <w:spacing w:after="120" w:line="360" w:lineRule="auto"/>
      <w:ind w:firstLineChars="200" w:firstLine="420"/>
    </w:pPr>
    <w:rPr>
      <w:rFonts w:ascii="宋体" w:hAnsi="宋体" w:cs="Arial"/>
      <w:bCs/>
      <w:color w:val="000000"/>
      <w:kern w:val="0"/>
      <w:szCs w:val="21"/>
      <w:lang w:val="zh-CN"/>
    </w:rPr>
  </w:style>
  <w:style w:type="paragraph" w:customStyle="1" w:styleId="CharCharCharCharChar1Char">
    <w:name w:val="Char Char Char Char Char1 Char"/>
    <w:basedOn w:val="a0"/>
    <w:qFormat/>
  </w:style>
  <w:style w:type="paragraph" w:customStyle="1" w:styleId="CharCharCharChar1">
    <w:name w:val="Char Char Char Char1"/>
    <w:basedOn w:val="a0"/>
    <w:qFormat/>
    <w:pPr>
      <w:tabs>
        <w:tab w:val="left" w:pos="360"/>
      </w:tabs>
      <w:spacing w:before="312" w:after="312" w:line="360" w:lineRule="auto"/>
    </w:pPr>
    <w:rPr>
      <w:sz w:val="24"/>
    </w:rPr>
  </w:style>
  <w:style w:type="paragraph" w:customStyle="1" w:styleId="Char3">
    <w:name w:val="Char3"/>
    <w:basedOn w:val="a0"/>
    <w:qFormat/>
    <w:pPr>
      <w:tabs>
        <w:tab w:val="left" w:pos="360"/>
      </w:tabs>
    </w:pPr>
    <w:rPr>
      <w:sz w:val="24"/>
    </w:rPr>
  </w:style>
  <w:style w:type="paragraph" w:customStyle="1" w:styleId="CharCharCharChar12">
    <w:name w:val="Char Char Char Char12"/>
    <w:basedOn w:val="a0"/>
    <w:qFormat/>
    <w:rPr>
      <w:szCs w:val="20"/>
    </w:rPr>
  </w:style>
  <w:style w:type="table" w:customStyle="1" w:styleId="18">
    <w:name w:val="网格型1"/>
    <w:basedOn w:val="a2"/>
    <w:uiPriority w:val="5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2">
    <w:name w:val="Char Char Char Char2"/>
    <w:basedOn w:val="a0"/>
    <w:qFormat/>
    <w:pPr>
      <w:tabs>
        <w:tab w:val="left" w:pos="360"/>
      </w:tabs>
    </w:pPr>
    <w:rPr>
      <w:rFonts w:cs="Times New Roman"/>
      <w:sz w:val="24"/>
    </w:rPr>
  </w:style>
  <w:style w:type="paragraph" w:styleId="afff1">
    <w:name w:val="Revision"/>
    <w:hidden/>
    <w:uiPriority w:val="99"/>
    <w:semiHidden/>
    <w:rsid w:val="00B7541D"/>
    <w:rPr>
      <w:rFonts w:ascii="Times New Roman" w:eastAsia="宋体" w:hAnsi="Times New Roman" w:cs="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footer" Target="footer23.xml"/><Relationship Id="rId21" Type="http://schemas.openxmlformats.org/officeDocument/2006/relationships/hyperlink" Target="tel:%E2%80%AA1994-1997%E2%80%AC" TargetMode="External"/><Relationship Id="rId34" Type="http://schemas.openxmlformats.org/officeDocument/2006/relationships/footer" Target="footer18.xml"/><Relationship Id="rId42" Type="http://schemas.openxmlformats.org/officeDocument/2006/relationships/footer" Target="footer26.xml"/><Relationship Id="rId47" Type="http://schemas.openxmlformats.org/officeDocument/2006/relationships/footer" Target="footer30.xml"/><Relationship Id="rId50" Type="http://schemas.openxmlformats.org/officeDocument/2006/relationships/footer" Target="footer33.xml"/><Relationship Id="rId55" Type="http://schemas.openxmlformats.org/officeDocument/2006/relationships/hyperlink" Target="mailto:service@bosera.com"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tel:%E2%80%AA1986-1990%E2%80%AC" TargetMode="External"/><Relationship Id="rId29" Type="http://schemas.openxmlformats.org/officeDocument/2006/relationships/header" Target="header5.xml"/><Relationship Id="rId41" Type="http://schemas.openxmlformats.org/officeDocument/2006/relationships/footer" Target="footer25.xml"/><Relationship Id="rId54" Type="http://schemas.openxmlformats.org/officeDocument/2006/relationships/hyperlink" Target="mailto:service@bosera.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8.xml"/><Relationship Id="rId53" Type="http://schemas.openxmlformats.org/officeDocument/2006/relationships/footer" Target="footer36.xml"/><Relationship Id="rId58"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oter" Target="footer20.xml"/><Relationship Id="rId49" Type="http://schemas.openxmlformats.org/officeDocument/2006/relationships/footer" Target="footer32.xml"/><Relationship Id="rId57" Type="http://schemas.openxmlformats.org/officeDocument/2006/relationships/footer" Target="footer38.xml"/><Relationship Id="rId61" Type="http://schemas.openxmlformats.org/officeDocument/2006/relationships/footer" Target="footer40.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5.xml"/><Relationship Id="rId44" Type="http://schemas.openxmlformats.org/officeDocument/2006/relationships/header" Target="header6.xml"/><Relationship Id="rId52" Type="http://schemas.openxmlformats.org/officeDocument/2006/relationships/footer" Target="footer35.xml"/><Relationship Id="rId60"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tel:%E2%80%AA2003-2006%E2%80%AC" TargetMode="Externa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1.xml"/><Relationship Id="rId56" Type="http://schemas.openxmlformats.org/officeDocument/2006/relationships/footer" Target="footer37.xml"/><Relationship Id="rId8" Type="http://schemas.openxmlformats.org/officeDocument/2006/relationships/endnotes" Target="endnotes.xml"/><Relationship Id="rId51" Type="http://schemas.openxmlformats.org/officeDocument/2006/relationships/footer" Target="footer34.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29.xml"/><Relationship Id="rId59" Type="http://schemas.openxmlformats.org/officeDocument/2006/relationships/footer" Target="footer3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7D4DA4-E3AC-4346-8920-BCBE9E60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126</Pages>
  <Words>15785</Words>
  <Characters>89981</Characters>
  <Application>Microsoft Office Word</Application>
  <DocSecurity>0</DocSecurity>
  <Lines>749</Lines>
  <Paragraphs>211</Paragraphs>
  <ScaleCrop>false</ScaleCrop>
  <Company>Microsoft</Company>
  <LinksUpToDate>false</LinksUpToDate>
  <CharactersWithSpaces>105555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liush;haop@bosera.com</dc:creator>
  <cp:lastModifiedBy>付雪军</cp:lastModifiedBy>
  <cp:revision>28</cp:revision>
  <cp:lastPrinted>2020-11-16T03:27:00Z</cp:lastPrinted>
  <dcterms:created xsi:type="dcterms:W3CDTF">2020-10-27T10:50:00Z</dcterms:created>
  <dcterms:modified xsi:type="dcterms:W3CDTF">2020-12-24T03:16:00Z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