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DA" w:rsidRPr="00707C6B" w:rsidRDefault="000612DA">
      <w:pPr>
        <w:autoSpaceDE w:val="0"/>
        <w:autoSpaceDN w:val="0"/>
        <w:adjustRightInd w:val="0"/>
        <w:jc w:val="center"/>
        <w:rPr>
          <w:rFonts w:ascii="仿宋" w:eastAsia="仿宋" w:hAnsi="仿宋" w:cs="仿宋_GB2312"/>
          <w:kern w:val="0"/>
          <w:sz w:val="36"/>
          <w:szCs w:val="36"/>
        </w:rPr>
      </w:pPr>
    </w:p>
    <w:p w:rsidR="000612DA" w:rsidRPr="00707C6B" w:rsidRDefault="00EE0C11">
      <w:pPr>
        <w:autoSpaceDE w:val="0"/>
        <w:autoSpaceDN w:val="0"/>
        <w:adjustRightInd w:val="0"/>
        <w:jc w:val="center"/>
        <w:rPr>
          <w:rFonts w:ascii="仿宋" w:eastAsia="仿宋" w:hAnsi="仿宋" w:cs="仿宋_GB2312"/>
          <w:kern w:val="0"/>
          <w:sz w:val="36"/>
          <w:szCs w:val="36"/>
        </w:rPr>
      </w:pPr>
      <w:r w:rsidRPr="00707C6B">
        <w:rPr>
          <w:rFonts w:ascii="仿宋" w:eastAsia="仿宋" w:hAnsi="仿宋" w:cs="仿宋_GB2312" w:hint="eastAsia"/>
          <w:kern w:val="0"/>
          <w:sz w:val="36"/>
          <w:szCs w:val="36"/>
        </w:rPr>
        <w:t>广发均衡优选混合型证券投资基金（广发均衡优选混合A）基金产品资料概要</w:t>
      </w:r>
    </w:p>
    <w:p w:rsidR="000612DA" w:rsidRPr="00707C6B" w:rsidRDefault="00EE0C11">
      <w:pPr>
        <w:autoSpaceDE w:val="0"/>
        <w:autoSpaceDN w:val="0"/>
        <w:adjustRightInd w:val="0"/>
        <w:jc w:val="right"/>
        <w:rPr>
          <w:rFonts w:ascii="仿宋" w:eastAsia="仿宋" w:hAnsi="仿宋" w:cs="方正仿宋简体"/>
          <w:iCs/>
          <w:sz w:val="24"/>
          <w:szCs w:val="24"/>
        </w:rPr>
      </w:pPr>
      <w:r w:rsidRPr="00707C6B">
        <w:rPr>
          <w:rFonts w:ascii="仿宋" w:eastAsia="仿宋" w:hAnsi="仿宋" w:cs="方正仿宋简体" w:hint="eastAsia"/>
          <w:iCs/>
          <w:sz w:val="24"/>
          <w:szCs w:val="24"/>
        </w:rPr>
        <w:t>编制日期：2020年12月8日</w:t>
      </w:r>
    </w:p>
    <w:p w:rsidR="000612DA" w:rsidRPr="00707C6B" w:rsidRDefault="00707C6B">
      <w:pPr>
        <w:autoSpaceDE w:val="0"/>
        <w:autoSpaceDN w:val="0"/>
        <w:adjustRightInd w:val="0"/>
        <w:jc w:val="center"/>
        <w:rPr>
          <w:rFonts w:ascii="仿宋" w:eastAsia="仿宋" w:hAnsi="仿宋" w:cs="方正仿宋简体"/>
          <w:iCs/>
          <w:sz w:val="24"/>
          <w:szCs w:val="24"/>
        </w:rPr>
      </w:pPr>
      <w:r>
        <w:rPr>
          <w:rFonts w:ascii="仿宋" w:eastAsia="仿宋" w:hAnsi="仿宋" w:cs="方正仿宋简体" w:hint="eastAsia"/>
          <w:iCs/>
          <w:sz w:val="24"/>
          <w:szCs w:val="24"/>
        </w:rPr>
        <w:t xml:space="preserve"> </w:t>
      </w:r>
      <w:r>
        <w:rPr>
          <w:rFonts w:ascii="仿宋" w:eastAsia="仿宋" w:hAnsi="仿宋" w:cs="方正仿宋简体"/>
          <w:iCs/>
          <w:sz w:val="24"/>
          <w:szCs w:val="24"/>
        </w:rPr>
        <w:t xml:space="preserve">              </w:t>
      </w:r>
      <w:r w:rsidR="008A5B3B">
        <w:rPr>
          <w:rFonts w:ascii="仿宋" w:eastAsia="仿宋" w:hAnsi="仿宋" w:cs="方正仿宋简体"/>
          <w:iCs/>
          <w:sz w:val="24"/>
          <w:szCs w:val="24"/>
        </w:rPr>
        <w:t xml:space="preserve">                              </w:t>
      </w:r>
      <w:r w:rsidR="00751E08">
        <w:rPr>
          <w:rFonts w:ascii="仿宋" w:eastAsia="仿宋" w:hAnsi="仿宋" w:cs="方正仿宋简体"/>
          <w:iCs/>
          <w:sz w:val="24"/>
          <w:szCs w:val="24"/>
        </w:rPr>
        <w:t xml:space="preserve">           </w:t>
      </w:r>
      <w:r w:rsidR="00EE0C11" w:rsidRPr="00707C6B">
        <w:rPr>
          <w:rFonts w:ascii="仿宋" w:eastAsia="仿宋" w:hAnsi="仿宋" w:cs="方正仿宋简体" w:hint="eastAsia"/>
          <w:iCs/>
          <w:sz w:val="24"/>
          <w:szCs w:val="24"/>
        </w:rPr>
        <w:t>送出日期：2020年12月</w:t>
      </w:r>
      <w:r w:rsidR="00502044">
        <w:rPr>
          <w:rFonts w:ascii="仿宋" w:eastAsia="仿宋" w:hAnsi="仿宋" w:cs="方正仿宋简体"/>
          <w:iCs/>
          <w:sz w:val="24"/>
          <w:szCs w:val="24"/>
        </w:rPr>
        <w:t>15</w:t>
      </w:r>
      <w:r w:rsidR="00EE0C11" w:rsidRPr="00707C6B">
        <w:rPr>
          <w:rFonts w:ascii="仿宋" w:eastAsia="仿宋" w:hAnsi="仿宋" w:cs="方正仿宋简体" w:hint="eastAsia"/>
          <w:iCs/>
          <w:sz w:val="24"/>
          <w:szCs w:val="24"/>
        </w:rPr>
        <w:t>日</w:t>
      </w:r>
    </w:p>
    <w:p w:rsidR="000612DA" w:rsidRPr="00707C6B" w:rsidRDefault="00EE0C11">
      <w:pPr>
        <w:autoSpaceDE w:val="0"/>
        <w:autoSpaceDN w:val="0"/>
        <w:adjustRightInd w:val="0"/>
        <w:spacing w:line="380" w:lineRule="exact"/>
        <w:jc w:val="left"/>
        <w:rPr>
          <w:rFonts w:ascii="仿宋" w:eastAsia="仿宋" w:hAnsi="仿宋" w:cs="黑体"/>
          <w:kern w:val="0"/>
          <w:sz w:val="24"/>
          <w:szCs w:val="24"/>
        </w:rPr>
      </w:pPr>
      <w:r w:rsidRPr="00707C6B">
        <w:rPr>
          <w:rFonts w:ascii="仿宋" w:eastAsia="仿宋" w:hAnsi="仿宋" w:cs="黑体" w:hint="eastAsia"/>
          <w:kern w:val="0"/>
          <w:sz w:val="24"/>
          <w:szCs w:val="24"/>
        </w:rPr>
        <w:t>本概要提供本基金的重要信息，是招募说明书的一部分。</w:t>
      </w:r>
    </w:p>
    <w:p w:rsidR="000612DA" w:rsidRDefault="00EE0C11">
      <w:pPr>
        <w:autoSpaceDE w:val="0"/>
        <w:autoSpaceDN w:val="0"/>
        <w:adjustRightInd w:val="0"/>
        <w:spacing w:line="380" w:lineRule="exact"/>
        <w:jc w:val="left"/>
        <w:rPr>
          <w:rFonts w:ascii="仿宋" w:eastAsia="仿宋" w:hAnsi="仿宋" w:cs="黑体"/>
          <w:kern w:val="0"/>
          <w:sz w:val="24"/>
          <w:szCs w:val="24"/>
        </w:rPr>
      </w:pPr>
      <w:proofErr w:type="gramStart"/>
      <w:r w:rsidRPr="00707C6B">
        <w:rPr>
          <w:rFonts w:ascii="仿宋" w:eastAsia="仿宋" w:hAnsi="仿宋" w:cs="黑体" w:hint="eastAsia"/>
          <w:kern w:val="0"/>
          <w:sz w:val="24"/>
          <w:szCs w:val="24"/>
        </w:rPr>
        <w:t>作出</w:t>
      </w:r>
      <w:proofErr w:type="gramEnd"/>
      <w:r w:rsidRPr="00707C6B">
        <w:rPr>
          <w:rFonts w:ascii="仿宋" w:eastAsia="仿宋" w:hAnsi="仿宋" w:cs="黑体" w:hint="eastAsia"/>
          <w:kern w:val="0"/>
          <w:sz w:val="24"/>
          <w:szCs w:val="24"/>
        </w:rPr>
        <w:t>投资决定前，请阅读完整的招募说明书等销售文件。</w:t>
      </w:r>
    </w:p>
    <w:p w:rsidR="00707C6B" w:rsidRPr="00707C6B" w:rsidRDefault="00707C6B">
      <w:pPr>
        <w:autoSpaceDE w:val="0"/>
        <w:autoSpaceDN w:val="0"/>
        <w:adjustRightInd w:val="0"/>
        <w:spacing w:line="380" w:lineRule="exact"/>
        <w:jc w:val="left"/>
        <w:rPr>
          <w:rFonts w:ascii="仿宋" w:eastAsia="仿宋" w:hAnsi="仿宋" w:cs="黑体"/>
          <w:kern w:val="0"/>
          <w:sz w:val="24"/>
          <w:szCs w:val="24"/>
        </w:rPr>
      </w:pPr>
    </w:p>
    <w:p w:rsidR="000612DA" w:rsidRPr="00707C6B" w:rsidRDefault="00EE0C11" w:rsidP="003D461D">
      <w:pPr>
        <w:numPr>
          <w:ilvl w:val="0"/>
          <w:numId w:val="10"/>
        </w:numPr>
        <w:spacing w:line="360" w:lineRule="auto"/>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产品概况</w:t>
      </w:r>
    </w:p>
    <w:tbl>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206"/>
        <w:gridCol w:w="2724"/>
        <w:gridCol w:w="1926"/>
        <w:gridCol w:w="2782"/>
      </w:tblGrid>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基金简称</w:t>
            </w:r>
          </w:p>
        </w:tc>
        <w:tc>
          <w:tcPr>
            <w:tcW w:w="1413" w:type="pct"/>
            <w:vMerge w:val="restart"/>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hint="eastAsia"/>
                <w:iCs/>
              </w:rPr>
              <w:t>广发均衡优选</w:t>
            </w:r>
            <w:r w:rsidR="00823808">
              <w:rPr>
                <w:rFonts w:ascii="仿宋" w:eastAsia="仿宋" w:hAnsi="仿宋" w:cs="方正仿宋简体" w:hint="eastAsia"/>
                <w:iCs/>
              </w:rPr>
              <w:t>混合</w:t>
            </w:r>
          </w:p>
        </w:tc>
        <w:tc>
          <w:tcPr>
            <w:tcW w:w="999"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基金代码</w:t>
            </w:r>
          </w:p>
        </w:tc>
        <w:tc>
          <w:tcPr>
            <w:tcW w:w="1443" w:type="pct"/>
            <w:tcBorders>
              <w:bottom w:val="dashSmallGap" w:sz="4" w:space="0" w:color="A6A6A6" w:themeColor="background1" w:themeShade="A6"/>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010379</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下属基金简称</w:t>
            </w:r>
          </w:p>
        </w:tc>
        <w:tc>
          <w:tcPr>
            <w:tcW w:w="1413" w:type="pct"/>
            <w:vMerge w:val="restart"/>
            <w:tcBorders>
              <w:top w:val="dashSmallGap" w:sz="4" w:space="0" w:color="A6A6A6" w:themeColor="background1" w:themeShade="A6"/>
            </w:tcBorders>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iCs/>
              </w:rPr>
              <w:t>广发均衡优选混合A</w:t>
            </w:r>
          </w:p>
        </w:tc>
        <w:tc>
          <w:tcPr>
            <w:tcW w:w="999"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下属基金代码</w:t>
            </w:r>
          </w:p>
        </w:tc>
        <w:tc>
          <w:tcPr>
            <w:tcW w:w="1443" w:type="pct"/>
            <w:tcBorders>
              <w:top w:val="dashSmallGap" w:sz="4" w:space="0" w:color="A6A6A6" w:themeColor="background1" w:themeShade="A6"/>
              <w:bottom w:val="nil"/>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010379</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基金管理人</w:t>
            </w:r>
          </w:p>
        </w:tc>
        <w:tc>
          <w:tcPr>
            <w:tcW w:w="1413" w:type="pct"/>
            <w:tcBorders>
              <w:top w:val="dashSmallGap" w:sz="4" w:space="0" w:color="A6A6A6" w:themeColor="background1" w:themeShade="A6"/>
            </w:tcBorders>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hint="eastAsia"/>
                <w:iCs/>
              </w:rPr>
              <w:t>广发基金管理有限公司</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基金托管人</w:t>
            </w:r>
          </w:p>
        </w:tc>
        <w:tc>
          <w:tcPr>
            <w:tcW w:w="1443" w:type="pct"/>
            <w:tcBorders>
              <w:top w:val="dashSmallGap" w:sz="4" w:space="0" w:color="A6A6A6" w:themeColor="background1" w:themeShade="A6"/>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 xml:space="preserve">中国农业银行股份有限公司 </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基金合同生效日</w:t>
            </w:r>
          </w:p>
        </w:tc>
        <w:tc>
          <w:tcPr>
            <w:tcW w:w="1413" w:type="pct"/>
            <w:vMerge w:val="restar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w:t>
            </w:r>
          </w:p>
        </w:tc>
        <w:tc>
          <w:tcPr>
            <w:tcW w:w="999" w:type="pct"/>
            <w:vMerge w:val="restart"/>
            <w:vAlign w:val="center"/>
          </w:tcPr>
          <w:p w:rsidR="000612DA" w:rsidRPr="00707C6B" w:rsidRDefault="000612DA">
            <w:pPr>
              <w:spacing w:line="280" w:lineRule="exact"/>
              <w:rPr>
                <w:rFonts w:ascii="仿宋" w:eastAsia="仿宋" w:hAnsi="仿宋" w:cs="方正仿宋简体"/>
                <w:b/>
                <w:iCs/>
              </w:rPr>
            </w:pPr>
          </w:p>
        </w:tc>
        <w:tc>
          <w:tcPr>
            <w:tcW w:w="1443" w:type="pct"/>
            <w:tcBorders>
              <w:top w:val="dashSmallGap" w:sz="4" w:space="0" w:color="A6A6A6" w:themeColor="background1" w:themeShade="A6"/>
              <w:bottom w:val="nil"/>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 xml:space="preserve"> </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基金类型</w:t>
            </w:r>
          </w:p>
        </w:tc>
        <w:tc>
          <w:tcPr>
            <w:tcW w:w="141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混合型</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交易币种</w:t>
            </w:r>
          </w:p>
        </w:tc>
        <w:tc>
          <w:tcPr>
            <w:tcW w:w="1443" w:type="pct"/>
            <w:tcBorders>
              <w:top w:val="dashSmallGap" w:sz="4" w:space="0" w:color="A6A6A6" w:themeColor="background1" w:themeShade="A6"/>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人民币</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运作方式</w:t>
            </w:r>
          </w:p>
        </w:tc>
        <w:tc>
          <w:tcPr>
            <w:tcW w:w="141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普通开放式</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开放频率</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每个开放日</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基金经理</w:t>
            </w:r>
          </w:p>
        </w:tc>
        <w:tc>
          <w:tcPr>
            <w:tcW w:w="1413" w:type="pct"/>
            <w:vMerge w:val="restar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iCs/>
              </w:rPr>
              <w:t>王明旭</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开始担任本</w:t>
            </w:r>
            <w:proofErr w:type="gramStart"/>
            <w:r w:rsidRPr="00707C6B">
              <w:rPr>
                <w:rFonts w:ascii="仿宋" w:eastAsia="仿宋" w:hAnsi="仿宋" w:cs="方正仿宋简体" w:hint="eastAsia"/>
                <w:b/>
                <w:iCs/>
              </w:rPr>
              <w:t>基金基金</w:t>
            </w:r>
            <w:proofErr w:type="gramEnd"/>
            <w:r w:rsidRPr="00707C6B">
              <w:rPr>
                <w:rFonts w:ascii="仿宋" w:eastAsia="仿宋" w:hAnsi="仿宋" w:cs="方正仿宋简体" w:hint="eastAsia"/>
                <w:b/>
                <w:iCs/>
              </w:rPr>
              <w:t>经理的日期</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iCs/>
              </w:rPr>
              <w:t>-</w:t>
            </w:r>
          </w:p>
        </w:tc>
      </w:tr>
      <w:tr w:rsidR="000612DA" w:rsidRPr="00707C6B" w:rsidTr="003D461D">
        <w:trPr>
          <w:trHeight w:val="227"/>
        </w:trPr>
        <w:tc>
          <w:tcPr>
            <w:tcW w:w="1145" w:type="pct"/>
            <w:vMerge/>
            <w:vAlign w:val="center"/>
          </w:tcPr>
          <w:p w:rsidR="000612DA" w:rsidRPr="00707C6B" w:rsidRDefault="000612DA">
            <w:pPr>
              <w:spacing w:line="280" w:lineRule="exact"/>
              <w:rPr>
                <w:rFonts w:ascii="仿宋" w:eastAsia="仿宋" w:hAnsi="仿宋" w:cs="方正仿宋简体"/>
                <w:b/>
                <w:iCs/>
              </w:rPr>
            </w:pPr>
          </w:p>
        </w:tc>
        <w:tc>
          <w:tcPr>
            <w:tcW w:w="1413" w:type="pct"/>
            <w:vMerge/>
            <w:vAlign w:val="center"/>
          </w:tcPr>
          <w:p w:rsidR="000612DA" w:rsidRPr="00707C6B" w:rsidRDefault="000612DA">
            <w:pPr>
              <w:spacing w:line="280" w:lineRule="exact"/>
              <w:rPr>
                <w:rFonts w:ascii="仿宋" w:eastAsia="仿宋" w:hAnsi="仿宋" w:cs="方正仿宋简体"/>
                <w:b/>
                <w:iCs/>
              </w:rPr>
            </w:pP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证券从业日期</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2005-02-01</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其他</w:t>
            </w:r>
          </w:p>
        </w:tc>
        <w:tc>
          <w:tcPr>
            <w:tcW w:w="3855" w:type="pct"/>
            <w:gridSpan w:val="3"/>
            <w:vAlign w:val="center"/>
          </w:tcPr>
          <w:p w:rsidR="000612DA" w:rsidRPr="00707C6B" w:rsidRDefault="00EE0C11" w:rsidP="003D461D">
            <w:pPr>
              <w:spacing w:line="280" w:lineRule="exact"/>
              <w:jc w:val="left"/>
              <w:rPr>
                <w:rFonts w:ascii="仿宋" w:eastAsia="仿宋" w:hAnsi="仿宋" w:cs="方正仿宋简体"/>
                <w:iCs/>
              </w:rPr>
            </w:pPr>
            <w:r w:rsidRPr="00707C6B">
              <w:rPr>
                <w:rFonts w:ascii="仿宋" w:eastAsia="仿宋" w:hAnsi="仿宋" w:cs="方正仿宋简体" w:hint="eastAsia"/>
                <w:iCs/>
              </w:rPr>
              <w:t>《基金合同》生效后，连续二十个工作日出现基金份额持有人数量不满200人或者基金资产净值低于5000万元人民币情形的，基金管理人应在定期报告中予以披露；连续五十个工作日出现前述情形的，基金管理人应当终止基金合同，并按照基金合同的约定程序进行清算，不需要召开基金份额持有人大会进行表决。</w:t>
            </w:r>
          </w:p>
          <w:p w:rsidR="000612DA" w:rsidRPr="00707C6B" w:rsidRDefault="00EE0C11" w:rsidP="003D461D">
            <w:pPr>
              <w:spacing w:line="280" w:lineRule="exact"/>
              <w:jc w:val="left"/>
              <w:rPr>
                <w:rFonts w:ascii="仿宋" w:eastAsia="仿宋" w:hAnsi="仿宋" w:cs="方正仿宋简体"/>
                <w:iCs/>
              </w:rPr>
            </w:pPr>
            <w:r w:rsidRPr="00707C6B">
              <w:rPr>
                <w:rFonts w:ascii="仿宋" w:eastAsia="仿宋" w:hAnsi="仿宋" w:cs="方正仿宋简体" w:hint="eastAsia"/>
                <w:iCs/>
              </w:rPr>
              <w:t>法律法规或中国证监会另有规定时，从其规定。</w:t>
            </w:r>
          </w:p>
        </w:tc>
      </w:tr>
    </w:tbl>
    <w:p w:rsidR="000612DA" w:rsidRPr="00707C6B" w:rsidRDefault="000612DA">
      <w:pPr>
        <w:spacing w:line="280" w:lineRule="exact"/>
        <w:rPr>
          <w:rFonts w:ascii="仿宋" w:eastAsia="仿宋" w:hAnsi="仿宋" w:cs="仿宋_GB2312"/>
          <w:b/>
          <w:kern w:val="0"/>
          <w:szCs w:val="24"/>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基金投资与净值表现</w:t>
      </w:r>
    </w:p>
    <w:p w:rsidR="000612DA" w:rsidRPr="00707C6B" w:rsidRDefault="00EE0C11">
      <w:pPr>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投资目标与投资策略</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367"/>
        <w:gridCol w:w="7271"/>
      </w:tblGrid>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投资目标</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在适度承担风险的基础上进行投资，分享中国经济快速成长的红利，寻求基金资产的长期稳健增值。</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投资范围</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的投资范围为具有良好流动性的金融工具，包括国内依法发行上市的股票（包括中小板、创业板及其他依法发行、上市的股票）、港股通标的股票、债券（包括国内依法发行和上市交易的国债、地方政府债、金融债、企业债、公司债、次级债、可转换债券（含分离交易可转债）、可交换债券、央行票据、中期票据、短期融资</w:t>
            </w:r>
            <w:proofErr w:type="gramStart"/>
            <w:r w:rsidRPr="00707C6B">
              <w:rPr>
                <w:rFonts w:ascii="仿宋" w:eastAsia="仿宋" w:hAnsi="仿宋" w:cs="仿宋_GB2312" w:hint="eastAsia"/>
                <w:kern w:val="0"/>
                <w:szCs w:val="24"/>
              </w:rPr>
              <w:t>券</w:t>
            </w:r>
            <w:proofErr w:type="gramEnd"/>
            <w:r w:rsidRPr="00707C6B">
              <w:rPr>
                <w:rFonts w:ascii="仿宋" w:eastAsia="仿宋" w:hAnsi="仿宋" w:cs="仿宋_GB2312" w:hint="eastAsia"/>
                <w:kern w:val="0"/>
                <w:szCs w:val="24"/>
              </w:rPr>
              <w:t>（包括超短期融资</w:t>
            </w:r>
            <w:proofErr w:type="gramStart"/>
            <w:r w:rsidRPr="00707C6B">
              <w:rPr>
                <w:rFonts w:ascii="仿宋" w:eastAsia="仿宋" w:hAnsi="仿宋" w:cs="仿宋_GB2312" w:hint="eastAsia"/>
                <w:kern w:val="0"/>
                <w:szCs w:val="24"/>
              </w:rPr>
              <w:t>券</w:t>
            </w:r>
            <w:proofErr w:type="gramEnd"/>
            <w:r w:rsidRPr="00707C6B">
              <w:rPr>
                <w:rFonts w:ascii="仿宋" w:eastAsia="仿宋" w:hAnsi="仿宋" w:cs="仿宋_GB2312" w:hint="eastAsia"/>
                <w:kern w:val="0"/>
                <w:szCs w:val="24"/>
              </w:rPr>
              <w:t>）以及法律法规或中国证监会允许投资的其他债券类金融工具）、资产支持证券、债券回购、同业存单、银行存款、股指期货、国债期货以及法律法规或中国证监会允许基金投资的其他金融工具（但须符合中国证监会相关规定）。</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如法律法规或监管机构以后允许基金投资其他品种，基金管理人在履行适当程序后，可以将其纳入投资范围。</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股票资产占基金资产的比例为30%-65%（其中投资于港股通标的股票的比例不得超过股票资产的50%）；每个交易日日终在扣除股指期货合约和国债期货合约需缴纳的交易保证金后，应当保持现金或者到期日在一年以内的政府债券不低于基金资产净值的5%，其中，现金不包括结算备付金、存出保证金、</w:t>
            </w:r>
            <w:r w:rsidRPr="00707C6B">
              <w:rPr>
                <w:rFonts w:ascii="仿宋" w:eastAsia="仿宋" w:hAnsi="仿宋" w:cs="仿宋_GB2312" w:hint="eastAsia"/>
                <w:kern w:val="0"/>
                <w:szCs w:val="24"/>
              </w:rPr>
              <w:lastRenderedPageBreak/>
              <w:t>应收申购款等；股指期货、国债期货及其他金融工具的投资比例依照法律法规或监管机构的规定执行。</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如法律法规或监管机构以后允许基金投资其他品种或对投资比例要求有变更的，基金管理人在履行适当程序后，可以做出相应调整。</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lastRenderedPageBreak/>
              <w:t>主要投资策略</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具体包括：1、资产配置策略；2、股票投资策略；3、债券投资策略；4、资产支持证券投资策略；5、金融衍生</w:t>
            </w:r>
            <w:proofErr w:type="gramStart"/>
            <w:r w:rsidRPr="00707C6B">
              <w:rPr>
                <w:rFonts w:ascii="仿宋" w:eastAsia="仿宋" w:hAnsi="仿宋" w:cs="仿宋_GB2312" w:hint="eastAsia"/>
                <w:kern w:val="0"/>
                <w:szCs w:val="24"/>
              </w:rPr>
              <w:t>品投资</w:t>
            </w:r>
            <w:proofErr w:type="gramEnd"/>
            <w:r w:rsidRPr="00707C6B">
              <w:rPr>
                <w:rFonts w:ascii="仿宋" w:eastAsia="仿宋" w:hAnsi="仿宋" w:cs="仿宋_GB2312" w:hint="eastAsia"/>
                <w:kern w:val="0"/>
                <w:szCs w:val="24"/>
              </w:rPr>
              <w:t>策略。</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业绩比较基准</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沪深300指数收益率×30%+人民币计价的恒生指数收益率×20%＋中</w:t>
            </w:r>
            <w:proofErr w:type="gramStart"/>
            <w:r w:rsidRPr="00707C6B">
              <w:rPr>
                <w:rFonts w:ascii="仿宋" w:eastAsia="仿宋" w:hAnsi="仿宋" w:cs="仿宋_GB2312" w:hint="eastAsia"/>
                <w:kern w:val="0"/>
                <w:szCs w:val="24"/>
              </w:rPr>
              <w:t>证全债指数</w:t>
            </w:r>
            <w:proofErr w:type="gramEnd"/>
            <w:r w:rsidRPr="00707C6B">
              <w:rPr>
                <w:rFonts w:ascii="仿宋" w:eastAsia="仿宋" w:hAnsi="仿宋" w:cs="仿宋_GB2312" w:hint="eastAsia"/>
                <w:kern w:val="0"/>
                <w:szCs w:val="24"/>
              </w:rPr>
              <w:t>收益率×50%。</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风险收益特征</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本基金是混合型基金，其预期收益及风险水平高于货币市场基金和债券型基金，低于股票型基金。</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本基金投资于港股通标的股票，会面临港股</w:t>
            </w:r>
            <w:proofErr w:type="gramStart"/>
            <w:r w:rsidRPr="00707C6B">
              <w:rPr>
                <w:rFonts w:ascii="仿宋" w:eastAsia="仿宋" w:hAnsi="仿宋" w:cs="仿宋_GB2312" w:hint="eastAsia"/>
                <w:kern w:val="0"/>
                <w:szCs w:val="24"/>
              </w:rPr>
              <w:t>通机制</w:t>
            </w:r>
            <w:proofErr w:type="gramEnd"/>
            <w:r w:rsidRPr="00707C6B">
              <w:rPr>
                <w:rFonts w:ascii="仿宋" w:eastAsia="仿宋" w:hAnsi="仿宋" w:cs="仿宋_GB2312" w:hint="eastAsia"/>
                <w:kern w:val="0"/>
                <w:szCs w:val="24"/>
              </w:rPr>
              <w:t>下因投资环境、投资标的、市场制度以及交易规则等差异带来的特有风险，包括港股市场股价波动较大的风险（港股市</w:t>
            </w:r>
            <w:proofErr w:type="gramStart"/>
            <w:r w:rsidRPr="00707C6B">
              <w:rPr>
                <w:rFonts w:ascii="仿宋" w:eastAsia="仿宋" w:hAnsi="仿宋" w:cs="仿宋_GB2312" w:hint="eastAsia"/>
                <w:kern w:val="0"/>
                <w:szCs w:val="24"/>
              </w:rPr>
              <w:t>场实行</w:t>
            </w:r>
            <w:proofErr w:type="gramEnd"/>
            <w:r w:rsidRPr="00707C6B">
              <w:rPr>
                <w:rFonts w:ascii="仿宋" w:eastAsia="仿宋" w:hAnsi="仿宋" w:cs="仿宋_GB2312" w:hint="eastAsia"/>
                <w:kern w:val="0"/>
                <w:szCs w:val="24"/>
              </w:rPr>
              <w:t>T+0回转交易，且对个股不设涨跌幅限制，港股股价可能表现出比A股更为剧烈的股价波动）、汇率风险（汇率波动可能对基金的投资收益造成损失）、港股</w:t>
            </w:r>
            <w:proofErr w:type="gramStart"/>
            <w:r w:rsidRPr="00707C6B">
              <w:rPr>
                <w:rFonts w:ascii="仿宋" w:eastAsia="仿宋" w:hAnsi="仿宋" w:cs="仿宋_GB2312" w:hint="eastAsia"/>
                <w:kern w:val="0"/>
                <w:szCs w:val="24"/>
              </w:rPr>
              <w:t>通机制</w:t>
            </w:r>
            <w:proofErr w:type="gramEnd"/>
            <w:r w:rsidRPr="00707C6B">
              <w:rPr>
                <w:rFonts w:ascii="仿宋" w:eastAsia="仿宋" w:hAnsi="仿宋" w:cs="仿宋_GB2312" w:hint="eastAsia"/>
                <w:kern w:val="0"/>
                <w:szCs w:val="24"/>
              </w:rPr>
              <w:t>下交易日不连贯可能带来的风险（在内地开市香港休市的情形下，港股</w:t>
            </w:r>
            <w:proofErr w:type="gramStart"/>
            <w:r w:rsidRPr="00707C6B">
              <w:rPr>
                <w:rFonts w:ascii="仿宋" w:eastAsia="仿宋" w:hAnsi="仿宋" w:cs="仿宋_GB2312" w:hint="eastAsia"/>
                <w:kern w:val="0"/>
                <w:szCs w:val="24"/>
              </w:rPr>
              <w:t>通不能</w:t>
            </w:r>
            <w:proofErr w:type="gramEnd"/>
            <w:r w:rsidRPr="00707C6B">
              <w:rPr>
                <w:rFonts w:ascii="仿宋" w:eastAsia="仿宋" w:hAnsi="仿宋" w:cs="仿宋_GB2312" w:hint="eastAsia"/>
                <w:kern w:val="0"/>
                <w:szCs w:val="24"/>
              </w:rPr>
              <w:t>正常交易，港股不能及时卖出，可能带来一定的流动性风险）等。</w:t>
            </w:r>
          </w:p>
        </w:tc>
      </w:tr>
    </w:tbl>
    <w:p w:rsidR="000612DA" w:rsidRPr="00707C6B" w:rsidRDefault="00EE0C11">
      <w:pPr>
        <w:spacing w:line="280" w:lineRule="exact"/>
        <w:rPr>
          <w:rFonts w:ascii="仿宋" w:eastAsia="仿宋" w:hAnsi="仿宋" w:cs="方正仿宋简体"/>
          <w:iCs/>
          <w:szCs w:val="24"/>
        </w:rPr>
      </w:pPr>
      <w:r w:rsidRPr="00707C6B">
        <w:rPr>
          <w:rFonts w:ascii="仿宋" w:eastAsia="仿宋" w:hAnsi="仿宋" w:cs="方正仿宋简体" w:hint="eastAsia"/>
          <w:iCs/>
          <w:szCs w:val="24"/>
        </w:rPr>
        <w:t>注：详见《广发均衡优选混合型证券投资基金招募说明书》及其更新文件中“基金的投资”。</w:t>
      </w:r>
    </w:p>
    <w:p w:rsidR="000612DA" w:rsidRPr="00707C6B" w:rsidRDefault="000612DA">
      <w:pPr>
        <w:spacing w:line="280" w:lineRule="exact"/>
        <w:rPr>
          <w:rFonts w:ascii="仿宋" w:eastAsia="仿宋" w:hAnsi="仿宋" w:cs="仿宋_GB2312"/>
          <w:kern w:val="0"/>
          <w:szCs w:val="24"/>
        </w:rPr>
      </w:pPr>
    </w:p>
    <w:p w:rsidR="000612DA" w:rsidRPr="00707C6B" w:rsidRDefault="00EE0C11">
      <w:pPr>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投资组合资产配置图表/区域配置图表</w:t>
      </w:r>
    </w:p>
    <w:p w:rsidR="000612DA" w:rsidRPr="00707C6B" w:rsidRDefault="00EE0C11">
      <w:pPr>
        <w:rPr>
          <w:rFonts w:ascii="仿宋" w:eastAsia="仿宋" w:hAnsi="仿宋" w:cs="方正仿宋简体"/>
          <w:b/>
          <w:iCs/>
          <w:sz w:val="24"/>
          <w:szCs w:val="24"/>
        </w:rPr>
      </w:pPr>
      <w:r w:rsidRPr="00707C6B">
        <w:rPr>
          <w:rFonts w:ascii="仿宋" w:eastAsia="仿宋" w:hAnsi="仿宋" w:cs="方正仿宋简体" w:hint="eastAsia"/>
          <w:b/>
          <w:iCs/>
          <w:sz w:val="24"/>
          <w:szCs w:val="24"/>
        </w:rPr>
        <w:t>投资组合资产配置图表</w:t>
      </w:r>
    </w:p>
    <w:p w:rsidR="000612DA" w:rsidRPr="00707C6B" w:rsidRDefault="00EE0C11" w:rsidP="00265B51">
      <w:pPr>
        <w:jc w:val="left"/>
        <w:rPr>
          <w:rFonts w:ascii="仿宋" w:eastAsia="仿宋" w:hAnsi="仿宋" w:cs="方正仿宋简体"/>
          <w:b/>
          <w:iCs/>
          <w:sz w:val="24"/>
          <w:szCs w:val="24"/>
        </w:rPr>
      </w:pPr>
      <w:r w:rsidRPr="00707C6B">
        <w:rPr>
          <w:rFonts w:ascii="仿宋" w:eastAsia="仿宋" w:hAnsi="仿宋"/>
          <w:color w:val="000000" w:themeColor="text1"/>
        </w:rPr>
        <w:t>无</w:t>
      </w:r>
    </w:p>
    <w:p w:rsidR="000612DA" w:rsidRPr="00707C6B" w:rsidRDefault="00EE0C11">
      <w:pPr>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自基金合同生效以来基金每年的净值增长率及与同期业绩比较基准的比较图</w:t>
      </w:r>
    </w:p>
    <w:p w:rsidR="000612DA" w:rsidRPr="00707C6B" w:rsidRDefault="00EE0C11">
      <w:pPr>
        <w:autoSpaceDE w:val="0"/>
        <w:autoSpaceDN w:val="0"/>
        <w:adjustRightInd w:val="0"/>
        <w:spacing w:line="280" w:lineRule="exact"/>
        <w:jc w:val="left"/>
        <w:rPr>
          <w:rFonts w:ascii="仿宋" w:eastAsia="仿宋" w:hAnsi="仿宋"/>
          <w:color w:val="000000" w:themeColor="text1"/>
        </w:rPr>
      </w:pPr>
      <w:r w:rsidRPr="00707C6B">
        <w:rPr>
          <w:rFonts w:ascii="仿宋" w:eastAsia="仿宋" w:hAnsi="仿宋" w:hint="eastAsia"/>
          <w:color w:val="000000" w:themeColor="text1"/>
        </w:rPr>
        <w:t>无</w:t>
      </w:r>
    </w:p>
    <w:p w:rsidR="000612DA" w:rsidRPr="00707C6B" w:rsidRDefault="000612DA">
      <w:pPr>
        <w:spacing w:line="280" w:lineRule="exact"/>
        <w:ind w:firstLine="420"/>
        <w:rPr>
          <w:rFonts w:ascii="仿宋" w:eastAsia="仿宋" w:hAnsi="仿宋" w:cs="方正仿宋简体"/>
          <w:iCs/>
        </w:rPr>
      </w:pPr>
    </w:p>
    <w:p w:rsidR="000612DA" w:rsidRPr="00707C6B" w:rsidRDefault="00EE0C11" w:rsidP="003D461D">
      <w:pPr>
        <w:numPr>
          <w:ilvl w:val="0"/>
          <w:numId w:val="10"/>
        </w:numPr>
        <w:spacing w:line="360" w:lineRule="auto"/>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投资本基金涉及的费用</w:t>
      </w:r>
    </w:p>
    <w:p w:rsidR="000612DA" w:rsidRPr="00707C6B" w:rsidRDefault="00EE0C11" w:rsidP="003D461D">
      <w:pPr>
        <w:pStyle w:val="a8"/>
        <w:numPr>
          <w:ilvl w:val="0"/>
          <w:numId w:val="25"/>
        </w:numPr>
        <w:spacing w:line="360" w:lineRule="auto"/>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基金销售相关费用</w:t>
      </w:r>
    </w:p>
    <w:p w:rsidR="000612DA" w:rsidRPr="00707C6B" w:rsidRDefault="00EE0C11">
      <w:pPr>
        <w:autoSpaceDE w:val="0"/>
        <w:autoSpaceDN w:val="0"/>
        <w:adjustRightInd w:val="0"/>
        <w:spacing w:line="280" w:lineRule="exact"/>
        <w:jc w:val="left"/>
        <w:rPr>
          <w:rFonts w:ascii="仿宋" w:eastAsia="仿宋" w:hAnsi="仿宋"/>
        </w:rPr>
      </w:pPr>
      <w:r w:rsidRPr="00707C6B">
        <w:rPr>
          <w:rFonts w:ascii="仿宋" w:eastAsia="仿宋" w:hAnsi="仿宋" w:cs="方正仿宋简体" w:hint="eastAsia"/>
          <w:iCs/>
        </w:rPr>
        <w:t>以下费用在认购/申购/赎回基金过程中收取：</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684"/>
        <w:gridCol w:w="2968"/>
        <w:gridCol w:w="1548"/>
        <w:gridCol w:w="2438"/>
      </w:tblGrid>
      <w:tr w:rsidR="000612DA" w:rsidRPr="00707C6B" w:rsidTr="00084383">
        <w:trPr>
          <w:trHeight w:val="227"/>
        </w:trPr>
        <w:tc>
          <w:tcPr>
            <w:tcW w:w="1392"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费用类型</w:t>
            </w:r>
          </w:p>
        </w:tc>
        <w:tc>
          <w:tcPr>
            <w:tcW w:w="1539"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份额（S）或金额（M）</w:t>
            </w:r>
          </w:p>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/持有期限（N）</w:t>
            </w:r>
          </w:p>
        </w:tc>
        <w:tc>
          <w:tcPr>
            <w:tcW w:w="80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收费方式/费率</w:t>
            </w:r>
          </w:p>
        </w:tc>
        <w:tc>
          <w:tcPr>
            <w:tcW w:w="1265"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备注</w:t>
            </w:r>
          </w:p>
        </w:tc>
      </w:tr>
      <w:tr w:rsidR="000612DA" w:rsidRPr="00707C6B" w:rsidTr="00084383">
        <w:trPr>
          <w:trHeight w:val="227"/>
        </w:trPr>
        <w:tc>
          <w:tcPr>
            <w:tcW w:w="1392" w:type="pct"/>
            <w:vMerge w:val="restar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&lt; 100万元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1.20%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100万元 ≤ M &lt; 300万元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0.80%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300万元 ≤ M &lt;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0.20%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1000元/笔</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&lt; 100万元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0.12%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100万元 ≤ M &lt; 300万元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0.08%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300万元 ≤ M &lt;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0.02%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100元/笔</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restar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&lt; 100万元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1.50%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100万元 ≤ M &lt; 300万元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0.90%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300万元 ≤ M &lt;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0.30%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1000元/笔</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&lt; 100万元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0.15%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100万元 ≤ M &lt; 300万元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0.09%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300万元 ≤ M &lt;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0.03%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100元/笔</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restar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N &lt; 7日 </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1.50%  </w:t>
            </w:r>
          </w:p>
        </w:tc>
        <w:tc>
          <w:tcPr>
            <w:tcW w:w="1265" w:type="pct"/>
            <w:vAlign w:val="center"/>
          </w:tcPr>
          <w:p w:rsidR="000612DA" w:rsidRPr="00707C6B" w:rsidRDefault="000612DA">
            <w:pPr>
              <w:spacing w:line="280" w:lineRule="exact"/>
              <w:jc w:val="center"/>
              <w:rPr>
                <w:rFonts w:ascii="仿宋" w:eastAsia="仿宋" w:hAnsi="仿宋" w:cs="方正仿宋简体"/>
                <w:bCs/>
                <w:iCs/>
              </w:rPr>
            </w:pP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lastRenderedPageBreak/>
              <w:t>赎回费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7日 ≤ N &lt; 30日 </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0.75%  </w:t>
            </w:r>
          </w:p>
        </w:tc>
        <w:tc>
          <w:tcPr>
            <w:tcW w:w="1265" w:type="pct"/>
            <w:vAlign w:val="center"/>
          </w:tcPr>
          <w:p w:rsidR="000612DA" w:rsidRPr="00707C6B" w:rsidRDefault="000612DA">
            <w:pPr>
              <w:spacing w:line="280" w:lineRule="exact"/>
              <w:jc w:val="center"/>
              <w:rPr>
                <w:rFonts w:ascii="仿宋" w:eastAsia="仿宋" w:hAnsi="仿宋" w:cs="方正仿宋简体"/>
                <w:bCs/>
                <w:iCs/>
              </w:rPr>
            </w:pP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30日 ≤ N &lt; 180日 </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0.50%  </w:t>
            </w:r>
          </w:p>
        </w:tc>
        <w:tc>
          <w:tcPr>
            <w:tcW w:w="1265" w:type="pct"/>
            <w:vAlign w:val="center"/>
          </w:tcPr>
          <w:p w:rsidR="000612DA" w:rsidRPr="00707C6B" w:rsidRDefault="000612DA">
            <w:pPr>
              <w:spacing w:line="280" w:lineRule="exact"/>
              <w:jc w:val="center"/>
              <w:rPr>
                <w:rFonts w:ascii="仿宋" w:eastAsia="仿宋" w:hAnsi="仿宋" w:cs="方正仿宋简体"/>
                <w:bCs/>
                <w:iCs/>
              </w:rPr>
            </w:pP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180日 ≤ N &lt; 365日 </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0.30%  </w:t>
            </w:r>
          </w:p>
        </w:tc>
        <w:tc>
          <w:tcPr>
            <w:tcW w:w="1265" w:type="pct"/>
            <w:vAlign w:val="center"/>
          </w:tcPr>
          <w:p w:rsidR="000612DA" w:rsidRPr="00707C6B" w:rsidRDefault="000612DA">
            <w:pPr>
              <w:spacing w:line="280" w:lineRule="exact"/>
              <w:jc w:val="center"/>
              <w:rPr>
                <w:rFonts w:ascii="仿宋" w:eastAsia="仿宋" w:hAnsi="仿宋" w:cs="方正仿宋简体"/>
                <w:bCs/>
                <w:iCs/>
              </w:rPr>
            </w:pP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N ≥ 365日 </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w:t>
            </w:r>
          </w:p>
        </w:tc>
        <w:tc>
          <w:tcPr>
            <w:tcW w:w="1265" w:type="pct"/>
            <w:vAlign w:val="center"/>
          </w:tcPr>
          <w:p w:rsidR="000612DA" w:rsidRPr="00707C6B" w:rsidRDefault="000612DA">
            <w:pPr>
              <w:spacing w:line="280" w:lineRule="exact"/>
              <w:jc w:val="center"/>
              <w:rPr>
                <w:rFonts w:ascii="仿宋" w:eastAsia="仿宋" w:hAnsi="仿宋" w:cs="方正仿宋简体"/>
                <w:bCs/>
                <w:iCs/>
              </w:rPr>
            </w:pPr>
          </w:p>
        </w:tc>
      </w:tr>
    </w:tbl>
    <w:p w:rsidR="000612DA" w:rsidRPr="00707C6B" w:rsidRDefault="00EE0C11">
      <w:pPr>
        <w:autoSpaceDE w:val="0"/>
        <w:autoSpaceDN w:val="0"/>
        <w:adjustRightInd w:val="0"/>
        <w:spacing w:line="280" w:lineRule="exact"/>
        <w:jc w:val="left"/>
        <w:rPr>
          <w:rFonts w:ascii="仿宋" w:eastAsia="仿宋" w:hAnsi="仿宋" w:cs="方正仿宋简体"/>
          <w:iCs/>
        </w:rPr>
      </w:pPr>
      <w:r w:rsidRPr="00707C6B">
        <w:rPr>
          <w:rFonts w:ascii="仿宋" w:eastAsia="仿宋" w:hAnsi="仿宋" w:cs="方正仿宋简体" w:hint="eastAsia"/>
          <w:b/>
          <w:iCs/>
        </w:rPr>
        <w:t>注：</w:t>
      </w:r>
      <w:r w:rsidR="00F011DF">
        <w:rPr>
          <w:rFonts w:ascii="仿宋" w:eastAsia="仿宋" w:hAnsi="仿宋" w:cs="方正仿宋简体" w:hint="eastAsia"/>
          <w:iCs/>
        </w:rPr>
        <w:t>1、本基金的认/申购</w:t>
      </w:r>
      <w:proofErr w:type="gramStart"/>
      <w:r w:rsidR="00F011DF">
        <w:rPr>
          <w:rFonts w:ascii="仿宋" w:eastAsia="仿宋" w:hAnsi="仿宋" w:cs="方正仿宋简体" w:hint="eastAsia"/>
          <w:iCs/>
        </w:rPr>
        <w:t>费用由认</w:t>
      </w:r>
      <w:proofErr w:type="gramEnd"/>
      <w:r w:rsidR="00F011DF">
        <w:rPr>
          <w:rFonts w:ascii="仿宋" w:eastAsia="仿宋" w:hAnsi="仿宋" w:cs="方正仿宋简体" w:hint="eastAsia"/>
          <w:iCs/>
        </w:rPr>
        <w:t>/申购人承担，可用于市场推广、销售、注册登记等各项费用，不列入基金资产。基金销售机构可以对销售费用实行一定的优惠，具体以实际收取为准。</w:t>
      </w:r>
    </w:p>
    <w:p w:rsidR="000612DA" w:rsidRPr="00707C6B" w:rsidRDefault="00F011DF">
      <w:pPr>
        <w:autoSpaceDE w:val="0"/>
        <w:autoSpaceDN w:val="0"/>
        <w:adjustRightInd w:val="0"/>
        <w:spacing w:line="280" w:lineRule="exact"/>
        <w:jc w:val="left"/>
        <w:rPr>
          <w:rFonts w:ascii="仿宋" w:eastAsia="仿宋" w:hAnsi="仿宋" w:cs="方正仿宋简体"/>
          <w:iCs/>
        </w:rPr>
      </w:pPr>
      <w:r>
        <w:rPr>
          <w:rFonts w:ascii="仿宋" w:eastAsia="仿宋" w:hAnsi="仿宋" w:cs="方正仿宋简体" w:hint="eastAsia"/>
          <w:iCs/>
        </w:rPr>
        <w:t>2、特定客户通过直销中心认/申购本基金时，方适用上述特定客户认/申购费率。</w:t>
      </w:r>
    </w:p>
    <w:p w:rsidR="000612DA" w:rsidRPr="00707C6B" w:rsidRDefault="000612DA">
      <w:pPr>
        <w:spacing w:line="280" w:lineRule="exact"/>
        <w:rPr>
          <w:rFonts w:ascii="仿宋" w:eastAsia="仿宋" w:hAnsi="仿宋" w:cs="方正仿宋简体"/>
          <w:b/>
          <w:iCs/>
          <w:sz w:val="24"/>
          <w:szCs w:val="24"/>
        </w:rPr>
      </w:pPr>
    </w:p>
    <w:p w:rsidR="000612DA" w:rsidRPr="00707C6B" w:rsidRDefault="00EE0C11" w:rsidP="003D461D">
      <w:pPr>
        <w:spacing w:line="360" w:lineRule="auto"/>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（二）基金运作相关费用</w:t>
      </w:r>
    </w:p>
    <w:p w:rsidR="000612DA" w:rsidRPr="00707C6B" w:rsidRDefault="00EE0C11" w:rsidP="003D461D">
      <w:pPr>
        <w:autoSpaceDE w:val="0"/>
        <w:autoSpaceDN w:val="0"/>
        <w:adjustRightInd w:val="0"/>
        <w:spacing w:line="360" w:lineRule="auto"/>
        <w:jc w:val="left"/>
        <w:rPr>
          <w:rFonts w:ascii="仿宋" w:eastAsia="仿宋" w:hAnsi="仿宋" w:cs="方正仿宋简体"/>
          <w:iCs/>
        </w:rPr>
      </w:pPr>
      <w:r w:rsidRPr="00707C6B">
        <w:rPr>
          <w:rFonts w:ascii="仿宋" w:eastAsia="仿宋" w:hAnsi="仿宋" w:hint="eastAsia"/>
        </w:rPr>
        <w:t>以下</w:t>
      </w:r>
      <w:r w:rsidRPr="00707C6B">
        <w:rPr>
          <w:rFonts w:ascii="仿宋" w:eastAsia="仿宋" w:hAnsi="仿宋" w:cs="方正仿宋简体" w:hint="eastAsia"/>
          <w:iCs/>
        </w:rPr>
        <w:t>费用将从基金资产中扣除：</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649"/>
        <w:gridCol w:w="5989"/>
      </w:tblGrid>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
                <w:bCs/>
              </w:rPr>
            </w:pPr>
            <w:r w:rsidRPr="00707C6B">
              <w:rPr>
                <w:rFonts w:ascii="仿宋" w:eastAsia="仿宋" w:hAnsi="仿宋" w:cs="方正仿宋简体" w:hint="eastAsia"/>
                <w:b/>
                <w:bCs/>
                <w:iCs/>
              </w:rPr>
              <w:t>费用类别</w:t>
            </w:r>
          </w:p>
        </w:tc>
        <w:tc>
          <w:tcPr>
            <w:tcW w:w="3107"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收费方式/年费率</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Cs/>
                <w:iCs/>
              </w:rPr>
            </w:pPr>
            <w:r w:rsidRPr="00707C6B">
              <w:rPr>
                <w:rFonts w:ascii="仿宋" w:eastAsia="仿宋" w:hAnsi="仿宋" w:cs="方正仿宋简体" w:hint="eastAsia"/>
                <w:bCs/>
                <w:iCs/>
              </w:rPr>
              <w:t>管理费</w:t>
            </w:r>
          </w:p>
        </w:tc>
        <w:tc>
          <w:tcPr>
            <w:tcW w:w="3107"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1.50%</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Cs/>
                <w:iCs/>
              </w:rPr>
            </w:pPr>
            <w:r w:rsidRPr="00707C6B">
              <w:rPr>
                <w:rFonts w:ascii="仿宋" w:eastAsia="仿宋" w:hAnsi="仿宋" w:cs="方正仿宋简体" w:hint="eastAsia"/>
                <w:bCs/>
                <w:iCs/>
              </w:rPr>
              <w:t>托管费</w:t>
            </w:r>
          </w:p>
        </w:tc>
        <w:tc>
          <w:tcPr>
            <w:tcW w:w="3107"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0.25%</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其他费用</w:t>
            </w:r>
          </w:p>
        </w:tc>
        <w:tc>
          <w:tcPr>
            <w:tcW w:w="3107" w:type="pct"/>
            <w:vAlign w:val="center"/>
          </w:tcPr>
          <w:p w:rsidR="000612DA" w:rsidRPr="00707C6B" w:rsidRDefault="00EE0C11" w:rsidP="003D461D">
            <w:pPr>
              <w:spacing w:line="280" w:lineRule="exact"/>
              <w:jc w:val="left"/>
              <w:rPr>
                <w:rFonts w:ascii="仿宋" w:eastAsia="仿宋" w:hAnsi="仿宋" w:cs="方正仿宋简体"/>
                <w:bCs/>
                <w:iCs/>
              </w:rPr>
            </w:pPr>
            <w:r w:rsidRPr="00707C6B">
              <w:rPr>
                <w:rFonts w:ascii="仿宋" w:eastAsia="仿宋" w:hAnsi="仿宋" w:cs="方正仿宋简体" w:hint="eastAsia"/>
                <w:bCs/>
                <w:iCs/>
              </w:rPr>
              <w:t xml:space="preserve">《基金合同》生效后与基金相关的信息披露费用、会计师费、律师费、诉讼费、基金份额持有人大会费用、基金的证券交易费用、基金的银行汇划费用、基金相关账户的开户及维护费等费用，和按照国家有关规定和《基金合同》约定，可以在基金财产中列支的其他费用。 </w:t>
            </w:r>
          </w:p>
        </w:tc>
      </w:tr>
    </w:tbl>
    <w:p w:rsidR="000612DA" w:rsidRPr="00707C6B" w:rsidRDefault="00EE0C11">
      <w:pPr>
        <w:autoSpaceDE w:val="0"/>
        <w:autoSpaceDN w:val="0"/>
        <w:adjustRightInd w:val="0"/>
        <w:spacing w:line="280" w:lineRule="exact"/>
        <w:jc w:val="left"/>
        <w:rPr>
          <w:rFonts w:ascii="仿宋" w:eastAsia="仿宋" w:hAnsi="仿宋" w:cs="方正仿宋简体"/>
          <w:bCs/>
          <w:iCs/>
        </w:rPr>
      </w:pPr>
      <w:r w:rsidRPr="004B400F">
        <w:rPr>
          <w:rFonts w:ascii="仿宋" w:eastAsia="仿宋" w:hAnsi="仿宋" w:cs="方正仿宋简体" w:hint="eastAsia"/>
          <w:b/>
          <w:bCs/>
          <w:iCs/>
        </w:rPr>
        <w:t>注：</w:t>
      </w:r>
      <w:r w:rsidRPr="00707C6B">
        <w:rPr>
          <w:rFonts w:ascii="仿宋" w:eastAsia="仿宋" w:hAnsi="仿宋" w:cs="方正仿宋简体" w:hint="eastAsia"/>
          <w:bCs/>
          <w:iCs/>
        </w:rPr>
        <w:t>本基金交易证券、基金等产生的费用和税负，按实际发生额从基金资产扣除。</w:t>
      </w:r>
    </w:p>
    <w:p w:rsidR="000612DA" w:rsidRPr="00707C6B" w:rsidRDefault="000612DA">
      <w:pPr>
        <w:autoSpaceDE w:val="0"/>
        <w:autoSpaceDN w:val="0"/>
        <w:adjustRightInd w:val="0"/>
        <w:spacing w:line="280" w:lineRule="exact"/>
        <w:jc w:val="left"/>
        <w:rPr>
          <w:rFonts w:ascii="仿宋" w:eastAsia="仿宋" w:hAnsi="仿宋" w:cs="仿宋_GB2312"/>
          <w:kern w:val="0"/>
          <w:szCs w:val="24"/>
        </w:rPr>
      </w:pPr>
      <w:bookmarkStart w:id="0" w:name="_GoBack"/>
      <w:bookmarkEnd w:id="0"/>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风险揭示与重要提示</w:t>
      </w:r>
    </w:p>
    <w:p w:rsidR="000612DA" w:rsidRPr="00707C6B" w:rsidRDefault="00EE0C11">
      <w:pPr>
        <w:spacing w:line="280" w:lineRule="exact"/>
        <w:outlineLvl w:val="1"/>
        <w:rPr>
          <w:rFonts w:ascii="仿宋" w:eastAsia="仿宋" w:hAnsi="仿宋"/>
          <w:color w:val="0000FF"/>
          <w:kern w:val="0"/>
          <w:sz w:val="18"/>
        </w:rPr>
      </w:pPr>
      <w:r w:rsidRPr="00707C6B">
        <w:rPr>
          <w:rFonts w:ascii="仿宋" w:eastAsia="仿宋" w:hAnsi="仿宋" w:cs="方正仿宋简体" w:hint="eastAsia"/>
          <w:b/>
          <w:bCs/>
          <w:iCs/>
          <w:sz w:val="24"/>
          <w:szCs w:val="24"/>
        </w:rPr>
        <w:t>（一）风险揭示</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本基金不提供任何保证。投资者可能损失投资本金。</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投资有风险，投资者购买基金时应认真阅读本基金的《招募说明书》等销售文件。</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1、本基金特有的风险</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（1）本基金《基金合同》生效后，连续五十个工作日出现基金份额持有人数量不满200人或者基金资产净值低于5000万元人民币的情形，基金合同将自动终止。</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（2）投资港股通标的股票的风险</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本基金通过“内地与香港股票市场交易互联互通机制”投资于香港市场，在市场进入、投资额度、可投资对象、分红派息、税务政策等方面都有一定的限制，而且此类限制可能会不断调整，这些限制因素的变化可能对本基金进入或退出当地市场造成障碍，从而对投资收益以及正常的申购赎回产生直接或间接的影响。比如：港股交易失败风险、汇率风险、</w:t>
      </w:r>
      <w:proofErr w:type="gramStart"/>
      <w:r>
        <w:rPr>
          <w:rFonts w:ascii="仿宋" w:eastAsia="仿宋" w:hAnsi="仿宋" w:cs="方正仿宋简体" w:hint="eastAsia"/>
          <w:iCs/>
        </w:rPr>
        <w:t>港股通可投资</w:t>
      </w:r>
      <w:proofErr w:type="gramEnd"/>
      <w:r>
        <w:rPr>
          <w:rFonts w:ascii="仿宋" w:eastAsia="仿宋" w:hAnsi="仿宋" w:cs="方正仿宋简体" w:hint="eastAsia"/>
          <w:iCs/>
        </w:rPr>
        <w:t>标的范围调整带来的风险、境外市场的风险。</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本基金会根据市场环境的变化以及投资策略的需要进行调整，选择将部分基金资产投资于港股通标的股票或选择不将基金资产投资于港股通标的股票，因此本基金存在不对港股进行投资的可能。</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（3）本基金可投资于股指期货、国债期货、资产支持证券等特定品种，将面临投资上述品种所产生特定的风险，可能给基金净值带来不利影响或损失。</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2、开放式基金的共有风险</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（1）市场风险；（2）管理风险；（3）职业道德风险；（4）流动性风险；（5）合</w:t>
      </w:r>
      <w:proofErr w:type="gramStart"/>
      <w:r>
        <w:rPr>
          <w:rFonts w:ascii="仿宋" w:eastAsia="仿宋" w:hAnsi="仿宋" w:cs="方正仿宋简体" w:hint="eastAsia"/>
          <w:iCs/>
        </w:rPr>
        <w:t>规</w:t>
      </w:r>
      <w:proofErr w:type="gramEnd"/>
      <w:r>
        <w:rPr>
          <w:rFonts w:ascii="仿宋" w:eastAsia="仿宋" w:hAnsi="仿宋" w:cs="方正仿宋简体" w:hint="eastAsia"/>
          <w:iCs/>
        </w:rPr>
        <w:t>性风险；（6）投资管理风险等。</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3、其他风险</w:t>
      </w:r>
    </w:p>
    <w:p w:rsidR="000612DA" w:rsidRPr="00707C6B" w:rsidRDefault="00EE0C11">
      <w:pPr>
        <w:spacing w:line="280" w:lineRule="exact"/>
        <w:outlineLvl w:val="1"/>
        <w:rPr>
          <w:rFonts w:ascii="仿宋" w:eastAsia="仿宋" w:hAnsi="仿宋" w:cs="方正仿宋简体"/>
          <w:b/>
          <w:iCs/>
          <w:sz w:val="22"/>
          <w:szCs w:val="24"/>
        </w:rPr>
      </w:pPr>
      <w:r w:rsidRPr="00707C6B">
        <w:rPr>
          <w:rFonts w:ascii="仿宋" w:eastAsia="仿宋" w:hAnsi="仿宋" w:cs="方正仿宋简体" w:hint="eastAsia"/>
          <w:b/>
          <w:iCs/>
          <w:sz w:val="24"/>
          <w:szCs w:val="24"/>
        </w:rPr>
        <w:t>（二）重要提示</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中国证监会对本基金募集的注册，并不表明其对本基金的价值和收益</w:t>
      </w:r>
      <w:proofErr w:type="gramStart"/>
      <w:r>
        <w:rPr>
          <w:rFonts w:ascii="仿宋" w:eastAsia="仿宋" w:hAnsi="仿宋" w:cs="方正仿宋简体" w:hint="eastAsia"/>
          <w:iCs/>
        </w:rPr>
        <w:t>作出</w:t>
      </w:r>
      <w:proofErr w:type="gramEnd"/>
      <w:r>
        <w:rPr>
          <w:rFonts w:ascii="仿宋" w:eastAsia="仿宋" w:hAnsi="仿宋" w:cs="方正仿宋简体" w:hint="eastAsia"/>
          <w:iCs/>
        </w:rPr>
        <w:t>实质性判断或保证，也不表明投资于本基金没有风险。</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基金管理人依照恪尽职守、诚实信用、谨慎勤勉的原则管理和运用基金财产，但不保证基金一定盈利，也不保证最低收益。</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基金</w:t>
      </w:r>
      <w:proofErr w:type="gramStart"/>
      <w:r>
        <w:rPr>
          <w:rFonts w:ascii="仿宋" w:eastAsia="仿宋" w:hAnsi="仿宋" w:cs="方正仿宋简体" w:hint="eastAsia"/>
          <w:iCs/>
        </w:rPr>
        <w:t>投资者自依基金</w:t>
      </w:r>
      <w:proofErr w:type="gramEnd"/>
      <w:r>
        <w:rPr>
          <w:rFonts w:ascii="仿宋" w:eastAsia="仿宋" w:hAnsi="仿宋" w:cs="方正仿宋简体" w:hint="eastAsia"/>
          <w:iCs/>
        </w:rPr>
        <w:t>合同取得基金份额，即成为基金份额持有人和基金合同的当事人。</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基金产品资料概要信息发生重大变更的，基金管理人将在三个工作日内更新，其他信息发生变更的，基金管理人每年更新一次。因此，本文件内容相比基金的实际情况可能存在一定的滞后，如需及时、准确</w:t>
      </w:r>
      <w:r>
        <w:rPr>
          <w:rFonts w:ascii="仿宋" w:eastAsia="仿宋" w:hAnsi="仿宋" w:cs="方正仿宋简体" w:hint="eastAsia"/>
          <w:iCs/>
        </w:rPr>
        <w:lastRenderedPageBreak/>
        <w:t>获取基金的相关信息，敬请同时关注基金管理人发布的相关临时公告及定期报告等。</w:t>
      </w:r>
    </w:p>
    <w:p w:rsidR="000612DA" w:rsidRPr="00707C6B" w:rsidRDefault="00F011DF">
      <w:pPr>
        <w:spacing w:line="280" w:lineRule="exact"/>
        <w:ind w:firstLine="420"/>
        <w:rPr>
          <w:rFonts w:ascii="仿宋" w:eastAsia="仿宋" w:hAnsi="仿宋" w:cs="方正仿宋简体"/>
          <w:iCs/>
        </w:rPr>
      </w:pPr>
      <w:r>
        <w:rPr>
          <w:rFonts w:ascii="仿宋" w:eastAsia="仿宋" w:hAnsi="仿宋" w:cs="方正仿宋简体" w:hint="eastAsia"/>
          <w:iCs/>
        </w:rPr>
        <w:t>如投资者对基金合同有争议的，争议解决处理方式详见基金合同“争议的处理和适用的法律”部分或相关章节。</w:t>
      </w:r>
    </w:p>
    <w:p w:rsidR="000612DA" w:rsidRPr="00707C6B" w:rsidRDefault="000612DA">
      <w:pPr>
        <w:autoSpaceDE w:val="0"/>
        <w:autoSpaceDN w:val="0"/>
        <w:adjustRightInd w:val="0"/>
        <w:spacing w:line="280" w:lineRule="exact"/>
        <w:jc w:val="left"/>
        <w:rPr>
          <w:rFonts w:ascii="仿宋" w:eastAsia="仿宋" w:hAnsi="仿宋"/>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其他资料查询方式</w:t>
      </w:r>
    </w:p>
    <w:p w:rsidR="000612DA" w:rsidRPr="00BD6ACC" w:rsidRDefault="00F011DF" w:rsidP="00BD6ACC">
      <w:pPr>
        <w:spacing w:line="280" w:lineRule="exact"/>
        <w:ind w:firstLine="420"/>
        <w:rPr>
          <w:rFonts w:ascii="仿宋" w:eastAsia="仿宋" w:hAnsi="仿宋" w:cs="方正仿宋简体"/>
          <w:iCs/>
        </w:rPr>
      </w:pPr>
      <w:r>
        <w:rPr>
          <w:rFonts w:ascii="仿宋" w:eastAsia="仿宋" w:hAnsi="仿宋" w:cs="方正仿宋简体" w:hint="eastAsia"/>
          <w:iCs/>
        </w:rPr>
        <w:t>以下资料详见广发基金官方网站［www.gffunds.com.cn］［客服电话：95105828（免长途费）或020-83936999］</w:t>
      </w:r>
    </w:p>
    <w:p w:rsidR="000612DA" w:rsidRPr="00BD6ACC" w:rsidRDefault="00F011DF" w:rsidP="00BD6ACC">
      <w:pPr>
        <w:spacing w:line="280" w:lineRule="exact"/>
        <w:ind w:firstLine="420"/>
        <w:rPr>
          <w:rFonts w:ascii="仿宋" w:eastAsia="仿宋" w:hAnsi="仿宋" w:cs="方正仿宋简体"/>
          <w:iCs/>
        </w:rPr>
      </w:pPr>
      <w:r>
        <w:rPr>
          <w:rFonts w:ascii="仿宋" w:eastAsia="仿宋" w:hAnsi="仿宋" w:cs="方正仿宋简体" w:hint="eastAsia"/>
          <w:iCs/>
        </w:rPr>
        <w:t>（1）《广发均衡优选混合型证券投资基金基金合同》</w:t>
      </w:r>
    </w:p>
    <w:p w:rsidR="000612DA" w:rsidRPr="00BD6ACC" w:rsidRDefault="00F011DF" w:rsidP="00BD6ACC">
      <w:pPr>
        <w:spacing w:line="280" w:lineRule="exact"/>
        <w:ind w:firstLine="420"/>
        <w:rPr>
          <w:rFonts w:ascii="仿宋" w:eastAsia="仿宋" w:hAnsi="仿宋" w:cs="方正仿宋简体"/>
          <w:iCs/>
        </w:rPr>
      </w:pPr>
      <w:r>
        <w:rPr>
          <w:rFonts w:ascii="仿宋" w:eastAsia="仿宋" w:hAnsi="仿宋" w:cs="方正仿宋简体" w:hint="eastAsia"/>
          <w:iCs/>
        </w:rPr>
        <w:t>（2）《广发均衡优选混合型证券投资基金托管协议》</w:t>
      </w:r>
    </w:p>
    <w:p w:rsidR="000612DA" w:rsidRPr="00BD6ACC" w:rsidRDefault="00F011DF" w:rsidP="00BD6ACC">
      <w:pPr>
        <w:spacing w:line="280" w:lineRule="exact"/>
        <w:ind w:firstLine="420"/>
        <w:rPr>
          <w:rFonts w:ascii="仿宋" w:eastAsia="仿宋" w:hAnsi="仿宋" w:cs="方正仿宋简体"/>
          <w:iCs/>
        </w:rPr>
      </w:pPr>
      <w:r>
        <w:rPr>
          <w:rFonts w:ascii="仿宋" w:eastAsia="仿宋" w:hAnsi="仿宋" w:cs="方正仿宋简体" w:hint="eastAsia"/>
          <w:iCs/>
        </w:rPr>
        <w:t>（3）《广发均衡优选混合型证券投资基金招募说明书》</w:t>
      </w:r>
    </w:p>
    <w:p w:rsidR="000612DA" w:rsidRPr="00BD6ACC" w:rsidRDefault="00F011DF" w:rsidP="00BD6ACC">
      <w:pPr>
        <w:spacing w:line="280" w:lineRule="exact"/>
        <w:ind w:firstLine="420"/>
        <w:rPr>
          <w:rFonts w:ascii="仿宋" w:eastAsia="仿宋" w:hAnsi="仿宋" w:cs="方正仿宋简体"/>
          <w:iCs/>
        </w:rPr>
      </w:pPr>
      <w:r>
        <w:rPr>
          <w:rFonts w:ascii="仿宋" w:eastAsia="仿宋" w:hAnsi="仿宋" w:cs="方正仿宋简体" w:hint="eastAsia"/>
          <w:iCs/>
        </w:rPr>
        <w:t>（4）定期报告，包括基金季度报告、中期报告和年度报告</w:t>
      </w:r>
    </w:p>
    <w:p w:rsidR="000612DA" w:rsidRPr="00BD6ACC" w:rsidRDefault="00F011DF" w:rsidP="00BD6ACC">
      <w:pPr>
        <w:spacing w:line="280" w:lineRule="exact"/>
        <w:ind w:firstLine="420"/>
        <w:rPr>
          <w:rFonts w:ascii="仿宋" w:eastAsia="仿宋" w:hAnsi="仿宋" w:cs="方正仿宋简体"/>
          <w:iCs/>
        </w:rPr>
      </w:pPr>
      <w:r>
        <w:rPr>
          <w:rFonts w:ascii="仿宋" w:eastAsia="仿宋" w:hAnsi="仿宋" w:cs="方正仿宋简体" w:hint="eastAsia"/>
          <w:iCs/>
        </w:rPr>
        <w:t>（5）基金份额净值</w:t>
      </w:r>
    </w:p>
    <w:p w:rsidR="000612DA" w:rsidRPr="00BD6ACC" w:rsidRDefault="00F011DF" w:rsidP="00BD6ACC">
      <w:pPr>
        <w:spacing w:line="280" w:lineRule="exact"/>
        <w:ind w:firstLine="420"/>
        <w:rPr>
          <w:rFonts w:ascii="仿宋" w:eastAsia="仿宋" w:hAnsi="仿宋" w:cs="方正仿宋简体"/>
          <w:iCs/>
        </w:rPr>
      </w:pPr>
      <w:r>
        <w:rPr>
          <w:rFonts w:ascii="仿宋" w:eastAsia="仿宋" w:hAnsi="仿宋" w:cs="方正仿宋简体" w:hint="eastAsia"/>
          <w:iCs/>
        </w:rPr>
        <w:t>（6）基金销售机构及联系方式</w:t>
      </w:r>
    </w:p>
    <w:p w:rsidR="000612DA" w:rsidRPr="00BD6ACC" w:rsidRDefault="00F011DF" w:rsidP="00BD6ACC">
      <w:pPr>
        <w:spacing w:line="280" w:lineRule="exact"/>
        <w:ind w:firstLine="420"/>
        <w:rPr>
          <w:rFonts w:ascii="仿宋" w:eastAsia="仿宋" w:hAnsi="仿宋" w:cs="方正仿宋简体"/>
          <w:iCs/>
        </w:rPr>
      </w:pPr>
      <w:r>
        <w:rPr>
          <w:rFonts w:ascii="仿宋" w:eastAsia="仿宋" w:hAnsi="仿宋" w:cs="方正仿宋简体" w:hint="eastAsia"/>
          <w:iCs/>
        </w:rPr>
        <w:t>（7）其他重要资料</w:t>
      </w:r>
    </w:p>
    <w:sectPr w:rsidR="000612DA" w:rsidRPr="00BD6ACC" w:rsidSect="008A5B3B">
      <w:footerReference w:type="default" r:id="rId8"/>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EA3" w:rsidRDefault="00210EA3" w:rsidP="0092395F">
      <w:r>
        <w:separator/>
      </w:r>
    </w:p>
  </w:endnote>
  <w:endnote w:type="continuationSeparator" w:id="0">
    <w:p w:rsidR="00210EA3" w:rsidRDefault="00210EA3"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rsidR="00AE10CD" w:rsidRDefault="00AE10CD" w:rsidP="0025315A">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B400F">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B400F">
              <w:rPr>
                <w:b/>
                <w:bCs/>
                <w:noProof/>
              </w:rPr>
              <w:t>4</w:t>
            </w:r>
            <w:r>
              <w:rPr>
                <w:b/>
                <w:bCs/>
                <w:sz w:val="24"/>
                <w:szCs w:val="24"/>
              </w:rPr>
              <w:fldChar w:fldCharType="end"/>
            </w:r>
          </w:p>
        </w:sdtContent>
      </w:sdt>
    </w:sdtContent>
  </w:sdt>
  <w:p w:rsidR="00AE10CD" w:rsidRDefault="00AE10C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EA3" w:rsidRDefault="00210EA3" w:rsidP="0092395F">
      <w:r>
        <w:separator/>
      </w:r>
    </w:p>
  </w:footnote>
  <w:footnote w:type="continuationSeparator" w:id="0">
    <w:p w:rsidR="00210EA3" w:rsidRDefault="00210EA3" w:rsidP="0092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3" w15:restartNumberingAfterBreak="0">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C21FE0E"/>
    <w:multiLevelType w:val="singleLevel"/>
    <w:tmpl w:val="5C21FE0E"/>
    <w:lvl w:ilvl="0">
      <w:start w:val="2"/>
      <w:numFmt w:val="chineseCounting"/>
      <w:suff w:val="nothing"/>
      <w:lvlText w:val="（%1）"/>
      <w:lvlJc w:val="left"/>
    </w:lvl>
  </w:abstractNum>
  <w:abstractNum w:abstractNumId="15" w15:restartNumberingAfterBreak="0">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7"/>
  </w:num>
  <w:num w:numId="7">
    <w:abstractNumId w:val="7"/>
  </w:num>
  <w:num w:numId="8">
    <w:abstractNumId w:val="13"/>
  </w:num>
  <w:num w:numId="9">
    <w:abstractNumId w:val="19"/>
  </w:num>
  <w:num w:numId="10">
    <w:abstractNumId w:val="12"/>
  </w:num>
  <w:num w:numId="11">
    <w:abstractNumId w:val="14"/>
  </w:num>
  <w:num w:numId="12">
    <w:abstractNumId w:val="0"/>
  </w:num>
  <w:num w:numId="13">
    <w:abstractNumId w:val="3"/>
  </w:num>
  <w:num w:numId="14">
    <w:abstractNumId w:val="4"/>
  </w:num>
  <w:num w:numId="15">
    <w:abstractNumId w:val="20"/>
  </w:num>
  <w:num w:numId="16">
    <w:abstractNumId w:val="6"/>
  </w:num>
  <w:num w:numId="17">
    <w:abstractNumId w:val="15"/>
  </w:num>
  <w:num w:numId="18">
    <w:abstractNumId w:val="8"/>
  </w:num>
  <w:num w:numId="19">
    <w:abstractNumId w:val="11"/>
  </w:num>
  <w:num w:numId="20">
    <w:abstractNumId w:val="1"/>
  </w:num>
  <w:num w:numId="21">
    <w:abstractNumId w:val="5"/>
  </w:num>
  <w:num w:numId="22">
    <w:abstractNumId w:val="10"/>
  </w:num>
  <w:num w:numId="23">
    <w:abstractNumId w:val="16"/>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251CA"/>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4383"/>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0F7704"/>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24ACC"/>
    <w:rsid w:val="001302B4"/>
    <w:rsid w:val="0013061B"/>
    <w:rsid w:val="00130F4D"/>
    <w:rsid w:val="00133309"/>
    <w:rsid w:val="0013367D"/>
    <w:rsid w:val="00134D1D"/>
    <w:rsid w:val="001351D1"/>
    <w:rsid w:val="00135D07"/>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3CA7"/>
    <w:rsid w:val="001F63FB"/>
    <w:rsid w:val="001F6C89"/>
    <w:rsid w:val="001F7FD1"/>
    <w:rsid w:val="0020147E"/>
    <w:rsid w:val="00205053"/>
    <w:rsid w:val="002056E7"/>
    <w:rsid w:val="00206017"/>
    <w:rsid w:val="002067FB"/>
    <w:rsid w:val="00206D9B"/>
    <w:rsid w:val="00210EA3"/>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3472"/>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2D15"/>
    <w:rsid w:val="00373CC2"/>
    <w:rsid w:val="003744FE"/>
    <w:rsid w:val="0037519F"/>
    <w:rsid w:val="00375483"/>
    <w:rsid w:val="00380BCD"/>
    <w:rsid w:val="003810C4"/>
    <w:rsid w:val="00381CFE"/>
    <w:rsid w:val="00382845"/>
    <w:rsid w:val="00386A7F"/>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D461D"/>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28F"/>
    <w:rsid w:val="00411B1E"/>
    <w:rsid w:val="00411C1F"/>
    <w:rsid w:val="00415142"/>
    <w:rsid w:val="00416169"/>
    <w:rsid w:val="00417B28"/>
    <w:rsid w:val="00420623"/>
    <w:rsid w:val="00421441"/>
    <w:rsid w:val="004225D8"/>
    <w:rsid w:val="00426A9B"/>
    <w:rsid w:val="00426E36"/>
    <w:rsid w:val="00430064"/>
    <w:rsid w:val="00430BE8"/>
    <w:rsid w:val="0043184A"/>
    <w:rsid w:val="004324B8"/>
    <w:rsid w:val="004335EC"/>
    <w:rsid w:val="00433D94"/>
    <w:rsid w:val="00435F11"/>
    <w:rsid w:val="00437CC4"/>
    <w:rsid w:val="0044078C"/>
    <w:rsid w:val="00440F0C"/>
    <w:rsid w:val="004428A7"/>
    <w:rsid w:val="00443386"/>
    <w:rsid w:val="00444874"/>
    <w:rsid w:val="0044609F"/>
    <w:rsid w:val="004504DB"/>
    <w:rsid w:val="0045198C"/>
    <w:rsid w:val="00454C42"/>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400F"/>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157A"/>
    <w:rsid w:val="004F21FC"/>
    <w:rsid w:val="004F2EA3"/>
    <w:rsid w:val="004F38D7"/>
    <w:rsid w:val="004F4959"/>
    <w:rsid w:val="004F51E5"/>
    <w:rsid w:val="004F7753"/>
    <w:rsid w:val="0050081D"/>
    <w:rsid w:val="00502044"/>
    <w:rsid w:val="00502133"/>
    <w:rsid w:val="005026AC"/>
    <w:rsid w:val="00502CA1"/>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0537"/>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214F"/>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8DF"/>
    <w:rsid w:val="005B6AFF"/>
    <w:rsid w:val="005B70B9"/>
    <w:rsid w:val="005B755C"/>
    <w:rsid w:val="005C1A5C"/>
    <w:rsid w:val="005C5197"/>
    <w:rsid w:val="005C65CA"/>
    <w:rsid w:val="005C6897"/>
    <w:rsid w:val="005C68EB"/>
    <w:rsid w:val="005C7259"/>
    <w:rsid w:val="005C75B8"/>
    <w:rsid w:val="005C77E0"/>
    <w:rsid w:val="005D013C"/>
    <w:rsid w:val="005D290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901"/>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F3B05"/>
    <w:rsid w:val="006F5DDA"/>
    <w:rsid w:val="006F6174"/>
    <w:rsid w:val="006F644F"/>
    <w:rsid w:val="006F7A73"/>
    <w:rsid w:val="00700B21"/>
    <w:rsid w:val="00703359"/>
    <w:rsid w:val="00704D47"/>
    <w:rsid w:val="00707C6B"/>
    <w:rsid w:val="00710EE8"/>
    <w:rsid w:val="00710FD8"/>
    <w:rsid w:val="00711527"/>
    <w:rsid w:val="0071264A"/>
    <w:rsid w:val="007127F3"/>
    <w:rsid w:val="00713D57"/>
    <w:rsid w:val="00714D53"/>
    <w:rsid w:val="00716B37"/>
    <w:rsid w:val="00717AB5"/>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523B"/>
    <w:rsid w:val="00746BC6"/>
    <w:rsid w:val="00750319"/>
    <w:rsid w:val="00751532"/>
    <w:rsid w:val="00751E08"/>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48DE"/>
    <w:rsid w:val="00795584"/>
    <w:rsid w:val="007A1BF5"/>
    <w:rsid w:val="007A3AAC"/>
    <w:rsid w:val="007A467F"/>
    <w:rsid w:val="007A5BAB"/>
    <w:rsid w:val="007A6BA1"/>
    <w:rsid w:val="007A6C09"/>
    <w:rsid w:val="007B0632"/>
    <w:rsid w:val="007B1E0F"/>
    <w:rsid w:val="007B23C7"/>
    <w:rsid w:val="007B371C"/>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08"/>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C31"/>
    <w:rsid w:val="00872076"/>
    <w:rsid w:val="0087278C"/>
    <w:rsid w:val="00872D80"/>
    <w:rsid w:val="0087307E"/>
    <w:rsid w:val="0087384F"/>
    <w:rsid w:val="00873A0F"/>
    <w:rsid w:val="008740C8"/>
    <w:rsid w:val="008745A1"/>
    <w:rsid w:val="008746AF"/>
    <w:rsid w:val="0087523D"/>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3EAC"/>
    <w:rsid w:val="008A4638"/>
    <w:rsid w:val="008A46F0"/>
    <w:rsid w:val="008A492B"/>
    <w:rsid w:val="008A59EF"/>
    <w:rsid w:val="008A5B3B"/>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0FAC"/>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D15D5"/>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3C3B"/>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31EC"/>
    <w:rsid w:val="00A8710A"/>
    <w:rsid w:val="00A916CE"/>
    <w:rsid w:val="00A92DE6"/>
    <w:rsid w:val="00A93429"/>
    <w:rsid w:val="00A93FAE"/>
    <w:rsid w:val="00AA0104"/>
    <w:rsid w:val="00AA01A2"/>
    <w:rsid w:val="00AA08C9"/>
    <w:rsid w:val="00AA1216"/>
    <w:rsid w:val="00AA299A"/>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63F25"/>
    <w:rsid w:val="00B66AE9"/>
    <w:rsid w:val="00B66CCF"/>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1EC"/>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6ACC"/>
    <w:rsid w:val="00BD755E"/>
    <w:rsid w:val="00BE0BCB"/>
    <w:rsid w:val="00BE1CBA"/>
    <w:rsid w:val="00BE1F92"/>
    <w:rsid w:val="00BE2A1D"/>
    <w:rsid w:val="00BE2C91"/>
    <w:rsid w:val="00BE2F82"/>
    <w:rsid w:val="00BE34CD"/>
    <w:rsid w:val="00BE3A68"/>
    <w:rsid w:val="00BE3D7F"/>
    <w:rsid w:val="00BE6614"/>
    <w:rsid w:val="00BF05CF"/>
    <w:rsid w:val="00BF0B0B"/>
    <w:rsid w:val="00BF120B"/>
    <w:rsid w:val="00BF1A8D"/>
    <w:rsid w:val="00BF3A83"/>
    <w:rsid w:val="00BF66C7"/>
    <w:rsid w:val="00C006ED"/>
    <w:rsid w:val="00C01316"/>
    <w:rsid w:val="00C015EB"/>
    <w:rsid w:val="00C0339D"/>
    <w:rsid w:val="00C03922"/>
    <w:rsid w:val="00C03BA1"/>
    <w:rsid w:val="00C0587A"/>
    <w:rsid w:val="00C05EC6"/>
    <w:rsid w:val="00C06C2D"/>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66042"/>
    <w:rsid w:val="00C70FFB"/>
    <w:rsid w:val="00C716FD"/>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AD4"/>
    <w:rsid w:val="00CD7C6C"/>
    <w:rsid w:val="00CE1723"/>
    <w:rsid w:val="00CE1975"/>
    <w:rsid w:val="00CE1C21"/>
    <w:rsid w:val="00CE4FAE"/>
    <w:rsid w:val="00CE595D"/>
    <w:rsid w:val="00CE5CD6"/>
    <w:rsid w:val="00CE741D"/>
    <w:rsid w:val="00CE776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B4E"/>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FEE"/>
    <w:rsid w:val="00DD7810"/>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11DF"/>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4F82"/>
    <w:rsid w:val="00F25689"/>
    <w:rsid w:val="00F3062E"/>
    <w:rsid w:val="00F31D45"/>
    <w:rsid w:val="00F327CF"/>
    <w:rsid w:val="00F3394C"/>
    <w:rsid w:val="00F33EAB"/>
    <w:rsid w:val="00F35135"/>
    <w:rsid w:val="00F35DFB"/>
    <w:rsid w:val="00F363C5"/>
    <w:rsid w:val="00F377ED"/>
    <w:rsid w:val="00F37CF5"/>
    <w:rsid w:val="00F42E2F"/>
    <w:rsid w:val="00F43A9C"/>
    <w:rsid w:val="00F4421C"/>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77F0C"/>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2FC3"/>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4FE09"/>
  <w15:docId w15:val="{FCC2652E-BC04-43D4-B42D-196E5042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037CB"/>
    <w:pPr>
      <w:widowControl w:val="0"/>
      <w:jc w:val="both"/>
    </w:pPr>
  </w:style>
  <w:style w:type="paragraph" w:styleId="1">
    <w:name w:val="heading 1"/>
    <w:basedOn w:val="a4"/>
    <w:next w:val="a4"/>
    <w:link w:val="10"/>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ab"/>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5"/>
    <w:link w:val="aa"/>
    <w:uiPriority w:val="99"/>
    <w:rsid w:val="0092395F"/>
    <w:rPr>
      <w:sz w:val="18"/>
      <w:szCs w:val="18"/>
    </w:rPr>
  </w:style>
  <w:style w:type="paragraph" w:styleId="ac">
    <w:name w:val="footer"/>
    <w:basedOn w:val="a4"/>
    <w:link w:val="ad"/>
    <w:uiPriority w:val="99"/>
    <w:unhideWhenUsed/>
    <w:rsid w:val="0092395F"/>
    <w:pPr>
      <w:tabs>
        <w:tab w:val="center" w:pos="4153"/>
        <w:tab w:val="right" w:pos="8306"/>
      </w:tabs>
      <w:snapToGrid w:val="0"/>
      <w:jc w:val="left"/>
    </w:pPr>
    <w:rPr>
      <w:sz w:val="18"/>
      <w:szCs w:val="18"/>
    </w:rPr>
  </w:style>
  <w:style w:type="character" w:customStyle="1" w:styleId="ad">
    <w:name w:val="页脚 字符"/>
    <w:basedOn w:val="a5"/>
    <w:link w:val="ac"/>
    <w:uiPriority w:val="99"/>
    <w:rsid w:val="0092395F"/>
    <w:rPr>
      <w:sz w:val="18"/>
      <w:szCs w:val="18"/>
    </w:rPr>
  </w:style>
  <w:style w:type="paragraph" w:styleId="ae">
    <w:name w:val="Balloon Text"/>
    <w:basedOn w:val="a4"/>
    <w:link w:val="af"/>
    <w:uiPriority w:val="99"/>
    <w:semiHidden/>
    <w:unhideWhenUsed/>
    <w:rsid w:val="000676AA"/>
    <w:rPr>
      <w:sz w:val="18"/>
      <w:szCs w:val="18"/>
    </w:rPr>
  </w:style>
  <w:style w:type="character" w:customStyle="1" w:styleId="af">
    <w:name w:val="批注框文本 字符"/>
    <w:basedOn w:val="a5"/>
    <w:link w:val="ae"/>
    <w:uiPriority w:val="99"/>
    <w:semiHidden/>
    <w:rsid w:val="000676AA"/>
    <w:rPr>
      <w:sz w:val="18"/>
      <w:szCs w:val="18"/>
    </w:rPr>
  </w:style>
  <w:style w:type="character" w:styleId="af0">
    <w:name w:val="Placeholder Text"/>
    <w:basedOn w:val="a5"/>
    <w:uiPriority w:val="99"/>
    <w:semiHidden/>
    <w:rsid w:val="008B7E39"/>
    <w:rPr>
      <w:color w:val="808080"/>
    </w:rPr>
  </w:style>
  <w:style w:type="character" w:styleId="af1">
    <w:name w:val="footnote reference"/>
    <w:unhideWhenUsed/>
    <w:qFormat/>
    <w:rsid w:val="00CC22C3"/>
    <w:rPr>
      <w:rFonts w:ascii="Times New Roman" w:eastAsia="宋体" w:hAnsi="Times New Roman" w:cs="Times New Roman"/>
      <w:vertAlign w:val="superscript"/>
    </w:rPr>
  </w:style>
  <w:style w:type="paragraph" w:styleId="af2">
    <w:name w:val="footnote text"/>
    <w:basedOn w:val="a4"/>
    <w:link w:val="af3"/>
    <w:unhideWhenUsed/>
    <w:qFormat/>
    <w:rsid w:val="00CC22C3"/>
    <w:pPr>
      <w:snapToGrid w:val="0"/>
      <w:jc w:val="left"/>
    </w:pPr>
    <w:rPr>
      <w:rFonts w:ascii="Calibri" w:eastAsia="宋体" w:hAnsi="Calibri" w:cs="Times New Roman"/>
      <w:sz w:val="18"/>
      <w:szCs w:val="24"/>
    </w:rPr>
  </w:style>
  <w:style w:type="character" w:customStyle="1" w:styleId="af3">
    <w:name w:val="脚注文本 字符"/>
    <w:basedOn w:val="a5"/>
    <w:link w:val="af2"/>
    <w:qFormat/>
    <w:rsid w:val="00CC22C3"/>
    <w:rPr>
      <w:rFonts w:ascii="Calibri" w:eastAsia="宋体" w:hAnsi="Calibri" w:cs="Times New Roman"/>
      <w:sz w:val="18"/>
      <w:szCs w:val="24"/>
    </w:rPr>
  </w:style>
  <w:style w:type="character" w:customStyle="1" w:styleId="10">
    <w:name w:val="标题 1 字符"/>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75B68-6154-454F-B4B6-46E3C58EF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595</Words>
  <Characters>3394</Characters>
  <Application>Microsoft Office Word</Application>
  <DocSecurity>0</DocSecurity>
  <Lines>28</Lines>
  <Paragraphs>7</Paragraphs>
  <ScaleCrop>false</ScaleCrop>
  <Company>shenduxitong</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Donghm</dc:creator>
  <cp:lastModifiedBy>晁梦婷</cp:lastModifiedBy>
  <cp:revision>5</cp:revision>
  <dcterms:created xsi:type="dcterms:W3CDTF">2020-12-07T06:27:00Z</dcterms:created>
  <dcterms:modified xsi:type="dcterms:W3CDTF">2020-12-11T02:08:00Z</dcterms:modified>
</cp:coreProperties>
</file>