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DA" w:rsidRPr="00707C6B" w:rsidRDefault="000612DA">
      <w:pPr>
        <w:autoSpaceDE w:val="0"/>
        <w:autoSpaceDN w:val="0"/>
        <w:adjustRightInd w:val="0"/>
        <w:jc w:val="center"/>
        <w:rPr>
          <w:rFonts w:ascii="仿宋" w:eastAsia="仿宋" w:hAnsi="仿宋" w:cs="仿宋_GB2312"/>
          <w:kern w:val="0"/>
          <w:sz w:val="36"/>
          <w:szCs w:val="36"/>
        </w:rPr>
      </w:pPr>
    </w:p>
    <w:p w:rsidR="000612DA" w:rsidRPr="00707C6B" w:rsidRDefault="00EE0C11">
      <w:pPr>
        <w:autoSpaceDE w:val="0"/>
        <w:autoSpaceDN w:val="0"/>
        <w:adjustRightInd w:val="0"/>
        <w:jc w:val="center"/>
        <w:rPr>
          <w:rFonts w:ascii="仿宋" w:eastAsia="仿宋" w:hAnsi="仿宋" w:cs="仿宋_GB2312"/>
          <w:kern w:val="0"/>
          <w:sz w:val="36"/>
          <w:szCs w:val="36"/>
        </w:rPr>
      </w:pPr>
      <w:r w:rsidRPr="00707C6B">
        <w:rPr>
          <w:rFonts w:ascii="仿宋" w:eastAsia="仿宋" w:hAnsi="仿宋" w:cs="仿宋_GB2312" w:hint="eastAsia"/>
          <w:kern w:val="0"/>
          <w:sz w:val="36"/>
          <w:szCs w:val="36"/>
        </w:rPr>
        <w:t>广发</w:t>
      </w:r>
      <w:r w:rsidR="00C55D91">
        <w:rPr>
          <w:rFonts w:ascii="仿宋" w:eastAsia="仿宋" w:hAnsi="仿宋" w:cs="仿宋_GB2312" w:hint="eastAsia"/>
          <w:kern w:val="0"/>
          <w:sz w:val="36"/>
          <w:szCs w:val="36"/>
        </w:rPr>
        <w:t>医药健康混合</w:t>
      </w:r>
      <w:r w:rsidRPr="00707C6B">
        <w:rPr>
          <w:rFonts w:ascii="仿宋" w:eastAsia="仿宋" w:hAnsi="仿宋" w:cs="仿宋_GB2312" w:hint="eastAsia"/>
          <w:kern w:val="0"/>
          <w:sz w:val="36"/>
          <w:szCs w:val="36"/>
        </w:rPr>
        <w:t>型证券投资基金</w:t>
      </w:r>
      <w:r w:rsidR="00B40B0C" w:rsidRPr="00F10CB1">
        <w:rPr>
          <w:rFonts w:ascii="仿宋" w:eastAsia="仿宋" w:hAnsi="仿宋" w:cs="仿宋_GB2312" w:hint="eastAsia"/>
          <w:kern w:val="0"/>
          <w:sz w:val="36"/>
          <w:szCs w:val="36"/>
        </w:rPr>
        <w:t>（广发医药健康混合</w:t>
      </w:r>
      <w:r w:rsidR="00B40B0C">
        <w:rPr>
          <w:rFonts w:ascii="仿宋" w:eastAsia="仿宋" w:hAnsi="仿宋" w:cs="仿宋_GB2312"/>
          <w:kern w:val="0"/>
          <w:sz w:val="36"/>
          <w:szCs w:val="36"/>
        </w:rPr>
        <w:t>C</w:t>
      </w:r>
      <w:r w:rsidR="00B40B0C" w:rsidRPr="00F10CB1">
        <w:rPr>
          <w:rFonts w:ascii="仿宋" w:eastAsia="仿宋" w:hAnsi="仿宋" w:cs="仿宋_GB2312" w:hint="eastAsia"/>
          <w:kern w:val="0"/>
          <w:sz w:val="36"/>
          <w:szCs w:val="36"/>
        </w:rPr>
        <w:t>）</w:t>
      </w:r>
      <w:r w:rsidRPr="00707C6B">
        <w:rPr>
          <w:rFonts w:ascii="仿宋" w:eastAsia="仿宋" w:hAnsi="仿宋" w:cs="仿宋_GB2312" w:hint="eastAsia"/>
          <w:kern w:val="0"/>
          <w:sz w:val="36"/>
          <w:szCs w:val="36"/>
        </w:rPr>
        <w:t>基金产品资料概要</w:t>
      </w:r>
    </w:p>
    <w:p w:rsidR="000612DA" w:rsidRPr="006C32F0" w:rsidRDefault="00EE0C11">
      <w:pPr>
        <w:autoSpaceDE w:val="0"/>
        <w:autoSpaceDN w:val="0"/>
        <w:adjustRightInd w:val="0"/>
        <w:jc w:val="right"/>
        <w:rPr>
          <w:rFonts w:ascii="仿宋" w:eastAsia="仿宋" w:hAnsi="仿宋" w:cs="方正仿宋简体"/>
          <w:iCs/>
          <w:sz w:val="24"/>
          <w:szCs w:val="24"/>
        </w:rPr>
      </w:pPr>
      <w:r w:rsidRPr="00707C6B">
        <w:rPr>
          <w:rFonts w:ascii="仿宋" w:eastAsia="仿宋" w:hAnsi="仿宋" w:cs="方正仿宋简体" w:hint="eastAsia"/>
          <w:iCs/>
          <w:sz w:val="24"/>
          <w:szCs w:val="24"/>
        </w:rPr>
        <w:t>编制日</w:t>
      </w:r>
      <w:r w:rsidRPr="006C32F0">
        <w:rPr>
          <w:rFonts w:ascii="仿宋" w:eastAsia="仿宋" w:hAnsi="仿宋" w:cs="方正仿宋简体" w:hint="eastAsia"/>
          <w:iCs/>
          <w:sz w:val="24"/>
          <w:szCs w:val="24"/>
        </w:rPr>
        <w:t>期：2020年</w:t>
      </w:r>
      <w:r w:rsidR="006C32F0" w:rsidRPr="006C32F0">
        <w:rPr>
          <w:rFonts w:ascii="仿宋" w:eastAsia="仿宋" w:hAnsi="仿宋" w:cs="方正仿宋简体"/>
          <w:iCs/>
          <w:sz w:val="24"/>
          <w:szCs w:val="24"/>
        </w:rPr>
        <w:t>9</w:t>
      </w:r>
      <w:r w:rsidRPr="006C32F0">
        <w:rPr>
          <w:rFonts w:ascii="仿宋" w:eastAsia="仿宋" w:hAnsi="仿宋" w:cs="方正仿宋简体" w:hint="eastAsia"/>
          <w:iCs/>
          <w:sz w:val="24"/>
          <w:szCs w:val="24"/>
        </w:rPr>
        <w:t>月</w:t>
      </w:r>
      <w:r w:rsidR="006C32F0" w:rsidRPr="006C32F0">
        <w:rPr>
          <w:rFonts w:ascii="仿宋" w:eastAsia="仿宋" w:hAnsi="仿宋" w:cs="方正仿宋简体"/>
          <w:iCs/>
          <w:sz w:val="24"/>
          <w:szCs w:val="24"/>
        </w:rPr>
        <w:t>16</w:t>
      </w:r>
      <w:r w:rsidRPr="006C32F0">
        <w:rPr>
          <w:rFonts w:ascii="仿宋" w:eastAsia="仿宋" w:hAnsi="仿宋" w:cs="方正仿宋简体" w:hint="eastAsia"/>
          <w:iCs/>
          <w:sz w:val="24"/>
          <w:szCs w:val="24"/>
        </w:rPr>
        <w:t>日</w:t>
      </w:r>
    </w:p>
    <w:p w:rsidR="000612DA" w:rsidRPr="00707C6B" w:rsidRDefault="00707C6B">
      <w:pPr>
        <w:autoSpaceDE w:val="0"/>
        <w:autoSpaceDN w:val="0"/>
        <w:adjustRightInd w:val="0"/>
        <w:jc w:val="center"/>
        <w:rPr>
          <w:rFonts w:ascii="仿宋" w:eastAsia="仿宋" w:hAnsi="仿宋" w:cs="方正仿宋简体"/>
          <w:iCs/>
          <w:sz w:val="24"/>
          <w:szCs w:val="24"/>
        </w:rPr>
      </w:pPr>
      <w:r w:rsidRPr="006C32F0">
        <w:rPr>
          <w:rFonts w:ascii="仿宋" w:eastAsia="仿宋" w:hAnsi="仿宋" w:cs="方正仿宋简体" w:hint="eastAsia"/>
          <w:iCs/>
          <w:sz w:val="24"/>
          <w:szCs w:val="24"/>
        </w:rPr>
        <w:t xml:space="preserve"> </w:t>
      </w:r>
      <w:r w:rsidRPr="006C32F0">
        <w:rPr>
          <w:rFonts w:ascii="仿宋" w:eastAsia="仿宋" w:hAnsi="仿宋" w:cs="方正仿宋简体"/>
          <w:iCs/>
          <w:sz w:val="24"/>
          <w:szCs w:val="24"/>
        </w:rPr>
        <w:t xml:space="preserve">              </w:t>
      </w:r>
      <w:r w:rsidR="008A5B3B" w:rsidRPr="006C32F0">
        <w:rPr>
          <w:rFonts w:ascii="仿宋" w:eastAsia="仿宋" w:hAnsi="仿宋" w:cs="方正仿宋简体"/>
          <w:iCs/>
          <w:sz w:val="24"/>
          <w:szCs w:val="24"/>
        </w:rPr>
        <w:t xml:space="preserve">                              </w:t>
      </w:r>
      <w:r w:rsidR="0074523B" w:rsidRPr="006C32F0">
        <w:rPr>
          <w:rFonts w:ascii="仿宋" w:eastAsia="仿宋" w:hAnsi="仿宋" w:cs="方正仿宋简体"/>
          <w:iCs/>
          <w:sz w:val="24"/>
          <w:szCs w:val="24"/>
        </w:rPr>
        <w:t xml:space="preserve">            </w:t>
      </w:r>
      <w:r w:rsidR="00EE0C11" w:rsidRPr="006C32F0">
        <w:rPr>
          <w:rFonts w:ascii="仿宋" w:eastAsia="仿宋" w:hAnsi="仿宋" w:cs="方正仿宋简体" w:hint="eastAsia"/>
          <w:iCs/>
          <w:sz w:val="24"/>
          <w:szCs w:val="24"/>
        </w:rPr>
        <w:t>送出日期：2020年</w:t>
      </w:r>
      <w:r w:rsidR="006C32F0" w:rsidRPr="006C32F0">
        <w:rPr>
          <w:rFonts w:ascii="仿宋" w:eastAsia="仿宋" w:hAnsi="仿宋" w:cs="方正仿宋简体"/>
          <w:iCs/>
          <w:sz w:val="24"/>
          <w:szCs w:val="24"/>
        </w:rPr>
        <w:t>9</w:t>
      </w:r>
      <w:r w:rsidR="00EE0C11" w:rsidRPr="006C32F0">
        <w:rPr>
          <w:rFonts w:ascii="仿宋" w:eastAsia="仿宋" w:hAnsi="仿宋" w:cs="方正仿宋简体" w:hint="eastAsia"/>
          <w:iCs/>
          <w:sz w:val="24"/>
          <w:szCs w:val="24"/>
        </w:rPr>
        <w:t>月</w:t>
      </w:r>
      <w:r w:rsidR="006C32F0" w:rsidRPr="006C32F0">
        <w:rPr>
          <w:rFonts w:ascii="仿宋" w:eastAsia="仿宋" w:hAnsi="仿宋" w:cs="方正仿宋简体"/>
          <w:iCs/>
          <w:sz w:val="24"/>
          <w:szCs w:val="24"/>
        </w:rPr>
        <w:t>18</w:t>
      </w:r>
      <w:r w:rsidR="00EE0C11" w:rsidRPr="006C32F0">
        <w:rPr>
          <w:rFonts w:ascii="仿宋" w:eastAsia="仿宋" w:hAnsi="仿宋" w:cs="方正仿宋简体" w:hint="eastAsia"/>
          <w:iCs/>
          <w:sz w:val="24"/>
          <w:szCs w:val="24"/>
        </w:rPr>
        <w:t>日</w:t>
      </w:r>
    </w:p>
    <w:p w:rsidR="000612DA" w:rsidRPr="00707C6B" w:rsidRDefault="00EE0C11">
      <w:pPr>
        <w:autoSpaceDE w:val="0"/>
        <w:autoSpaceDN w:val="0"/>
        <w:adjustRightInd w:val="0"/>
        <w:spacing w:line="380" w:lineRule="exact"/>
        <w:jc w:val="left"/>
        <w:rPr>
          <w:rFonts w:ascii="仿宋" w:eastAsia="仿宋" w:hAnsi="仿宋" w:cs="黑体"/>
          <w:kern w:val="0"/>
          <w:sz w:val="24"/>
          <w:szCs w:val="24"/>
        </w:rPr>
      </w:pPr>
      <w:r w:rsidRPr="00707C6B">
        <w:rPr>
          <w:rFonts w:ascii="仿宋" w:eastAsia="仿宋" w:hAnsi="仿宋" w:cs="黑体" w:hint="eastAsia"/>
          <w:kern w:val="0"/>
          <w:sz w:val="24"/>
          <w:szCs w:val="24"/>
        </w:rPr>
        <w:t>本概要提供本基金的重要信息，是招募说明书的一部分。</w:t>
      </w:r>
    </w:p>
    <w:p w:rsidR="000612DA" w:rsidRDefault="00EE0C11">
      <w:pPr>
        <w:autoSpaceDE w:val="0"/>
        <w:autoSpaceDN w:val="0"/>
        <w:adjustRightInd w:val="0"/>
        <w:spacing w:line="380" w:lineRule="exact"/>
        <w:jc w:val="left"/>
        <w:rPr>
          <w:rFonts w:ascii="仿宋" w:eastAsia="仿宋" w:hAnsi="仿宋" w:cs="黑体"/>
          <w:kern w:val="0"/>
          <w:sz w:val="24"/>
          <w:szCs w:val="24"/>
        </w:rPr>
      </w:pPr>
      <w:proofErr w:type="gramStart"/>
      <w:r w:rsidRPr="00707C6B">
        <w:rPr>
          <w:rFonts w:ascii="仿宋" w:eastAsia="仿宋" w:hAnsi="仿宋" w:cs="黑体" w:hint="eastAsia"/>
          <w:kern w:val="0"/>
          <w:sz w:val="24"/>
          <w:szCs w:val="24"/>
        </w:rPr>
        <w:t>作出</w:t>
      </w:r>
      <w:proofErr w:type="gramEnd"/>
      <w:r w:rsidRPr="00707C6B">
        <w:rPr>
          <w:rFonts w:ascii="仿宋" w:eastAsia="仿宋" w:hAnsi="仿宋" w:cs="黑体" w:hint="eastAsia"/>
          <w:kern w:val="0"/>
          <w:sz w:val="24"/>
          <w:szCs w:val="24"/>
        </w:rPr>
        <w:t>投资决定前，请阅读完整的招募说明书等销售文件。</w:t>
      </w:r>
    </w:p>
    <w:p w:rsidR="00707C6B" w:rsidRPr="00707C6B" w:rsidRDefault="00707C6B">
      <w:pPr>
        <w:autoSpaceDE w:val="0"/>
        <w:autoSpaceDN w:val="0"/>
        <w:adjustRightInd w:val="0"/>
        <w:spacing w:line="380" w:lineRule="exact"/>
        <w:jc w:val="left"/>
        <w:rPr>
          <w:rFonts w:ascii="仿宋" w:eastAsia="仿宋" w:hAnsi="仿宋" w:cs="黑体"/>
          <w:kern w:val="0"/>
          <w:sz w:val="24"/>
          <w:szCs w:val="24"/>
        </w:rPr>
      </w:pPr>
    </w:p>
    <w:p w:rsidR="000612DA" w:rsidRPr="00707C6B" w:rsidRDefault="00EE0C11" w:rsidP="003D461D">
      <w:pPr>
        <w:numPr>
          <w:ilvl w:val="0"/>
          <w:numId w:val="10"/>
        </w:numPr>
        <w:spacing w:line="360" w:lineRule="auto"/>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产品概况</w:t>
      </w:r>
    </w:p>
    <w:tbl>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205"/>
        <w:gridCol w:w="2724"/>
        <w:gridCol w:w="1926"/>
        <w:gridCol w:w="2783"/>
      </w:tblGrid>
      <w:tr w:rsidR="000612DA" w:rsidRPr="00707C6B" w:rsidTr="00C55D91">
        <w:trPr>
          <w:trHeight w:val="227"/>
        </w:trPr>
        <w:tc>
          <w:tcPr>
            <w:tcW w:w="1144" w:type="pct"/>
            <w:vMerge w:val="restart"/>
            <w:vAlign w:val="center"/>
          </w:tcPr>
          <w:p w:rsidR="000612DA" w:rsidRPr="00B40B0C" w:rsidRDefault="00EE0C11">
            <w:pPr>
              <w:spacing w:line="280" w:lineRule="exact"/>
              <w:rPr>
                <w:rFonts w:ascii="仿宋" w:eastAsia="仿宋" w:hAnsi="仿宋" w:cs="方正仿宋简体"/>
                <w:b/>
                <w:iCs/>
              </w:rPr>
            </w:pPr>
            <w:r w:rsidRPr="00B40B0C">
              <w:rPr>
                <w:rFonts w:ascii="仿宋" w:eastAsia="仿宋" w:hAnsi="仿宋" w:cs="方正仿宋简体" w:hint="eastAsia"/>
                <w:b/>
                <w:iCs/>
              </w:rPr>
              <w:t>基金简称</w:t>
            </w:r>
          </w:p>
        </w:tc>
        <w:tc>
          <w:tcPr>
            <w:tcW w:w="1413" w:type="pct"/>
            <w:vMerge w:val="restart"/>
            <w:vAlign w:val="center"/>
          </w:tcPr>
          <w:p w:rsidR="000612DA" w:rsidRPr="00B40B0C" w:rsidRDefault="00B40B0C" w:rsidP="00BE1CBA">
            <w:pPr>
              <w:spacing w:line="280" w:lineRule="exact"/>
              <w:rPr>
                <w:rFonts w:ascii="仿宋" w:eastAsia="仿宋" w:hAnsi="仿宋" w:cs="方正仿宋简体"/>
                <w:iCs/>
              </w:rPr>
            </w:pPr>
            <w:r w:rsidRPr="00B40B0C">
              <w:rPr>
                <w:rFonts w:ascii="仿宋" w:eastAsia="仿宋" w:hAnsi="仿宋" w:cs="方正仿宋简体" w:hint="eastAsia"/>
                <w:iCs/>
              </w:rPr>
              <w:t>广发医药健康混合</w:t>
            </w:r>
          </w:p>
        </w:tc>
        <w:tc>
          <w:tcPr>
            <w:tcW w:w="999" w:type="pct"/>
            <w:vMerge w:val="restart"/>
            <w:vAlign w:val="center"/>
          </w:tcPr>
          <w:p w:rsidR="000612DA" w:rsidRPr="00B40B0C" w:rsidRDefault="00EE0C11">
            <w:pPr>
              <w:spacing w:line="280" w:lineRule="exact"/>
              <w:rPr>
                <w:rFonts w:ascii="仿宋" w:eastAsia="仿宋" w:hAnsi="仿宋" w:cs="方正仿宋简体"/>
                <w:b/>
                <w:iCs/>
              </w:rPr>
            </w:pPr>
            <w:r w:rsidRPr="00B40B0C">
              <w:rPr>
                <w:rFonts w:ascii="仿宋" w:eastAsia="仿宋" w:hAnsi="仿宋" w:cs="方正仿宋简体" w:hint="eastAsia"/>
                <w:b/>
                <w:iCs/>
              </w:rPr>
              <w:t>基金代码</w:t>
            </w:r>
          </w:p>
        </w:tc>
        <w:tc>
          <w:tcPr>
            <w:tcW w:w="1444" w:type="pct"/>
            <w:tcBorders>
              <w:bottom w:val="dashSmallGap" w:sz="4" w:space="0" w:color="A6A6A6" w:themeColor="background1" w:themeShade="A6"/>
            </w:tcBorders>
            <w:vAlign w:val="center"/>
          </w:tcPr>
          <w:p w:rsidR="000612DA" w:rsidRPr="00B40B0C" w:rsidRDefault="00B40B0C">
            <w:pPr>
              <w:spacing w:line="280" w:lineRule="exact"/>
              <w:rPr>
                <w:rFonts w:ascii="仿宋" w:eastAsia="仿宋" w:hAnsi="仿宋" w:cs="方正仿宋简体"/>
                <w:iCs/>
              </w:rPr>
            </w:pPr>
            <w:r w:rsidRPr="00B40B0C">
              <w:rPr>
                <w:rFonts w:ascii="仿宋" w:eastAsia="仿宋" w:hAnsi="仿宋" w:cs="方正仿宋简体"/>
                <w:iCs/>
              </w:rPr>
              <w:t>010110</w:t>
            </w:r>
          </w:p>
        </w:tc>
      </w:tr>
      <w:tr w:rsidR="00C55D91" w:rsidRPr="00707C6B" w:rsidTr="00C55D91">
        <w:trPr>
          <w:trHeight w:val="227"/>
        </w:trPr>
        <w:tc>
          <w:tcPr>
            <w:tcW w:w="1144" w:type="pct"/>
            <w:vAlign w:val="center"/>
          </w:tcPr>
          <w:p w:rsidR="00C55D91" w:rsidRPr="00B40B0C" w:rsidRDefault="00C55D91">
            <w:pPr>
              <w:spacing w:line="280" w:lineRule="exact"/>
              <w:rPr>
                <w:rFonts w:ascii="仿宋" w:eastAsia="仿宋" w:hAnsi="仿宋" w:cs="方正仿宋简体"/>
                <w:b/>
                <w:iCs/>
              </w:rPr>
            </w:pPr>
            <w:r w:rsidRPr="00B40B0C">
              <w:rPr>
                <w:rFonts w:ascii="仿宋" w:eastAsia="仿宋" w:hAnsi="仿宋" w:cs="方正仿宋简体" w:hint="eastAsia"/>
                <w:b/>
                <w:iCs/>
              </w:rPr>
              <w:t>下属基金简称</w:t>
            </w:r>
          </w:p>
        </w:tc>
        <w:tc>
          <w:tcPr>
            <w:tcW w:w="1413" w:type="pct"/>
            <w:vAlign w:val="center"/>
          </w:tcPr>
          <w:p w:rsidR="00C55D91" w:rsidRPr="00B40B0C" w:rsidRDefault="00B40B0C" w:rsidP="00BE1CBA">
            <w:pPr>
              <w:spacing w:line="280" w:lineRule="exact"/>
              <w:rPr>
                <w:rFonts w:ascii="仿宋" w:eastAsia="仿宋" w:hAnsi="仿宋" w:cs="方正仿宋简体"/>
                <w:iCs/>
              </w:rPr>
            </w:pPr>
            <w:r w:rsidRPr="00B40B0C">
              <w:rPr>
                <w:rFonts w:ascii="仿宋" w:eastAsia="仿宋" w:hAnsi="仿宋" w:cs="方正仿宋简体" w:hint="eastAsia"/>
                <w:iCs/>
              </w:rPr>
              <w:t>广发医药健康混合C</w:t>
            </w:r>
          </w:p>
        </w:tc>
        <w:tc>
          <w:tcPr>
            <w:tcW w:w="999" w:type="pct"/>
            <w:vAlign w:val="center"/>
          </w:tcPr>
          <w:p w:rsidR="00C55D91" w:rsidRPr="00B40B0C" w:rsidRDefault="00C55D91">
            <w:pPr>
              <w:spacing w:line="280" w:lineRule="exact"/>
              <w:rPr>
                <w:rFonts w:ascii="仿宋" w:eastAsia="仿宋" w:hAnsi="仿宋" w:cs="方正仿宋简体"/>
                <w:b/>
                <w:iCs/>
              </w:rPr>
            </w:pPr>
            <w:r w:rsidRPr="00B40B0C">
              <w:rPr>
                <w:rFonts w:ascii="仿宋" w:eastAsia="仿宋" w:hAnsi="仿宋" w:cs="方正仿宋简体" w:hint="eastAsia"/>
                <w:b/>
                <w:iCs/>
              </w:rPr>
              <w:t>下属基金代码</w:t>
            </w:r>
          </w:p>
        </w:tc>
        <w:tc>
          <w:tcPr>
            <w:tcW w:w="1444" w:type="pct"/>
            <w:tcBorders>
              <w:bottom w:val="dashSmallGap" w:sz="4" w:space="0" w:color="A6A6A6" w:themeColor="background1" w:themeShade="A6"/>
            </w:tcBorders>
            <w:vAlign w:val="center"/>
          </w:tcPr>
          <w:p w:rsidR="00C55D91" w:rsidRPr="00B40B0C" w:rsidRDefault="00B40B0C">
            <w:pPr>
              <w:spacing w:line="280" w:lineRule="exact"/>
              <w:rPr>
                <w:rFonts w:ascii="仿宋" w:eastAsia="仿宋" w:hAnsi="仿宋" w:cs="方正仿宋简体"/>
                <w:iCs/>
              </w:rPr>
            </w:pPr>
            <w:r w:rsidRPr="00B40B0C">
              <w:rPr>
                <w:rFonts w:ascii="仿宋" w:eastAsia="仿宋" w:hAnsi="仿宋" w:cs="方正仿宋简体"/>
                <w:iCs/>
              </w:rPr>
              <w:t>010111</w:t>
            </w:r>
          </w:p>
        </w:tc>
      </w:tr>
      <w:tr w:rsidR="000612DA" w:rsidRPr="00707C6B" w:rsidTr="00C55D91">
        <w:trPr>
          <w:trHeight w:val="227"/>
        </w:trPr>
        <w:tc>
          <w:tcPr>
            <w:tcW w:w="1144" w:type="pct"/>
            <w:vAlign w:val="center"/>
          </w:tcPr>
          <w:p w:rsidR="000612DA" w:rsidRPr="00B40B0C" w:rsidRDefault="00EE0C11">
            <w:pPr>
              <w:spacing w:line="280" w:lineRule="exact"/>
              <w:rPr>
                <w:rFonts w:ascii="仿宋" w:eastAsia="仿宋" w:hAnsi="仿宋" w:cs="方正仿宋简体"/>
                <w:b/>
                <w:iCs/>
              </w:rPr>
            </w:pPr>
            <w:r w:rsidRPr="00B40B0C">
              <w:rPr>
                <w:rFonts w:ascii="仿宋" w:eastAsia="仿宋" w:hAnsi="仿宋" w:cs="方正仿宋简体" w:hint="eastAsia"/>
                <w:b/>
                <w:iCs/>
              </w:rPr>
              <w:t>基金管理人</w:t>
            </w:r>
          </w:p>
        </w:tc>
        <w:tc>
          <w:tcPr>
            <w:tcW w:w="1413" w:type="pct"/>
            <w:tcBorders>
              <w:top w:val="dashSmallGap" w:sz="4" w:space="0" w:color="A6A6A6" w:themeColor="background1" w:themeShade="A6"/>
            </w:tcBorders>
            <w:vAlign w:val="center"/>
          </w:tcPr>
          <w:p w:rsidR="000612DA" w:rsidRPr="00B40B0C" w:rsidRDefault="00EE0C11" w:rsidP="00BE1CBA">
            <w:pPr>
              <w:spacing w:line="280" w:lineRule="exact"/>
              <w:rPr>
                <w:rFonts w:ascii="仿宋" w:eastAsia="仿宋" w:hAnsi="仿宋" w:cs="方正仿宋简体"/>
                <w:iCs/>
              </w:rPr>
            </w:pPr>
            <w:r w:rsidRPr="00B40B0C">
              <w:rPr>
                <w:rFonts w:ascii="仿宋" w:eastAsia="仿宋" w:hAnsi="仿宋" w:cs="方正仿宋简体" w:hint="eastAsia"/>
                <w:iCs/>
              </w:rPr>
              <w:t>广发基金管理有限公司</w:t>
            </w:r>
          </w:p>
        </w:tc>
        <w:tc>
          <w:tcPr>
            <w:tcW w:w="999" w:type="pct"/>
            <w:vAlign w:val="center"/>
          </w:tcPr>
          <w:p w:rsidR="000612DA" w:rsidRPr="00B40B0C" w:rsidRDefault="00EE0C11">
            <w:pPr>
              <w:spacing w:line="280" w:lineRule="exact"/>
              <w:rPr>
                <w:rFonts w:ascii="仿宋" w:eastAsia="仿宋" w:hAnsi="仿宋" w:cs="方正仿宋简体"/>
                <w:b/>
                <w:iCs/>
              </w:rPr>
            </w:pPr>
            <w:r w:rsidRPr="00B40B0C">
              <w:rPr>
                <w:rFonts w:ascii="仿宋" w:eastAsia="仿宋" w:hAnsi="仿宋" w:cs="方正仿宋简体" w:hint="eastAsia"/>
                <w:b/>
                <w:iCs/>
              </w:rPr>
              <w:t>基金托管人</w:t>
            </w:r>
          </w:p>
        </w:tc>
        <w:tc>
          <w:tcPr>
            <w:tcW w:w="1444" w:type="pct"/>
            <w:tcBorders>
              <w:top w:val="dashSmallGap" w:sz="4" w:space="0" w:color="A6A6A6" w:themeColor="background1" w:themeShade="A6"/>
            </w:tcBorders>
            <w:vAlign w:val="center"/>
          </w:tcPr>
          <w:p w:rsidR="000612DA" w:rsidRPr="00B40B0C" w:rsidRDefault="00EE0C11">
            <w:pPr>
              <w:spacing w:line="280" w:lineRule="exact"/>
              <w:rPr>
                <w:rFonts w:ascii="仿宋" w:eastAsia="仿宋" w:hAnsi="仿宋" w:cs="方正仿宋简体"/>
                <w:iCs/>
              </w:rPr>
            </w:pPr>
            <w:r w:rsidRPr="00B40B0C">
              <w:rPr>
                <w:rFonts w:ascii="仿宋" w:eastAsia="仿宋" w:hAnsi="仿宋" w:cs="方正仿宋简体" w:hint="eastAsia"/>
                <w:iCs/>
              </w:rPr>
              <w:t xml:space="preserve">中国银行股份有限公司 </w:t>
            </w:r>
          </w:p>
        </w:tc>
      </w:tr>
      <w:tr w:rsidR="00C55D91" w:rsidRPr="00707C6B" w:rsidTr="00C55D91">
        <w:trPr>
          <w:trHeight w:val="227"/>
        </w:trPr>
        <w:tc>
          <w:tcPr>
            <w:tcW w:w="1144" w:type="pct"/>
            <w:vAlign w:val="center"/>
          </w:tcPr>
          <w:p w:rsidR="00C55D91" w:rsidRPr="00B40B0C" w:rsidRDefault="00C55D91">
            <w:pPr>
              <w:spacing w:line="280" w:lineRule="exact"/>
              <w:rPr>
                <w:rFonts w:ascii="仿宋" w:eastAsia="仿宋" w:hAnsi="仿宋" w:cs="方正仿宋简体"/>
                <w:b/>
                <w:iCs/>
              </w:rPr>
            </w:pPr>
            <w:r w:rsidRPr="00B40B0C">
              <w:rPr>
                <w:rFonts w:ascii="仿宋" w:eastAsia="仿宋" w:hAnsi="仿宋" w:cs="方正仿宋简体" w:hint="eastAsia"/>
                <w:b/>
                <w:iCs/>
              </w:rPr>
              <w:t>基金合同生效日</w:t>
            </w:r>
          </w:p>
        </w:tc>
        <w:tc>
          <w:tcPr>
            <w:tcW w:w="1413" w:type="pct"/>
            <w:tcBorders>
              <w:top w:val="dashSmallGap" w:sz="4" w:space="0" w:color="A6A6A6" w:themeColor="background1" w:themeShade="A6"/>
            </w:tcBorders>
            <w:vAlign w:val="center"/>
          </w:tcPr>
          <w:p w:rsidR="00C55D91" w:rsidRPr="00B40B0C" w:rsidRDefault="00B40B0C" w:rsidP="00BE1CBA">
            <w:pPr>
              <w:spacing w:line="280" w:lineRule="exact"/>
              <w:rPr>
                <w:rFonts w:ascii="仿宋" w:eastAsia="仿宋" w:hAnsi="仿宋" w:cs="方正仿宋简体"/>
                <w:iCs/>
              </w:rPr>
            </w:pPr>
            <w:r w:rsidRPr="00B40B0C">
              <w:rPr>
                <w:rFonts w:ascii="仿宋" w:eastAsia="仿宋" w:hAnsi="仿宋" w:cs="方正仿宋简体" w:hint="eastAsia"/>
                <w:iCs/>
              </w:rPr>
              <w:t>-</w:t>
            </w:r>
          </w:p>
        </w:tc>
        <w:tc>
          <w:tcPr>
            <w:tcW w:w="999" w:type="pct"/>
            <w:vAlign w:val="center"/>
          </w:tcPr>
          <w:p w:rsidR="00C55D91" w:rsidRPr="00B40B0C" w:rsidRDefault="00C55D91">
            <w:pPr>
              <w:spacing w:line="280" w:lineRule="exact"/>
              <w:rPr>
                <w:rFonts w:ascii="仿宋" w:eastAsia="仿宋" w:hAnsi="仿宋" w:cs="方正仿宋简体"/>
                <w:b/>
                <w:iCs/>
              </w:rPr>
            </w:pPr>
          </w:p>
        </w:tc>
        <w:tc>
          <w:tcPr>
            <w:tcW w:w="1444" w:type="pct"/>
            <w:tcBorders>
              <w:top w:val="dashSmallGap" w:sz="4" w:space="0" w:color="A6A6A6" w:themeColor="background1" w:themeShade="A6"/>
            </w:tcBorders>
            <w:vAlign w:val="center"/>
          </w:tcPr>
          <w:p w:rsidR="00C55D91" w:rsidRPr="00B40B0C" w:rsidRDefault="00C55D91">
            <w:pPr>
              <w:spacing w:line="280" w:lineRule="exact"/>
              <w:rPr>
                <w:rFonts w:ascii="仿宋" w:eastAsia="仿宋" w:hAnsi="仿宋" w:cs="方正仿宋简体"/>
                <w:iCs/>
              </w:rPr>
            </w:pPr>
          </w:p>
        </w:tc>
      </w:tr>
      <w:tr w:rsidR="000612DA" w:rsidRPr="00707C6B" w:rsidTr="00C55D91">
        <w:trPr>
          <w:trHeight w:val="227"/>
        </w:trPr>
        <w:tc>
          <w:tcPr>
            <w:tcW w:w="1144" w:type="pct"/>
            <w:vAlign w:val="center"/>
          </w:tcPr>
          <w:p w:rsidR="000612DA" w:rsidRPr="00B40B0C" w:rsidRDefault="00EE0C11">
            <w:pPr>
              <w:spacing w:line="280" w:lineRule="exact"/>
              <w:rPr>
                <w:rFonts w:ascii="仿宋" w:eastAsia="仿宋" w:hAnsi="仿宋" w:cs="方正仿宋简体"/>
                <w:b/>
                <w:iCs/>
              </w:rPr>
            </w:pPr>
            <w:r w:rsidRPr="00B40B0C">
              <w:rPr>
                <w:rFonts w:ascii="仿宋" w:eastAsia="仿宋" w:hAnsi="仿宋" w:cs="方正仿宋简体" w:hint="eastAsia"/>
                <w:b/>
                <w:iCs/>
              </w:rPr>
              <w:t>基金类型</w:t>
            </w:r>
          </w:p>
        </w:tc>
        <w:tc>
          <w:tcPr>
            <w:tcW w:w="1413" w:type="pct"/>
            <w:vAlign w:val="center"/>
          </w:tcPr>
          <w:p w:rsidR="000612DA" w:rsidRPr="00B40B0C" w:rsidRDefault="00C55D91">
            <w:pPr>
              <w:spacing w:line="280" w:lineRule="exact"/>
              <w:rPr>
                <w:rFonts w:ascii="仿宋" w:eastAsia="仿宋" w:hAnsi="仿宋" w:cs="方正仿宋简体"/>
                <w:iCs/>
              </w:rPr>
            </w:pPr>
            <w:r w:rsidRPr="00B40B0C">
              <w:rPr>
                <w:rFonts w:ascii="仿宋" w:eastAsia="仿宋" w:hAnsi="仿宋" w:cs="方正仿宋简体" w:hint="eastAsia"/>
                <w:iCs/>
              </w:rPr>
              <w:t>混合</w:t>
            </w:r>
            <w:r w:rsidR="00EE0C11" w:rsidRPr="00B40B0C">
              <w:rPr>
                <w:rFonts w:ascii="仿宋" w:eastAsia="仿宋" w:hAnsi="仿宋" w:cs="方正仿宋简体" w:hint="eastAsia"/>
                <w:iCs/>
              </w:rPr>
              <w:t>型</w:t>
            </w:r>
          </w:p>
        </w:tc>
        <w:tc>
          <w:tcPr>
            <w:tcW w:w="999" w:type="pct"/>
            <w:vAlign w:val="center"/>
          </w:tcPr>
          <w:p w:rsidR="000612DA" w:rsidRPr="00B40B0C" w:rsidRDefault="00EE0C11">
            <w:pPr>
              <w:spacing w:line="280" w:lineRule="exact"/>
              <w:rPr>
                <w:rFonts w:ascii="仿宋" w:eastAsia="仿宋" w:hAnsi="仿宋" w:cs="方正仿宋简体"/>
                <w:b/>
                <w:iCs/>
              </w:rPr>
            </w:pPr>
            <w:r w:rsidRPr="00B40B0C">
              <w:rPr>
                <w:rFonts w:ascii="仿宋" w:eastAsia="仿宋" w:hAnsi="仿宋" w:cs="方正仿宋简体" w:hint="eastAsia"/>
                <w:b/>
                <w:iCs/>
              </w:rPr>
              <w:t>交易币种</w:t>
            </w:r>
          </w:p>
        </w:tc>
        <w:tc>
          <w:tcPr>
            <w:tcW w:w="1444" w:type="pct"/>
            <w:tcBorders>
              <w:top w:val="dashSmallGap" w:sz="4" w:space="0" w:color="A6A6A6" w:themeColor="background1" w:themeShade="A6"/>
            </w:tcBorders>
            <w:vAlign w:val="center"/>
          </w:tcPr>
          <w:p w:rsidR="000612DA" w:rsidRPr="00B40B0C" w:rsidRDefault="00EE0C11">
            <w:pPr>
              <w:spacing w:line="280" w:lineRule="exact"/>
              <w:rPr>
                <w:rFonts w:ascii="仿宋" w:eastAsia="仿宋" w:hAnsi="仿宋" w:cs="方正仿宋简体"/>
                <w:iCs/>
              </w:rPr>
            </w:pPr>
            <w:r w:rsidRPr="00B40B0C">
              <w:rPr>
                <w:rFonts w:ascii="仿宋" w:eastAsia="仿宋" w:hAnsi="仿宋" w:cs="方正仿宋简体" w:hint="eastAsia"/>
                <w:iCs/>
              </w:rPr>
              <w:t>人民币</w:t>
            </w:r>
          </w:p>
        </w:tc>
      </w:tr>
      <w:tr w:rsidR="000612DA" w:rsidRPr="00707C6B" w:rsidTr="00C55D91">
        <w:trPr>
          <w:trHeight w:val="227"/>
        </w:trPr>
        <w:tc>
          <w:tcPr>
            <w:tcW w:w="1144" w:type="pct"/>
            <w:vAlign w:val="center"/>
          </w:tcPr>
          <w:p w:rsidR="000612DA" w:rsidRPr="00B40B0C" w:rsidRDefault="00EE0C11">
            <w:pPr>
              <w:spacing w:line="280" w:lineRule="exact"/>
              <w:rPr>
                <w:rFonts w:ascii="仿宋" w:eastAsia="仿宋" w:hAnsi="仿宋" w:cs="方正仿宋简体"/>
                <w:b/>
                <w:iCs/>
              </w:rPr>
            </w:pPr>
            <w:r w:rsidRPr="00B40B0C">
              <w:rPr>
                <w:rFonts w:ascii="仿宋" w:eastAsia="仿宋" w:hAnsi="仿宋" w:cs="方正仿宋简体" w:hint="eastAsia"/>
                <w:b/>
                <w:iCs/>
              </w:rPr>
              <w:t>运作方式</w:t>
            </w:r>
          </w:p>
        </w:tc>
        <w:tc>
          <w:tcPr>
            <w:tcW w:w="1413" w:type="pct"/>
            <w:vAlign w:val="center"/>
          </w:tcPr>
          <w:p w:rsidR="000612DA" w:rsidRPr="00B40B0C" w:rsidRDefault="00EE0C11">
            <w:pPr>
              <w:spacing w:line="280" w:lineRule="exact"/>
              <w:rPr>
                <w:rFonts w:ascii="仿宋" w:eastAsia="仿宋" w:hAnsi="仿宋" w:cs="方正仿宋简体"/>
                <w:iCs/>
              </w:rPr>
            </w:pPr>
            <w:r w:rsidRPr="00B40B0C">
              <w:rPr>
                <w:rFonts w:ascii="仿宋" w:eastAsia="仿宋" w:hAnsi="仿宋" w:cs="方正仿宋简体" w:hint="eastAsia"/>
                <w:iCs/>
              </w:rPr>
              <w:t>普通开放式</w:t>
            </w:r>
          </w:p>
        </w:tc>
        <w:tc>
          <w:tcPr>
            <w:tcW w:w="999" w:type="pct"/>
            <w:vAlign w:val="center"/>
          </w:tcPr>
          <w:p w:rsidR="000612DA" w:rsidRPr="00B40B0C" w:rsidRDefault="00EE0C11">
            <w:pPr>
              <w:spacing w:line="280" w:lineRule="exact"/>
              <w:rPr>
                <w:rFonts w:ascii="仿宋" w:eastAsia="仿宋" w:hAnsi="仿宋" w:cs="方正仿宋简体"/>
                <w:b/>
                <w:iCs/>
              </w:rPr>
            </w:pPr>
            <w:r w:rsidRPr="00B40B0C">
              <w:rPr>
                <w:rFonts w:ascii="仿宋" w:eastAsia="仿宋" w:hAnsi="仿宋" w:cs="方正仿宋简体" w:hint="eastAsia"/>
                <w:b/>
                <w:iCs/>
              </w:rPr>
              <w:t>开放频率</w:t>
            </w:r>
          </w:p>
        </w:tc>
        <w:tc>
          <w:tcPr>
            <w:tcW w:w="1444" w:type="pct"/>
            <w:vAlign w:val="center"/>
          </w:tcPr>
          <w:p w:rsidR="000612DA" w:rsidRPr="00B40B0C" w:rsidRDefault="00EE0C11">
            <w:pPr>
              <w:spacing w:line="280" w:lineRule="exact"/>
              <w:rPr>
                <w:rFonts w:ascii="仿宋" w:eastAsia="仿宋" w:hAnsi="仿宋" w:cs="方正仿宋简体"/>
                <w:iCs/>
              </w:rPr>
            </w:pPr>
            <w:r w:rsidRPr="00B40B0C">
              <w:rPr>
                <w:rFonts w:ascii="仿宋" w:eastAsia="仿宋" w:hAnsi="仿宋" w:cs="方正仿宋简体" w:hint="eastAsia"/>
                <w:iCs/>
              </w:rPr>
              <w:t>每个开放日</w:t>
            </w:r>
          </w:p>
        </w:tc>
      </w:tr>
      <w:tr w:rsidR="000612DA" w:rsidRPr="00707C6B" w:rsidTr="00C55D91">
        <w:trPr>
          <w:trHeight w:val="227"/>
        </w:trPr>
        <w:tc>
          <w:tcPr>
            <w:tcW w:w="1144" w:type="pct"/>
            <w:vMerge w:val="restart"/>
            <w:vAlign w:val="center"/>
          </w:tcPr>
          <w:p w:rsidR="000612DA" w:rsidRPr="00B40B0C" w:rsidRDefault="00EE0C11">
            <w:pPr>
              <w:spacing w:line="280" w:lineRule="exact"/>
              <w:rPr>
                <w:rFonts w:ascii="仿宋" w:eastAsia="仿宋" w:hAnsi="仿宋" w:cs="方正仿宋简体"/>
                <w:b/>
                <w:iCs/>
              </w:rPr>
            </w:pPr>
            <w:r w:rsidRPr="00B40B0C">
              <w:rPr>
                <w:rFonts w:ascii="仿宋" w:eastAsia="仿宋" w:hAnsi="仿宋" w:cs="方正仿宋简体" w:hint="eastAsia"/>
                <w:b/>
                <w:iCs/>
              </w:rPr>
              <w:t>基金经理</w:t>
            </w:r>
          </w:p>
        </w:tc>
        <w:tc>
          <w:tcPr>
            <w:tcW w:w="1413" w:type="pct"/>
            <w:vMerge w:val="restart"/>
            <w:vAlign w:val="center"/>
          </w:tcPr>
          <w:p w:rsidR="000612DA" w:rsidRPr="00B40B0C" w:rsidRDefault="00EE0C11">
            <w:pPr>
              <w:spacing w:line="280" w:lineRule="exact"/>
              <w:rPr>
                <w:rFonts w:ascii="仿宋" w:eastAsia="仿宋" w:hAnsi="仿宋" w:cs="方正仿宋简体"/>
                <w:iCs/>
              </w:rPr>
            </w:pPr>
            <w:r w:rsidRPr="00B40B0C">
              <w:rPr>
                <w:rFonts w:ascii="仿宋" w:eastAsia="仿宋" w:hAnsi="仿宋" w:cs="方正仿宋简体"/>
                <w:iCs/>
              </w:rPr>
              <w:t>吴兴武</w:t>
            </w:r>
          </w:p>
        </w:tc>
        <w:tc>
          <w:tcPr>
            <w:tcW w:w="999" w:type="pct"/>
            <w:vAlign w:val="center"/>
          </w:tcPr>
          <w:p w:rsidR="000612DA" w:rsidRPr="00B40B0C" w:rsidRDefault="00EE0C11">
            <w:pPr>
              <w:spacing w:line="280" w:lineRule="exact"/>
              <w:rPr>
                <w:rFonts w:ascii="仿宋" w:eastAsia="仿宋" w:hAnsi="仿宋" w:cs="方正仿宋简体"/>
                <w:b/>
                <w:iCs/>
              </w:rPr>
            </w:pPr>
            <w:r w:rsidRPr="00B40B0C">
              <w:rPr>
                <w:rFonts w:ascii="仿宋" w:eastAsia="仿宋" w:hAnsi="仿宋" w:cs="方正仿宋简体" w:hint="eastAsia"/>
                <w:b/>
                <w:iCs/>
              </w:rPr>
              <w:t>开始担任本</w:t>
            </w:r>
            <w:proofErr w:type="gramStart"/>
            <w:r w:rsidRPr="00B40B0C">
              <w:rPr>
                <w:rFonts w:ascii="仿宋" w:eastAsia="仿宋" w:hAnsi="仿宋" w:cs="方正仿宋简体" w:hint="eastAsia"/>
                <w:b/>
                <w:iCs/>
              </w:rPr>
              <w:t>基金基金</w:t>
            </w:r>
            <w:proofErr w:type="gramEnd"/>
            <w:r w:rsidRPr="00B40B0C">
              <w:rPr>
                <w:rFonts w:ascii="仿宋" w:eastAsia="仿宋" w:hAnsi="仿宋" w:cs="方正仿宋简体" w:hint="eastAsia"/>
                <w:b/>
                <w:iCs/>
              </w:rPr>
              <w:t>经理的日期</w:t>
            </w:r>
          </w:p>
        </w:tc>
        <w:tc>
          <w:tcPr>
            <w:tcW w:w="1444" w:type="pct"/>
            <w:vAlign w:val="center"/>
          </w:tcPr>
          <w:p w:rsidR="000612DA" w:rsidRPr="00B40B0C" w:rsidRDefault="00B40B0C" w:rsidP="00C55D91">
            <w:pPr>
              <w:spacing w:line="280" w:lineRule="exact"/>
              <w:rPr>
                <w:rFonts w:ascii="仿宋" w:eastAsia="仿宋" w:hAnsi="仿宋" w:cs="方正仿宋简体"/>
                <w:iCs/>
              </w:rPr>
            </w:pPr>
            <w:r w:rsidRPr="00B40B0C">
              <w:rPr>
                <w:rFonts w:ascii="仿宋" w:eastAsia="仿宋" w:hAnsi="仿宋" w:cs="方正仿宋简体" w:hint="eastAsia"/>
                <w:iCs/>
              </w:rPr>
              <w:t>-</w:t>
            </w:r>
          </w:p>
        </w:tc>
      </w:tr>
      <w:tr w:rsidR="000612DA" w:rsidRPr="00707C6B" w:rsidTr="00C55D91">
        <w:trPr>
          <w:trHeight w:val="227"/>
        </w:trPr>
        <w:tc>
          <w:tcPr>
            <w:tcW w:w="1144" w:type="pct"/>
            <w:vMerge/>
            <w:vAlign w:val="center"/>
          </w:tcPr>
          <w:p w:rsidR="000612DA" w:rsidRPr="00B40B0C" w:rsidRDefault="000612DA">
            <w:pPr>
              <w:spacing w:line="280" w:lineRule="exact"/>
              <w:rPr>
                <w:rFonts w:ascii="仿宋" w:eastAsia="仿宋" w:hAnsi="仿宋" w:cs="方正仿宋简体"/>
                <w:b/>
                <w:iCs/>
              </w:rPr>
            </w:pPr>
          </w:p>
        </w:tc>
        <w:tc>
          <w:tcPr>
            <w:tcW w:w="1413" w:type="pct"/>
            <w:vMerge/>
            <w:vAlign w:val="center"/>
          </w:tcPr>
          <w:p w:rsidR="000612DA" w:rsidRPr="00B40B0C" w:rsidRDefault="000612DA">
            <w:pPr>
              <w:spacing w:line="280" w:lineRule="exact"/>
              <w:rPr>
                <w:rFonts w:ascii="仿宋" w:eastAsia="仿宋" w:hAnsi="仿宋" w:cs="方正仿宋简体"/>
                <w:b/>
                <w:iCs/>
              </w:rPr>
            </w:pPr>
          </w:p>
        </w:tc>
        <w:tc>
          <w:tcPr>
            <w:tcW w:w="999" w:type="pct"/>
            <w:vAlign w:val="center"/>
          </w:tcPr>
          <w:p w:rsidR="000612DA" w:rsidRPr="00B40B0C" w:rsidRDefault="00EE0C11">
            <w:pPr>
              <w:spacing w:line="280" w:lineRule="exact"/>
              <w:rPr>
                <w:rFonts w:ascii="仿宋" w:eastAsia="仿宋" w:hAnsi="仿宋" w:cs="方正仿宋简体"/>
                <w:b/>
                <w:iCs/>
              </w:rPr>
            </w:pPr>
            <w:r w:rsidRPr="00B40B0C">
              <w:rPr>
                <w:rFonts w:ascii="仿宋" w:eastAsia="仿宋" w:hAnsi="仿宋" w:cs="方正仿宋简体" w:hint="eastAsia"/>
                <w:b/>
                <w:iCs/>
              </w:rPr>
              <w:t>证券从业日期</w:t>
            </w:r>
          </w:p>
        </w:tc>
        <w:tc>
          <w:tcPr>
            <w:tcW w:w="1444" w:type="pct"/>
            <w:vAlign w:val="center"/>
          </w:tcPr>
          <w:p w:rsidR="000612DA" w:rsidRPr="00B40B0C" w:rsidRDefault="00EE0C11">
            <w:pPr>
              <w:spacing w:line="280" w:lineRule="exact"/>
              <w:rPr>
                <w:rFonts w:ascii="仿宋" w:eastAsia="仿宋" w:hAnsi="仿宋" w:cs="方正仿宋简体"/>
                <w:iCs/>
              </w:rPr>
            </w:pPr>
            <w:r w:rsidRPr="00B40B0C">
              <w:rPr>
                <w:rFonts w:ascii="仿宋" w:eastAsia="仿宋" w:hAnsi="仿宋" w:cs="方正仿宋简体" w:hint="eastAsia"/>
                <w:iCs/>
              </w:rPr>
              <w:t>2009-07-20</w:t>
            </w:r>
          </w:p>
        </w:tc>
      </w:tr>
      <w:tr w:rsidR="000612DA" w:rsidRPr="00707C6B" w:rsidTr="00C55D91">
        <w:trPr>
          <w:trHeight w:val="227"/>
        </w:trPr>
        <w:tc>
          <w:tcPr>
            <w:tcW w:w="1144" w:type="pct"/>
            <w:vAlign w:val="center"/>
          </w:tcPr>
          <w:p w:rsidR="000612DA" w:rsidRPr="00B40B0C" w:rsidRDefault="00EE0C11">
            <w:pPr>
              <w:spacing w:line="280" w:lineRule="exact"/>
              <w:rPr>
                <w:rFonts w:ascii="仿宋" w:eastAsia="仿宋" w:hAnsi="仿宋" w:cs="方正仿宋简体"/>
                <w:iCs/>
              </w:rPr>
            </w:pPr>
            <w:r w:rsidRPr="00B40B0C">
              <w:rPr>
                <w:rFonts w:ascii="仿宋" w:eastAsia="仿宋" w:hAnsi="仿宋" w:cs="方正仿宋简体" w:hint="eastAsia"/>
                <w:iCs/>
              </w:rPr>
              <w:t>其他</w:t>
            </w:r>
          </w:p>
        </w:tc>
        <w:tc>
          <w:tcPr>
            <w:tcW w:w="3856" w:type="pct"/>
            <w:gridSpan w:val="3"/>
            <w:vAlign w:val="center"/>
          </w:tcPr>
          <w:p w:rsidR="00C55D91" w:rsidRPr="00B40B0C" w:rsidRDefault="00C55D91" w:rsidP="00C55D91">
            <w:pPr>
              <w:spacing w:line="280" w:lineRule="exact"/>
              <w:jc w:val="left"/>
              <w:rPr>
                <w:rFonts w:ascii="仿宋" w:eastAsia="仿宋" w:hAnsi="仿宋" w:cs="方正仿宋简体"/>
                <w:iCs/>
              </w:rPr>
            </w:pPr>
            <w:r w:rsidRPr="00B40B0C">
              <w:rPr>
                <w:rFonts w:ascii="仿宋" w:eastAsia="仿宋" w:hAnsi="仿宋" w:cs="方正仿宋简体" w:hint="eastAsia"/>
                <w:iCs/>
              </w:rPr>
              <w:t>《基金合同》生效后，连续20个工作日出现基金份额持有人数量不满200人或者基金资产净值低于5000万元的，基金管理人应当在定期报告中予以披露；连续50个工作日出现上述情形的，基金管理人应当终止基金合同，并按照基金合同的约定程序进行清算，不需要召开基金份额持有人大会进行表决。</w:t>
            </w:r>
          </w:p>
          <w:p w:rsidR="000612DA" w:rsidRPr="00B40B0C" w:rsidRDefault="00C55D91" w:rsidP="00C55D91">
            <w:pPr>
              <w:spacing w:line="280" w:lineRule="exact"/>
              <w:jc w:val="left"/>
              <w:rPr>
                <w:rFonts w:ascii="仿宋" w:eastAsia="仿宋" w:hAnsi="仿宋" w:cs="方正仿宋简体"/>
                <w:iCs/>
              </w:rPr>
            </w:pPr>
            <w:r w:rsidRPr="00B40B0C">
              <w:rPr>
                <w:rFonts w:ascii="仿宋" w:eastAsia="仿宋" w:hAnsi="仿宋" w:cs="方正仿宋简体" w:hint="eastAsia"/>
                <w:iCs/>
              </w:rPr>
              <w:t>法律法规或中国证监会另有规定时，从其规定。</w:t>
            </w:r>
          </w:p>
        </w:tc>
      </w:tr>
    </w:tbl>
    <w:p w:rsidR="000612DA" w:rsidRDefault="000612DA">
      <w:pPr>
        <w:spacing w:line="280" w:lineRule="exact"/>
        <w:rPr>
          <w:rFonts w:ascii="仿宋" w:eastAsia="仿宋" w:hAnsi="仿宋" w:cs="方正仿宋简体"/>
          <w:iCs/>
        </w:rPr>
      </w:pPr>
    </w:p>
    <w:p w:rsidR="00C55D91" w:rsidRPr="00707C6B" w:rsidRDefault="00C55D91">
      <w:pPr>
        <w:spacing w:line="280" w:lineRule="exact"/>
        <w:rPr>
          <w:rFonts w:ascii="仿宋" w:eastAsia="仿宋" w:hAnsi="仿宋" w:cs="仿宋_GB2312"/>
          <w:b/>
          <w:kern w:val="0"/>
          <w:szCs w:val="24"/>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基金投资与净值表现</w:t>
      </w:r>
    </w:p>
    <w:p w:rsidR="000612DA" w:rsidRPr="00707C6B" w:rsidRDefault="00EE0C11">
      <w:pPr>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投资目标与投资策略</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367"/>
        <w:gridCol w:w="7271"/>
      </w:tblGrid>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投资目标</w:t>
            </w:r>
          </w:p>
        </w:tc>
        <w:tc>
          <w:tcPr>
            <w:tcW w:w="3772" w:type="pct"/>
            <w:vAlign w:val="center"/>
          </w:tcPr>
          <w:p w:rsidR="000612DA" w:rsidRPr="00707C6B" w:rsidRDefault="00C55D91">
            <w:pPr>
              <w:autoSpaceDE w:val="0"/>
              <w:autoSpaceDN w:val="0"/>
              <w:adjustRightInd w:val="0"/>
              <w:spacing w:line="280" w:lineRule="exact"/>
              <w:rPr>
                <w:rFonts w:ascii="仿宋" w:eastAsia="仿宋" w:hAnsi="仿宋" w:cs="仿宋_GB2312"/>
                <w:kern w:val="0"/>
                <w:szCs w:val="24"/>
              </w:rPr>
            </w:pPr>
            <w:r w:rsidRPr="00C55D91">
              <w:rPr>
                <w:rFonts w:ascii="仿宋" w:eastAsia="仿宋" w:hAnsi="仿宋" w:cs="仿宋_GB2312" w:hint="eastAsia"/>
                <w:kern w:val="0"/>
                <w:szCs w:val="24"/>
              </w:rPr>
              <w:t>本基金主要投资于境内市场和香港市场的股票，在深入研究的基础上，精选医药健康主题相关的优质企业进行投资，在严格控制风险的前提下，追求超越业绩比较基准的投资回报。</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投资范围</w:t>
            </w:r>
          </w:p>
        </w:tc>
        <w:tc>
          <w:tcPr>
            <w:tcW w:w="3772" w:type="pct"/>
            <w:vAlign w:val="center"/>
          </w:tcPr>
          <w:p w:rsidR="00C55D91" w:rsidRPr="00C55D91" w:rsidRDefault="00C55D91" w:rsidP="00C55D91">
            <w:pPr>
              <w:autoSpaceDE w:val="0"/>
              <w:autoSpaceDN w:val="0"/>
              <w:adjustRightInd w:val="0"/>
              <w:spacing w:line="280" w:lineRule="exact"/>
              <w:rPr>
                <w:rFonts w:ascii="仿宋" w:eastAsia="仿宋" w:hAnsi="仿宋" w:cs="仿宋_GB2312"/>
                <w:kern w:val="0"/>
                <w:szCs w:val="24"/>
              </w:rPr>
            </w:pPr>
            <w:r w:rsidRPr="00C55D91">
              <w:rPr>
                <w:rFonts w:ascii="仿宋" w:eastAsia="仿宋" w:hAnsi="仿宋" w:cs="仿宋_GB2312" w:hint="eastAsia"/>
                <w:kern w:val="0"/>
                <w:szCs w:val="24"/>
              </w:rPr>
              <w:t>本基金的投资范围为具有良好流动性的金融工具，包括境内依法发行上市的股票（包括中小板、创业板及其他依法发行、上市的股票）、港股通标的股票、债券（包括国内依法发行和上市交易的国债、地方政府债、金融债、企业债、公司债、次级债、可转换债券、分离交易可转债、可交换债券、央行票据、中期票据、短期融资</w:t>
            </w:r>
            <w:proofErr w:type="gramStart"/>
            <w:r w:rsidRPr="00C55D91">
              <w:rPr>
                <w:rFonts w:ascii="仿宋" w:eastAsia="仿宋" w:hAnsi="仿宋" w:cs="仿宋_GB2312" w:hint="eastAsia"/>
                <w:kern w:val="0"/>
                <w:szCs w:val="24"/>
              </w:rPr>
              <w:t>券</w:t>
            </w:r>
            <w:proofErr w:type="gramEnd"/>
            <w:r w:rsidRPr="00C55D91">
              <w:rPr>
                <w:rFonts w:ascii="仿宋" w:eastAsia="仿宋" w:hAnsi="仿宋" w:cs="仿宋_GB2312" w:hint="eastAsia"/>
                <w:kern w:val="0"/>
                <w:szCs w:val="24"/>
              </w:rPr>
              <w:t>（包括超短期融资</w:t>
            </w:r>
            <w:proofErr w:type="gramStart"/>
            <w:r w:rsidRPr="00C55D91">
              <w:rPr>
                <w:rFonts w:ascii="仿宋" w:eastAsia="仿宋" w:hAnsi="仿宋" w:cs="仿宋_GB2312" w:hint="eastAsia"/>
                <w:kern w:val="0"/>
                <w:szCs w:val="24"/>
              </w:rPr>
              <w:t>券</w:t>
            </w:r>
            <w:proofErr w:type="gramEnd"/>
            <w:r w:rsidRPr="00C55D91">
              <w:rPr>
                <w:rFonts w:ascii="仿宋" w:eastAsia="仿宋" w:hAnsi="仿宋" w:cs="仿宋_GB2312" w:hint="eastAsia"/>
                <w:kern w:val="0"/>
                <w:szCs w:val="24"/>
              </w:rPr>
              <w:t>）等）、资产支持证券、债券回购、同业存单、银行存款、股指期货、国债期货以及法律法规或中国证监会允许基金投资的其他金融工具（但须符合中国证监会相关规定）。</w:t>
            </w:r>
          </w:p>
          <w:p w:rsidR="00C55D91" w:rsidRPr="00C55D91" w:rsidRDefault="00C55D91" w:rsidP="00C55D91">
            <w:pPr>
              <w:autoSpaceDE w:val="0"/>
              <w:autoSpaceDN w:val="0"/>
              <w:adjustRightInd w:val="0"/>
              <w:spacing w:line="280" w:lineRule="exact"/>
              <w:rPr>
                <w:rFonts w:ascii="仿宋" w:eastAsia="仿宋" w:hAnsi="仿宋" w:cs="仿宋_GB2312"/>
                <w:kern w:val="0"/>
                <w:szCs w:val="24"/>
              </w:rPr>
            </w:pPr>
            <w:r w:rsidRPr="00C55D91">
              <w:rPr>
                <w:rFonts w:ascii="仿宋" w:eastAsia="仿宋" w:hAnsi="仿宋" w:cs="仿宋_GB2312" w:hint="eastAsia"/>
                <w:kern w:val="0"/>
                <w:szCs w:val="24"/>
              </w:rPr>
              <w:t>如法律法规或监管机构以后允许基金投资其他品种，基金管理人在履行适当程序后，可以将其纳入投资范围，并可依据届时有效的法律法规适时合理地调整投资范围。</w:t>
            </w:r>
          </w:p>
          <w:p w:rsidR="00C55D91" w:rsidRPr="00C55D91" w:rsidRDefault="00C55D91" w:rsidP="00C55D91">
            <w:pPr>
              <w:autoSpaceDE w:val="0"/>
              <w:autoSpaceDN w:val="0"/>
              <w:adjustRightInd w:val="0"/>
              <w:spacing w:line="280" w:lineRule="exact"/>
              <w:rPr>
                <w:rFonts w:ascii="仿宋" w:eastAsia="仿宋" w:hAnsi="仿宋" w:cs="仿宋_GB2312"/>
                <w:kern w:val="0"/>
                <w:szCs w:val="24"/>
              </w:rPr>
            </w:pPr>
            <w:r w:rsidRPr="00C55D91">
              <w:rPr>
                <w:rFonts w:ascii="仿宋" w:eastAsia="仿宋" w:hAnsi="仿宋" w:cs="仿宋_GB2312" w:hint="eastAsia"/>
                <w:kern w:val="0"/>
                <w:szCs w:val="24"/>
              </w:rPr>
              <w:t>本基金为混合型基金，基金的投资组合比例为：股票资产占基金资产的比例为60%-95%，其中投资于港股通标的股票不超过股票资产的50%，投资于医药健康主题相关证券资产的比例不低于非现金基金资产的80%；每个交易日日终在扣</w:t>
            </w:r>
            <w:r w:rsidRPr="00C55D91">
              <w:rPr>
                <w:rFonts w:ascii="仿宋" w:eastAsia="仿宋" w:hAnsi="仿宋" w:cs="仿宋_GB2312" w:hint="eastAsia"/>
                <w:kern w:val="0"/>
                <w:szCs w:val="24"/>
              </w:rPr>
              <w:lastRenderedPageBreak/>
              <w:t>除股指期货合约和国债期货合约需缴纳的交易保证金后，应当保持现金或者到期日在一年以内的政府债券不低于基金资产净值的5%，其中现金不得包括结算备付金、存出保证金及应收申购款等。</w:t>
            </w:r>
          </w:p>
          <w:p w:rsidR="000612DA" w:rsidRPr="00707C6B" w:rsidRDefault="00C55D91" w:rsidP="00C55D91">
            <w:pPr>
              <w:autoSpaceDE w:val="0"/>
              <w:autoSpaceDN w:val="0"/>
              <w:adjustRightInd w:val="0"/>
              <w:spacing w:line="280" w:lineRule="exact"/>
              <w:rPr>
                <w:rFonts w:ascii="仿宋" w:eastAsia="仿宋" w:hAnsi="仿宋" w:cs="仿宋_GB2312"/>
                <w:kern w:val="0"/>
                <w:szCs w:val="24"/>
              </w:rPr>
            </w:pPr>
            <w:r w:rsidRPr="00C55D91">
              <w:rPr>
                <w:rFonts w:ascii="仿宋" w:eastAsia="仿宋" w:hAnsi="仿宋" w:cs="仿宋_GB2312" w:hint="eastAsia"/>
                <w:kern w:val="0"/>
                <w:szCs w:val="24"/>
              </w:rPr>
              <w:t>如未来法律法规或监管机构对投资比例要求有变更的，基金管理人在履行适当程序后，可以做出相应调整。</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lastRenderedPageBreak/>
              <w:t>主要投资策略</w:t>
            </w:r>
          </w:p>
        </w:tc>
        <w:tc>
          <w:tcPr>
            <w:tcW w:w="3772" w:type="pct"/>
            <w:vAlign w:val="center"/>
          </w:tcPr>
          <w:p w:rsidR="000612DA" w:rsidRPr="00707C6B" w:rsidRDefault="00EE0C11" w:rsidP="00C55D91">
            <w:pPr>
              <w:autoSpaceDE w:val="0"/>
              <w:autoSpaceDN w:val="0"/>
              <w:adjustRightInd w:val="0"/>
              <w:spacing w:line="280" w:lineRule="exact"/>
              <w:ind w:left="105" w:hangingChars="50" w:hanging="105"/>
              <w:rPr>
                <w:rFonts w:ascii="仿宋" w:eastAsia="仿宋" w:hAnsi="仿宋" w:cs="仿宋_GB2312"/>
                <w:kern w:val="0"/>
                <w:szCs w:val="24"/>
              </w:rPr>
            </w:pPr>
            <w:r w:rsidRPr="00707C6B">
              <w:rPr>
                <w:rFonts w:ascii="仿宋" w:eastAsia="仿宋" w:hAnsi="仿宋" w:cs="仿宋_GB2312" w:hint="eastAsia"/>
                <w:kern w:val="0"/>
                <w:szCs w:val="24"/>
              </w:rPr>
              <w:t>具体包括：1、</w:t>
            </w:r>
            <w:r w:rsidR="00C55D91" w:rsidRPr="00C55D91">
              <w:rPr>
                <w:rFonts w:ascii="仿宋" w:eastAsia="仿宋" w:hAnsi="仿宋" w:cs="仿宋_GB2312" w:hint="eastAsia"/>
                <w:kern w:val="0"/>
                <w:szCs w:val="24"/>
              </w:rPr>
              <w:t>资产配置策略</w:t>
            </w:r>
            <w:r w:rsidRPr="00707C6B">
              <w:rPr>
                <w:rFonts w:ascii="仿宋" w:eastAsia="仿宋" w:hAnsi="仿宋" w:cs="仿宋_GB2312" w:hint="eastAsia"/>
                <w:kern w:val="0"/>
                <w:szCs w:val="24"/>
              </w:rPr>
              <w:t>；2、股票投资策略；3、债券投资策略；4、</w:t>
            </w:r>
            <w:r w:rsidR="006C32F0">
              <w:rPr>
                <w:rFonts w:ascii="仿宋" w:eastAsia="仿宋" w:hAnsi="仿宋" w:cs="仿宋_GB2312" w:hint="eastAsia"/>
                <w:kern w:val="0"/>
                <w:szCs w:val="24"/>
              </w:rPr>
              <w:t>资产</w:t>
            </w:r>
            <w:r w:rsidR="00C55D91">
              <w:rPr>
                <w:rFonts w:ascii="仿宋" w:eastAsia="仿宋" w:hAnsi="仿宋" w:cs="仿宋_GB2312" w:hint="eastAsia"/>
                <w:kern w:val="0"/>
                <w:szCs w:val="24"/>
              </w:rPr>
              <w:t>支持证券投资策略；5、</w:t>
            </w:r>
            <w:r w:rsidRPr="00707C6B">
              <w:rPr>
                <w:rFonts w:ascii="仿宋" w:eastAsia="仿宋" w:hAnsi="仿宋" w:cs="仿宋_GB2312" w:hint="eastAsia"/>
                <w:kern w:val="0"/>
                <w:szCs w:val="24"/>
              </w:rPr>
              <w:t>金融衍生品投资策略。</w:t>
            </w:r>
          </w:p>
          <w:p w:rsidR="00C55D91" w:rsidRPr="00C55D91" w:rsidRDefault="00C55D91" w:rsidP="00C55D91">
            <w:pPr>
              <w:autoSpaceDE w:val="0"/>
              <w:autoSpaceDN w:val="0"/>
              <w:adjustRightInd w:val="0"/>
              <w:spacing w:line="280" w:lineRule="exact"/>
              <w:rPr>
                <w:rFonts w:ascii="仿宋" w:eastAsia="仿宋" w:hAnsi="仿宋" w:cs="仿宋_GB2312"/>
                <w:kern w:val="0"/>
                <w:szCs w:val="24"/>
              </w:rPr>
            </w:pPr>
            <w:r w:rsidRPr="00C55D91">
              <w:rPr>
                <w:rFonts w:ascii="仿宋" w:eastAsia="仿宋" w:hAnsi="仿宋" w:cs="仿宋_GB2312" w:hint="eastAsia"/>
                <w:kern w:val="0"/>
                <w:szCs w:val="24"/>
              </w:rPr>
              <w:t>本基金界定的医药健康主题企业指的是从事医药健康相关产品或服务研发、生产或销售的公司，行业范畴包括但不限于医药研发和生产（化学制药行业、中药行业、生物制品行业）、医药商业行业、医疗器械行业和医疗服务行业。</w:t>
            </w:r>
          </w:p>
          <w:p w:rsidR="000612DA" w:rsidRPr="00707C6B" w:rsidRDefault="00C55D91" w:rsidP="00C55D91">
            <w:pPr>
              <w:autoSpaceDE w:val="0"/>
              <w:autoSpaceDN w:val="0"/>
              <w:adjustRightInd w:val="0"/>
              <w:spacing w:line="280" w:lineRule="exact"/>
              <w:rPr>
                <w:rFonts w:ascii="仿宋" w:eastAsia="仿宋" w:hAnsi="仿宋" w:cs="仿宋_GB2312"/>
                <w:kern w:val="0"/>
                <w:szCs w:val="24"/>
              </w:rPr>
            </w:pPr>
            <w:r w:rsidRPr="00C55D91">
              <w:rPr>
                <w:rFonts w:ascii="仿宋" w:eastAsia="仿宋" w:hAnsi="仿宋" w:cs="仿宋_GB2312" w:hint="eastAsia"/>
                <w:kern w:val="0"/>
                <w:szCs w:val="24"/>
              </w:rPr>
              <w:t>医药健康主题企业具体包括以下两类公司：1）主营业务从事医药健康领域的上市公司；2）当前非主营业务提供的产品或服务隶属于医药健康领域，且未来这些产品或服务有望成为新的增长点，或者主要收入或重要利润来源的公司。本基金将对医药</w:t>
            </w:r>
            <w:proofErr w:type="gramStart"/>
            <w:r w:rsidRPr="00C55D91">
              <w:rPr>
                <w:rFonts w:ascii="仿宋" w:eastAsia="仿宋" w:hAnsi="仿宋" w:cs="仿宋_GB2312" w:hint="eastAsia"/>
                <w:kern w:val="0"/>
                <w:szCs w:val="24"/>
              </w:rPr>
              <w:t>健康企业</w:t>
            </w:r>
            <w:proofErr w:type="gramEnd"/>
            <w:r w:rsidRPr="00C55D91">
              <w:rPr>
                <w:rFonts w:ascii="仿宋" w:eastAsia="仿宋" w:hAnsi="仿宋" w:cs="仿宋_GB2312" w:hint="eastAsia"/>
                <w:kern w:val="0"/>
                <w:szCs w:val="24"/>
              </w:rPr>
              <w:t>的发展进行密切跟踪，随着市场环境的不断变化，相关主题的上市公司的范围也会相应改变。本基金将根据实际情况调整相关主题概念和投资范围的认定。</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业绩比较基准</w:t>
            </w:r>
          </w:p>
        </w:tc>
        <w:tc>
          <w:tcPr>
            <w:tcW w:w="3772" w:type="pct"/>
            <w:vAlign w:val="center"/>
          </w:tcPr>
          <w:p w:rsidR="000612DA" w:rsidRPr="00707C6B" w:rsidRDefault="00C55D91">
            <w:pPr>
              <w:autoSpaceDE w:val="0"/>
              <w:autoSpaceDN w:val="0"/>
              <w:adjustRightInd w:val="0"/>
              <w:spacing w:line="280" w:lineRule="exact"/>
              <w:rPr>
                <w:rFonts w:ascii="仿宋" w:eastAsia="仿宋" w:hAnsi="仿宋" w:cs="仿宋_GB2312"/>
                <w:kern w:val="0"/>
                <w:szCs w:val="24"/>
              </w:rPr>
            </w:pPr>
            <w:r w:rsidRPr="00C55D91">
              <w:rPr>
                <w:rFonts w:ascii="仿宋" w:eastAsia="仿宋" w:hAnsi="仿宋" w:cs="仿宋_GB2312" w:hint="eastAsia"/>
                <w:kern w:val="0"/>
                <w:szCs w:val="24"/>
              </w:rPr>
              <w:t>中证医药卫生指数收益率×55%+恒生医疗保健指数收益率（使用估值汇率折算）×20%+中</w:t>
            </w:r>
            <w:proofErr w:type="gramStart"/>
            <w:r w:rsidRPr="00C55D91">
              <w:rPr>
                <w:rFonts w:ascii="仿宋" w:eastAsia="仿宋" w:hAnsi="仿宋" w:cs="仿宋_GB2312" w:hint="eastAsia"/>
                <w:kern w:val="0"/>
                <w:szCs w:val="24"/>
              </w:rPr>
              <w:t>证全债指数</w:t>
            </w:r>
            <w:proofErr w:type="gramEnd"/>
            <w:r w:rsidRPr="00C55D91">
              <w:rPr>
                <w:rFonts w:ascii="仿宋" w:eastAsia="仿宋" w:hAnsi="仿宋" w:cs="仿宋_GB2312" w:hint="eastAsia"/>
                <w:kern w:val="0"/>
                <w:szCs w:val="24"/>
              </w:rPr>
              <w:t>收益率×25%</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风险收益特征</w:t>
            </w:r>
          </w:p>
        </w:tc>
        <w:tc>
          <w:tcPr>
            <w:tcW w:w="3772" w:type="pct"/>
            <w:vAlign w:val="center"/>
          </w:tcPr>
          <w:p w:rsidR="000612DA" w:rsidRPr="00707C6B" w:rsidRDefault="00C55D91" w:rsidP="00C55D91">
            <w:pPr>
              <w:autoSpaceDE w:val="0"/>
              <w:autoSpaceDN w:val="0"/>
              <w:adjustRightInd w:val="0"/>
              <w:spacing w:line="280" w:lineRule="exact"/>
              <w:rPr>
                <w:rFonts w:ascii="仿宋" w:eastAsia="仿宋" w:hAnsi="仿宋" w:cs="仿宋_GB2312"/>
                <w:kern w:val="0"/>
                <w:szCs w:val="24"/>
              </w:rPr>
            </w:pPr>
            <w:r w:rsidRPr="00C55D91">
              <w:rPr>
                <w:rFonts w:ascii="仿宋" w:eastAsia="仿宋" w:hAnsi="仿宋" w:cs="仿宋_GB2312" w:hint="eastAsia"/>
                <w:kern w:val="0"/>
                <w:szCs w:val="24"/>
              </w:rPr>
              <w:t>本基金是混合型基金，其预期收益及风险水平高于货币市场基金、债券型基金，低于股票型基金。本基金资产投资于港股，会面临港股</w:t>
            </w:r>
            <w:proofErr w:type="gramStart"/>
            <w:r w:rsidRPr="00C55D91">
              <w:rPr>
                <w:rFonts w:ascii="仿宋" w:eastAsia="仿宋" w:hAnsi="仿宋" w:cs="仿宋_GB2312" w:hint="eastAsia"/>
                <w:kern w:val="0"/>
                <w:szCs w:val="24"/>
              </w:rPr>
              <w:t>通机制</w:t>
            </w:r>
            <w:proofErr w:type="gramEnd"/>
            <w:r w:rsidRPr="00C55D91">
              <w:rPr>
                <w:rFonts w:ascii="仿宋" w:eastAsia="仿宋" w:hAnsi="仿宋" w:cs="仿宋_GB2312" w:hint="eastAsia"/>
                <w:kern w:val="0"/>
                <w:szCs w:val="24"/>
              </w:rPr>
              <w:t>下因投资环境、投资标的、市场制度以及交易规则等差异带来的特有风险，包括港股市场股价波动较大的风险、汇率风险、港股</w:t>
            </w:r>
            <w:proofErr w:type="gramStart"/>
            <w:r w:rsidRPr="00C55D91">
              <w:rPr>
                <w:rFonts w:ascii="仿宋" w:eastAsia="仿宋" w:hAnsi="仿宋" w:cs="仿宋_GB2312" w:hint="eastAsia"/>
                <w:kern w:val="0"/>
                <w:szCs w:val="24"/>
              </w:rPr>
              <w:t>通机制</w:t>
            </w:r>
            <w:proofErr w:type="gramEnd"/>
            <w:r w:rsidRPr="00C55D91">
              <w:rPr>
                <w:rFonts w:ascii="仿宋" w:eastAsia="仿宋" w:hAnsi="仿宋" w:cs="仿宋_GB2312" w:hint="eastAsia"/>
                <w:kern w:val="0"/>
                <w:szCs w:val="24"/>
              </w:rPr>
              <w:t>下交易日不连贯可能带来的风险等。</w:t>
            </w:r>
          </w:p>
        </w:tc>
      </w:tr>
    </w:tbl>
    <w:p w:rsidR="000612DA" w:rsidRPr="00707C6B" w:rsidRDefault="00EE0C11">
      <w:pPr>
        <w:spacing w:line="280" w:lineRule="exact"/>
        <w:rPr>
          <w:rFonts w:ascii="仿宋" w:eastAsia="仿宋" w:hAnsi="仿宋" w:cs="方正仿宋简体"/>
          <w:iCs/>
          <w:szCs w:val="24"/>
        </w:rPr>
      </w:pPr>
      <w:r w:rsidRPr="00707C6B">
        <w:rPr>
          <w:rFonts w:ascii="仿宋" w:eastAsia="仿宋" w:hAnsi="仿宋" w:cs="方正仿宋简体" w:hint="eastAsia"/>
          <w:iCs/>
          <w:szCs w:val="24"/>
        </w:rPr>
        <w:t>注：详见《广发</w:t>
      </w:r>
      <w:r w:rsidR="00C55D91">
        <w:rPr>
          <w:rFonts w:ascii="仿宋" w:eastAsia="仿宋" w:hAnsi="仿宋" w:cs="方正仿宋简体" w:hint="eastAsia"/>
          <w:iCs/>
          <w:szCs w:val="24"/>
        </w:rPr>
        <w:t>医药健康混合</w:t>
      </w:r>
      <w:r w:rsidRPr="00707C6B">
        <w:rPr>
          <w:rFonts w:ascii="仿宋" w:eastAsia="仿宋" w:hAnsi="仿宋" w:cs="方正仿宋简体" w:hint="eastAsia"/>
          <w:iCs/>
          <w:szCs w:val="24"/>
        </w:rPr>
        <w:t>型证券投资基金招募说明书》及其更新文件中“基金的投资”。</w:t>
      </w:r>
    </w:p>
    <w:p w:rsidR="000612DA" w:rsidRPr="00707C6B" w:rsidRDefault="000612DA">
      <w:pPr>
        <w:spacing w:line="280" w:lineRule="exact"/>
        <w:rPr>
          <w:rFonts w:ascii="仿宋" w:eastAsia="仿宋" w:hAnsi="仿宋" w:cs="仿宋_GB2312"/>
          <w:kern w:val="0"/>
          <w:szCs w:val="24"/>
        </w:rPr>
      </w:pPr>
    </w:p>
    <w:p w:rsidR="00BF63A6" w:rsidRPr="00BF63A6" w:rsidRDefault="00BF63A6" w:rsidP="00BF63A6">
      <w:pPr>
        <w:spacing w:line="280" w:lineRule="exact"/>
        <w:rPr>
          <w:rFonts w:ascii="仿宋" w:eastAsia="仿宋" w:hAnsi="仿宋" w:cs="方正仿宋简体"/>
          <w:b/>
          <w:iCs/>
        </w:rPr>
      </w:pPr>
      <w:r>
        <w:rPr>
          <w:rFonts w:ascii="仿宋" w:eastAsia="仿宋" w:hAnsi="仿宋" w:cs="方正仿宋简体" w:hint="eastAsia"/>
          <w:b/>
          <w:iCs/>
        </w:rPr>
        <w:t>（二）</w:t>
      </w:r>
      <w:r w:rsidRPr="00BF63A6">
        <w:rPr>
          <w:rFonts w:ascii="仿宋" w:eastAsia="仿宋" w:hAnsi="仿宋" w:cs="方正仿宋简体" w:hint="eastAsia"/>
          <w:b/>
          <w:iCs/>
        </w:rPr>
        <w:t>投资组合资产配置图表/区域配置图表</w:t>
      </w:r>
    </w:p>
    <w:p w:rsidR="00BF63A6" w:rsidRPr="00BF63A6" w:rsidRDefault="00BF63A6" w:rsidP="00BF63A6">
      <w:pPr>
        <w:spacing w:line="280" w:lineRule="exact"/>
        <w:rPr>
          <w:rFonts w:ascii="仿宋" w:eastAsia="仿宋" w:hAnsi="仿宋" w:cs="方正仿宋简体" w:hint="eastAsia"/>
          <w:b/>
          <w:iCs/>
        </w:rPr>
      </w:pPr>
      <w:r w:rsidRPr="00BF63A6">
        <w:rPr>
          <w:rFonts w:ascii="仿宋" w:eastAsia="仿宋" w:hAnsi="仿宋" w:cs="方正仿宋简体" w:hint="eastAsia"/>
          <w:b/>
          <w:iCs/>
        </w:rPr>
        <w:t>投资组合资产配置图表</w:t>
      </w:r>
    </w:p>
    <w:p w:rsidR="00BF63A6" w:rsidRPr="00BF63A6" w:rsidRDefault="00BF63A6" w:rsidP="00BF63A6">
      <w:pPr>
        <w:spacing w:line="280" w:lineRule="exact"/>
        <w:rPr>
          <w:rFonts w:ascii="仿宋" w:eastAsia="仿宋" w:hAnsi="仿宋" w:cs="方正仿宋简体" w:hint="eastAsia"/>
          <w:b/>
          <w:iCs/>
        </w:rPr>
      </w:pPr>
      <w:r w:rsidRPr="00BF63A6">
        <w:rPr>
          <w:rFonts w:ascii="仿宋" w:eastAsia="仿宋" w:hAnsi="仿宋" w:cs="方正仿宋简体" w:hint="eastAsia"/>
          <w:iCs/>
        </w:rPr>
        <w:t>无</w:t>
      </w:r>
    </w:p>
    <w:p w:rsidR="00BF63A6" w:rsidRPr="00BF63A6" w:rsidRDefault="00BF63A6" w:rsidP="00BF63A6">
      <w:pPr>
        <w:spacing w:line="280" w:lineRule="exact"/>
        <w:rPr>
          <w:rFonts w:ascii="仿宋" w:eastAsia="仿宋" w:hAnsi="仿宋" w:cs="方正仿宋简体" w:hint="eastAsia"/>
          <w:b/>
          <w:iCs/>
        </w:rPr>
      </w:pPr>
      <w:bookmarkStart w:id="0" w:name="_GoBack"/>
      <w:bookmarkEnd w:id="0"/>
      <w:r>
        <w:rPr>
          <w:rFonts w:ascii="仿宋" w:eastAsia="仿宋" w:hAnsi="仿宋" w:cs="方正仿宋简体" w:hint="eastAsia"/>
          <w:b/>
          <w:iCs/>
        </w:rPr>
        <w:t>（三）</w:t>
      </w:r>
      <w:r w:rsidRPr="00BF63A6">
        <w:rPr>
          <w:rFonts w:ascii="仿宋" w:eastAsia="仿宋" w:hAnsi="仿宋" w:cs="方正仿宋简体" w:hint="eastAsia"/>
          <w:b/>
          <w:iCs/>
        </w:rPr>
        <w:t>自基金合同生效以来基金每年的净值增长率及与同期业绩比较基准的比较图</w:t>
      </w:r>
    </w:p>
    <w:p w:rsidR="00BF63A6" w:rsidRPr="00BF63A6" w:rsidRDefault="00BF63A6" w:rsidP="00BF63A6">
      <w:pPr>
        <w:spacing w:line="280" w:lineRule="exact"/>
        <w:rPr>
          <w:rFonts w:ascii="仿宋" w:eastAsia="仿宋" w:hAnsi="仿宋" w:cs="方正仿宋简体" w:hint="eastAsia"/>
          <w:iCs/>
        </w:rPr>
      </w:pPr>
      <w:r w:rsidRPr="00BF63A6">
        <w:rPr>
          <w:rFonts w:ascii="仿宋" w:eastAsia="仿宋" w:hAnsi="仿宋" w:cs="方正仿宋简体" w:hint="eastAsia"/>
          <w:iCs/>
        </w:rPr>
        <w:t>无</w:t>
      </w:r>
    </w:p>
    <w:p w:rsidR="000612DA" w:rsidRPr="00BF63A6" w:rsidRDefault="000612DA" w:rsidP="00BF63A6">
      <w:pPr>
        <w:spacing w:line="280" w:lineRule="exact"/>
        <w:rPr>
          <w:rFonts w:ascii="仿宋" w:eastAsia="仿宋" w:hAnsi="仿宋" w:cs="方正仿宋简体" w:hint="eastAsia"/>
          <w:iCs/>
        </w:rPr>
      </w:pPr>
    </w:p>
    <w:p w:rsidR="000612DA" w:rsidRPr="00707C6B" w:rsidRDefault="00EE0C11" w:rsidP="003D461D">
      <w:pPr>
        <w:numPr>
          <w:ilvl w:val="0"/>
          <w:numId w:val="10"/>
        </w:numPr>
        <w:spacing w:line="360" w:lineRule="auto"/>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投资本基金涉及的费用</w:t>
      </w:r>
    </w:p>
    <w:p w:rsidR="000612DA" w:rsidRPr="00707C6B" w:rsidRDefault="00EE0C11" w:rsidP="003D461D">
      <w:pPr>
        <w:pStyle w:val="a8"/>
        <w:numPr>
          <w:ilvl w:val="0"/>
          <w:numId w:val="25"/>
        </w:numPr>
        <w:spacing w:line="360" w:lineRule="auto"/>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基金销售相关费用</w:t>
      </w:r>
    </w:p>
    <w:p w:rsidR="00291927" w:rsidRPr="00707C6B" w:rsidRDefault="00291927" w:rsidP="00291927">
      <w:pPr>
        <w:autoSpaceDE w:val="0"/>
        <w:autoSpaceDN w:val="0"/>
        <w:adjustRightInd w:val="0"/>
        <w:spacing w:line="280" w:lineRule="exact"/>
        <w:jc w:val="left"/>
        <w:rPr>
          <w:rFonts w:ascii="仿宋" w:eastAsia="仿宋" w:hAnsi="仿宋"/>
        </w:rPr>
      </w:pPr>
      <w:r w:rsidRPr="00707C6B">
        <w:rPr>
          <w:rFonts w:ascii="仿宋" w:eastAsia="仿宋" w:hAnsi="仿宋" w:cs="方正仿宋简体" w:hint="eastAsia"/>
          <w:iCs/>
        </w:rPr>
        <w:t>以下费用在认购/申购/赎回基金过程中收取：</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801"/>
        <w:gridCol w:w="2851"/>
        <w:gridCol w:w="1436"/>
        <w:gridCol w:w="2550"/>
      </w:tblGrid>
      <w:tr w:rsidR="00291927" w:rsidRPr="00707C6B" w:rsidTr="00430E9F">
        <w:trPr>
          <w:trHeight w:val="227"/>
        </w:trPr>
        <w:tc>
          <w:tcPr>
            <w:tcW w:w="1453" w:type="pct"/>
            <w:vAlign w:val="center"/>
          </w:tcPr>
          <w:p w:rsidR="00291927" w:rsidRPr="00707C6B" w:rsidRDefault="00291927" w:rsidP="00650BE2">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费用类型</w:t>
            </w:r>
          </w:p>
        </w:tc>
        <w:tc>
          <w:tcPr>
            <w:tcW w:w="1479" w:type="pct"/>
            <w:vAlign w:val="center"/>
          </w:tcPr>
          <w:p w:rsidR="00291927" w:rsidRPr="00707C6B" w:rsidRDefault="00291927" w:rsidP="00650BE2">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份额（S）或金额（M）</w:t>
            </w:r>
          </w:p>
          <w:p w:rsidR="00291927" w:rsidRPr="00707C6B" w:rsidRDefault="00291927" w:rsidP="00650BE2">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/持有期限（N）</w:t>
            </w:r>
          </w:p>
        </w:tc>
        <w:tc>
          <w:tcPr>
            <w:tcW w:w="745" w:type="pct"/>
            <w:vAlign w:val="center"/>
          </w:tcPr>
          <w:p w:rsidR="00291927" w:rsidRPr="00707C6B" w:rsidRDefault="00291927" w:rsidP="00650BE2">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收费方式/费率</w:t>
            </w:r>
          </w:p>
        </w:tc>
        <w:tc>
          <w:tcPr>
            <w:tcW w:w="1323" w:type="pct"/>
            <w:vAlign w:val="center"/>
          </w:tcPr>
          <w:p w:rsidR="00291927" w:rsidRPr="00707C6B" w:rsidRDefault="00291927" w:rsidP="00650BE2">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备注</w:t>
            </w:r>
          </w:p>
        </w:tc>
      </w:tr>
      <w:tr w:rsidR="00430E9F" w:rsidRPr="00707C6B" w:rsidTr="00430E9F">
        <w:trPr>
          <w:trHeight w:val="227"/>
        </w:trPr>
        <w:tc>
          <w:tcPr>
            <w:tcW w:w="1453" w:type="pct"/>
            <w:vAlign w:val="center"/>
          </w:tcPr>
          <w:p w:rsidR="00430E9F" w:rsidRPr="00707C6B" w:rsidRDefault="00430E9F" w:rsidP="00430E9F">
            <w:pPr>
              <w:spacing w:line="280" w:lineRule="exact"/>
              <w:jc w:val="center"/>
              <w:rPr>
                <w:rFonts w:ascii="仿宋" w:eastAsia="仿宋" w:hAnsi="仿宋" w:cs="方正仿宋简体"/>
                <w:b/>
                <w:bCs/>
                <w:iCs/>
              </w:rPr>
            </w:pPr>
            <w:r>
              <w:rPr>
                <w:rFonts w:ascii="仿宋" w:eastAsia="仿宋" w:hAnsi="仿宋" w:cs="方正仿宋简体" w:hint="eastAsia"/>
                <w:b/>
                <w:bCs/>
                <w:iCs/>
              </w:rPr>
              <w:t>认购费</w:t>
            </w:r>
          </w:p>
        </w:tc>
        <w:tc>
          <w:tcPr>
            <w:tcW w:w="1479" w:type="pct"/>
            <w:vAlign w:val="center"/>
          </w:tcPr>
          <w:p w:rsidR="00430E9F" w:rsidRPr="00707C6B" w:rsidRDefault="00B40B0C" w:rsidP="00650BE2">
            <w:pPr>
              <w:spacing w:line="280" w:lineRule="exact"/>
              <w:jc w:val="center"/>
              <w:rPr>
                <w:rFonts w:ascii="仿宋" w:eastAsia="仿宋" w:hAnsi="仿宋" w:cs="方正仿宋简体"/>
                <w:b/>
                <w:bCs/>
                <w:iCs/>
              </w:rPr>
            </w:pPr>
            <w:r>
              <w:rPr>
                <w:rFonts w:ascii="仿宋" w:eastAsia="仿宋" w:hAnsi="仿宋" w:cs="方正仿宋简体" w:hint="eastAsia"/>
                <w:b/>
                <w:bCs/>
                <w:iCs/>
              </w:rPr>
              <w:t>-</w:t>
            </w:r>
          </w:p>
        </w:tc>
        <w:tc>
          <w:tcPr>
            <w:tcW w:w="745" w:type="pct"/>
            <w:vAlign w:val="center"/>
          </w:tcPr>
          <w:p w:rsidR="00430E9F" w:rsidRPr="00707C6B" w:rsidRDefault="00B40B0C" w:rsidP="00650BE2">
            <w:pPr>
              <w:spacing w:line="280" w:lineRule="exact"/>
              <w:jc w:val="center"/>
              <w:rPr>
                <w:rFonts w:ascii="仿宋" w:eastAsia="仿宋" w:hAnsi="仿宋" w:cs="方正仿宋简体"/>
                <w:b/>
                <w:bCs/>
                <w:iCs/>
              </w:rPr>
            </w:pPr>
            <w:r>
              <w:rPr>
                <w:rFonts w:ascii="仿宋" w:eastAsia="仿宋" w:hAnsi="仿宋" w:cs="方正仿宋简体" w:hint="eastAsia"/>
                <w:b/>
                <w:bCs/>
                <w:iCs/>
              </w:rPr>
              <w:t>-</w:t>
            </w:r>
          </w:p>
        </w:tc>
        <w:tc>
          <w:tcPr>
            <w:tcW w:w="1323" w:type="pct"/>
            <w:vAlign w:val="center"/>
          </w:tcPr>
          <w:p w:rsidR="00430E9F" w:rsidRPr="00707C6B" w:rsidRDefault="00430E9F" w:rsidP="00650BE2">
            <w:pPr>
              <w:spacing w:line="280" w:lineRule="exact"/>
              <w:jc w:val="center"/>
              <w:rPr>
                <w:rFonts w:ascii="仿宋" w:eastAsia="仿宋" w:hAnsi="仿宋" w:cs="方正仿宋简体"/>
                <w:b/>
                <w:bCs/>
                <w:iCs/>
              </w:rPr>
            </w:pPr>
            <w:r w:rsidRPr="00707C6B">
              <w:rPr>
                <w:rFonts w:ascii="仿宋" w:eastAsia="仿宋" w:hAnsi="仿宋" w:cs="方正仿宋简体" w:hint="eastAsia"/>
                <w:bCs/>
                <w:iCs/>
              </w:rPr>
              <w:t>本基金C类份额无</w:t>
            </w:r>
            <w:r>
              <w:rPr>
                <w:rFonts w:ascii="仿宋" w:eastAsia="仿宋" w:hAnsi="仿宋" w:cs="方正仿宋简体" w:hint="eastAsia"/>
                <w:bCs/>
                <w:iCs/>
              </w:rPr>
              <w:t>认购</w:t>
            </w:r>
            <w:r w:rsidRPr="00707C6B">
              <w:rPr>
                <w:rFonts w:ascii="仿宋" w:eastAsia="仿宋" w:hAnsi="仿宋" w:cs="方正仿宋简体" w:hint="eastAsia"/>
                <w:bCs/>
                <w:iCs/>
              </w:rPr>
              <w:t>费</w:t>
            </w:r>
          </w:p>
        </w:tc>
      </w:tr>
      <w:tr w:rsidR="00291927" w:rsidRPr="00707C6B" w:rsidTr="00430E9F">
        <w:trPr>
          <w:trHeight w:val="227"/>
        </w:trPr>
        <w:tc>
          <w:tcPr>
            <w:tcW w:w="1453" w:type="pct"/>
            <w:vAlign w:val="center"/>
          </w:tcPr>
          <w:p w:rsidR="00291927" w:rsidRPr="00707C6B" w:rsidRDefault="00291927" w:rsidP="00650BE2">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479" w:type="pct"/>
            <w:vAlign w:val="center"/>
          </w:tcPr>
          <w:p w:rsidR="00291927" w:rsidRPr="00707C6B" w:rsidRDefault="00291927" w:rsidP="00650BE2">
            <w:pPr>
              <w:spacing w:line="280" w:lineRule="exact"/>
              <w:jc w:val="center"/>
              <w:rPr>
                <w:rFonts w:ascii="仿宋" w:eastAsia="仿宋" w:hAnsi="仿宋" w:cs="方正仿宋简体"/>
                <w:bCs/>
                <w:iCs/>
              </w:rPr>
            </w:pPr>
            <w:r w:rsidRPr="00707C6B">
              <w:rPr>
                <w:rFonts w:ascii="仿宋" w:eastAsia="仿宋" w:hAnsi="仿宋" w:cs="方正仿宋简体" w:hint="eastAsia"/>
                <w:bCs/>
                <w:iCs/>
              </w:rPr>
              <w:t>-</w:t>
            </w:r>
          </w:p>
        </w:tc>
        <w:tc>
          <w:tcPr>
            <w:tcW w:w="745" w:type="pct"/>
            <w:vAlign w:val="center"/>
          </w:tcPr>
          <w:p w:rsidR="00291927" w:rsidRPr="00707C6B" w:rsidRDefault="00291927" w:rsidP="00650BE2">
            <w:pPr>
              <w:spacing w:line="280" w:lineRule="exact"/>
              <w:jc w:val="center"/>
              <w:rPr>
                <w:rFonts w:ascii="仿宋" w:eastAsia="仿宋" w:hAnsi="仿宋" w:cs="方正仿宋简体"/>
                <w:bCs/>
                <w:iCs/>
              </w:rPr>
            </w:pPr>
            <w:r w:rsidRPr="00707C6B">
              <w:rPr>
                <w:rFonts w:ascii="仿宋" w:eastAsia="仿宋" w:hAnsi="仿宋" w:hint="eastAsia"/>
                <w:color w:val="333399"/>
              </w:rPr>
              <w:t>-</w:t>
            </w:r>
          </w:p>
        </w:tc>
        <w:tc>
          <w:tcPr>
            <w:tcW w:w="1323" w:type="pct"/>
            <w:vAlign w:val="center"/>
          </w:tcPr>
          <w:p w:rsidR="00291927" w:rsidRPr="00707C6B" w:rsidRDefault="00291927" w:rsidP="00650BE2">
            <w:pPr>
              <w:spacing w:line="280" w:lineRule="exact"/>
              <w:jc w:val="center"/>
              <w:rPr>
                <w:rFonts w:ascii="仿宋" w:eastAsia="仿宋" w:hAnsi="仿宋" w:cs="方正仿宋简体"/>
                <w:bCs/>
                <w:iCs/>
              </w:rPr>
            </w:pPr>
            <w:r w:rsidRPr="00707C6B">
              <w:rPr>
                <w:rFonts w:ascii="仿宋" w:eastAsia="仿宋" w:hAnsi="仿宋" w:cs="方正仿宋简体" w:hint="eastAsia"/>
                <w:bCs/>
                <w:iCs/>
              </w:rPr>
              <w:t>本基金C类份额无申购费</w:t>
            </w:r>
          </w:p>
        </w:tc>
      </w:tr>
      <w:tr w:rsidR="00430E9F" w:rsidRPr="00707C6B" w:rsidTr="00430E9F">
        <w:trPr>
          <w:trHeight w:val="227"/>
        </w:trPr>
        <w:tc>
          <w:tcPr>
            <w:tcW w:w="1453" w:type="pct"/>
            <w:vMerge w:val="restart"/>
            <w:vAlign w:val="center"/>
          </w:tcPr>
          <w:p w:rsidR="00430E9F" w:rsidRPr="00707C6B" w:rsidRDefault="00430E9F" w:rsidP="00430E9F">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479" w:type="pct"/>
            <w:vAlign w:val="center"/>
          </w:tcPr>
          <w:p w:rsidR="00430E9F" w:rsidRPr="00707C6B" w:rsidRDefault="00430E9F" w:rsidP="00430E9F">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N &lt; 7日 </w:t>
            </w:r>
          </w:p>
        </w:tc>
        <w:tc>
          <w:tcPr>
            <w:tcW w:w="745" w:type="pct"/>
            <w:vAlign w:val="center"/>
          </w:tcPr>
          <w:p w:rsidR="00430E9F" w:rsidRPr="00707C6B" w:rsidRDefault="00430E9F" w:rsidP="00430E9F">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1.50%  </w:t>
            </w:r>
          </w:p>
        </w:tc>
        <w:tc>
          <w:tcPr>
            <w:tcW w:w="1323" w:type="pct"/>
            <w:vAlign w:val="center"/>
          </w:tcPr>
          <w:p w:rsidR="00430E9F" w:rsidRPr="00707C6B" w:rsidRDefault="00430E9F" w:rsidP="00430E9F">
            <w:pPr>
              <w:spacing w:line="280" w:lineRule="exact"/>
              <w:jc w:val="center"/>
              <w:rPr>
                <w:rFonts w:ascii="仿宋" w:eastAsia="仿宋" w:hAnsi="仿宋" w:cs="方正仿宋简体"/>
                <w:bCs/>
                <w:iCs/>
              </w:rPr>
            </w:pPr>
          </w:p>
        </w:tc>
      </w:tr>
      <w:tr w:rsidR="00430E9F" w:rsidRPr="00707C6B" w:rsidTr="00430E9F">
        <w:trPr>
          <w:trHeight w:val="227"/>
        </w:trPr>
        <w:tc>
          <w:tcPr>
            <w:tcW w:w="1453" w:type="pct"/>
            <w:vMerge/>
            <w:vAlign w:val="center"/>
          </w:tcPr>
          <w:p w:rsidR="00430E9F" w:rsidRPr="00707C6B" w:rsidRDefault="00430E9F" w:rsidP="00430E9F">
            <w:pPr>
              <w:spacing w:line="280" w:lineRule="exact"/>
              <w:jc w:val="center"/>
              <w:rPr>
                <w:rFonts w:ascii="仿宋" w:eastAsia="仿宋" w:hAnsi="仿宋" w:cs="方正仿宋简体"/>
                <w:b/>
                <w:bCs/>
                <w:iCs/>
              </w:rPr>
            </w:pPr>
          </w:p>
        </w:tc>
        <w:tc>
          <w:tcPr>
            <w:tcW w:w="1479" w:type="pct"/>
            <w:vAlign w:val="center"/>
          </w:tcPr>
          <w:p w:rsidR="00430E9F" w:rsidRPr="00707C6B" w:rsidRDefault="00430E9F" w:rsidP="00430E9F">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7日 ≤ N &lt; 30日 </w:t>
            </w:r>
          </w:p>
        </w:tc>
        <w:tc>
          <w:tcPr>
            <w:tcW w:w="745" w:type="pct"/>
            <w:vAlign w:val="center"/>
          </w:tcPr>
          <w:p w:rsidR="00430E9F" w:rsidRPr="00707C6B" w:rsidRDefault="00430E9F" w:rsidP="00430E9F">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0.50%  </w:t>
            </w:r>
          </w:p>
        </w:tc>
        <w:tc>
          <w:tcPr>
            <w:tcW w:w="1323" w:type="pct"/>
            <w:vAlign w:val="center"/>
          </w:tcPr>
          <w:p w:rsidR="00430E9F" w:rsidRPr="00707C6B" w:rsidRDefault="00430E9F" w:rsidP="00430E9F">
            <w:pPr>
              <w:spacing w:line="280" w:lineRule="exact"/>
              <w:jc w:val="center"/>
              <w:rPr>
                <w:rFonts w:ascii="仿宋" w:eastAsia="仿宋" w:hAnsi="仿宋" w:cs="方正仿宋简体"/>
                <w:bCs/>
                <w:iCs/>
              </w:rPr>
            </w:pPr>
          </w:p>
        </w:tc>
      </w:tr>
      <w:tr w:rsidR="00430E9F" w:rsidRPr="00707C6B" w:rsidTr="00430E9F">
        <w:trPr>
          <w:trHeight w:val="227"/>
        </w:trPr>
        <w:tc>
          <w:tcPr>
            <w:tcW w:w="1453" w:type="pct"/>
            <w:vMerge/>
            <w:vAlign w:val="center"/>
          </w:tcPr>
          <w:p w:rsidR="00430E9F" w:rsidRPr="00707C6B" w:rsidRDefault="00430E9F" w:rsidP="00430E9F">
            <w:pPr>
              <w:spacing w:line="280" w:lineRule="exact"/>
              <w:jc w:val="center"/>
              <w:rPr>
                <w:rFonts w:ascii="仿宋" w:eastAsia="仿宋" w:hAnsi="仿宋" w:cs="方正仿宋简体"/>
                <w:b/>
                <w:bCs/>
                <w:iCs/>
              </w:rPr>
            </w:pPr>
          </w:p>
        </w:tc>
        <w:tc>
          <w:tcPr>
            <w:tcW w:w="1479" w:type="pct"/>
            <w:vAlign w:val="center"/>
          </w:tcPr>
          <w:p w:rsidR="00430E9F" w:rsidRPr="00707C6B" w:rsidRDefault="00430E9F" w:rsidP="00430E9F">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N ≥ 30日 </w:t>
            </w:r>
          </w:p>
        </w:tc>
        <w:tc>
          <w:tcPr>
            <w:tcW w:w="745" w:type="pct"/>
            <w:vAlign w:val="center"/>
          </w:tcPr>
          <w:p w:rsidR="00430E9F" w:rsidRPr="00707C6B" w:rsidRDefault="00430E9F" w:rsidP="00430E9F">
            <w:pPr>
              <w:spacing w:line="280" w:lineRule="exact"/>
              <w:jc w:val="center"/>
              <w:rPr>
                <w:rFonts w:ascii="仿宋" w:eastAsia="仿宋" w:hAnsi="仿宋" w:cs="方正仿宋简体"/>
                <w:bCs/>
                <w:iCs/>
              </w:rPr>
            </w:pPr>
            <w:r w:rsidRPr="00707C6B">
              <w:rPr>
                <w:rFonts w:ascii="仿宋" w:eastAsia="仿宋" w:hAnsi="仿宋" w:cs="方正仿宋简体" w:hint="eastAsia"/>
                <w:bCs/>
                <w:iCs/>
              </w:rPr>
              <w:t>-</w:t>
            </w:r>
          </w:p>
        </w:tc>
        <w:tc>
          <w:tcPr>
            <w:tcW w:w="1323" w:type="pct"/>
            <w:vAlign w:val="center"/>
          </w:tcPr>
          <w:p w:rsidR="00430E9F" w:rsidRPr="00707C6B" w:rsidRDefault="00430E9F" w:rsidP="00430E9F">
            <w:pPr>
              <w:spacing w:line="280" w:lineRule="exact"/>
              <w:jc w:val="center"/>
              <w:rPr>
                <w:rFonts w:ascii="仿宋" w:eastAsia="仿宋" w:hAnsi="仿宋" w:cs="方正仿宋简体"/>
                <w:bCs/>
                <w:iCs/>
              </w:rPr>
            </w:pPr>
          </w:p>
        </w:tc>
      </w:tr>
    </w:tbl>
    <w:p w:rsidR="000612DA" w:rsidRPr="00707C6B" w:rsidRDefault="000612DA">
      <w:pPr>
        <w:spacing w:line="280" w:lineRule="exact"/>
        <w:rPr>
          <w:rFonts w:ascii="仿宋" w:eastAsia="仿宋" w:hAnsi="仿宋" w:cs="方正仿宋简体"/>
          <w:b/>
          <w:iCs/>
          <w:sz w:val="24"/>
          <w:szCs w:val="24"/>
        </w:rPr>
      </w:pPr>
    </w:p>
    <w:p w:rsidR="000612DA" w:rsidRPr="00707C6B" w:rsidRDefault="00EE0C11" w:rsidP="003D461D">
      <w:pPr>
        <w:spacing w:line="360" w:lineRule="auto"/>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（二）基金运作相关费用</w:t>
      </w:r>
    </w:p>
    <w:p w:rsidR="000612DA" w:rsidRPr="00707C6B" w:rsidRDefault="00EE0C11" w:rsidP="003D461D">
      <w:pPr>
        <w:autoSpaceDE w:val="0"/>
        <w:autoSpaceDN w:val="0"/>
        <w:adjustRightInd w:val="0"/>
        <w:spacing w:line="360" w:lineRule="auto"/>
        <w:jc w:val="left"/>
        <w:rPr>
          <w:rFonts w:ascii="仿宋" w:eastAsia="仿宋" w:hAnsi="仿宋" w:cs="方正仿宋简体"/>
          <w:iCs/>
        </w:rPr>
      </w:pPr>
      <w:r w:rsidRPr="00707C6B">
        <w:rPr>
          <w:rFonts w:ascii="仿宋" w:eastAsia="仿宋" w:hAnsi="仿宋" w:hint="eastAsia"/>
        </w:rPr>
        <w:t>以下</w:t>
      </w:r>
      <w:r w:rsidRPr="00707C6B">
        <w:rPr>
          <w:rFonts w:ascii="仿宋" w:eastAsia="仿宋" w:hAnsi="仿宋" w:cs="方正仿宋简体" w:hint="eastAsia"/>
          <w:iCs/>
        </w:rPr>
        <w:t>费用将从基金资产中扣除：</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649"/>
        <w:gridCol w:w="5989"/>
      </w:tblGrid>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
                <w:bCs/>
              </w:rPr>
            </w:pPr>
            <w:r w:rsidRPr="00707C6B">
              <w:rPr>
                <w:rFonts w:ascii="仿宋" w:eastAsia="仿宋" w:hAnsi="仿宋" w:cs="方正仿宋简体" w:hint="eastAsia"/>
                <w:b/>
                <w:bCs/>
                <w:iCs/>
              </w:rPr>
              <w:t>费用类别</w:t>
            </w:r>
          </w:p>
        </w:tc>
        <w:tc>
          <w:tcPr>
            <w:tcW w:w="3107"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收费方式/年费率</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Cs/>
                <w:iCs/>
              </w:rPr>
            </w:pPr>
            <w:r w:rsidRPr="00707C6B">
              <w:rPr>
                <w:rFonts w:ascii="仿宋" w:eastAsia="仿宋" w:hAnsi="仿宋" w:cs="方正仿宋简体" w:hint="eastAsia"/>
                <w:bCs/>
                <w:iCs/>
              </w:rPr>
              <w:t>管理费</w:t>
            </w:r>
          </w:p>
        </w:tc>
        <w:tc>
          <w:tcPr>
            <w:tcW w:w="3107"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1.50%</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Cs/>
                <w:iCs/>
              </w:rPr>
            </w:pPr>
            <w:r w:rsidRPr="00707C6B">
              <w:rPr>
                <w:rFonts w:ascii="仿宋" w:eastAsia="仿宋" w:hAnsi="仿宋" w:cs="方正仿宋简体" w:hint="eastAsia"/>
                <w:bCs/>
                <w:iCs/>
              </w:rPr>
              <w:t>托管费</w:t>
            </w:r>
          </w:p>
        </w:tc>
        <w:tc>
          <w:tcPr>
            <w:tcW w:w="3107"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0.25%</w:t>
            </w:r>
          </w:p>
        </w:tc>
      </w:tr>
      <w:tr w:rsidR="00291927" w:rsidRPr="00707C6B" w:rsidTr="003D461D">
        <w:trPr>
          <w:trHeight w:val="227"/>
        </w:trPr>
        <w:tc>
          <w:tcPr>
            <w:tcW w:w="1893" w:type="pct"/>
            <w:vAlign w:val="center"/>
          </w:tcPr>
          <w:p w:rsidR="00291927" w:rsidRPr="00707C6B" w:rsidRDefault="00291927" w:rsidP="00291927">
            <w:pPr>
              <w:spacing w:line="280" w:lineRule="exact"/>
              <w:rPr>
                <w:rFonts w:ascii="仿宋" w:eastAsia="仿宋" w:hAnsi="仿宋" w:cs="方正仿宋简体"/>
                <w:iCs/>
              </w:rPr>
            </w:pPr>
            <w:r w:rsidRPr="00707C6B">
              <w:rPr>
                <w:rFonts w:ascii="仿宋" w:eastAsia="仿宋" w:hAnsi="仿宋" w:cs="方正仿宋简体" w:hint="eastAsia"/>
                <w:iCs/>
              </w:rPr>
              <w:lastRenderedPageBreak/>
              <w:t>销售服务费</w:t>
            </w:r>
          </w:p>
        </w:tc>
        <w:tc>
          <w:tcPr>
            <w:tcW w:w="3107" w:type="pct"/>
            <w:vAlign w:val="center"/>
          </w:tcPr>
          <w:p w:rsidR="00291927" w:rsidRPr="00707C6B" w:rsidRDefault="00291927" w:rsidP="00291927">
            <w:pPr>
              <w:spacing w:line="280" w:lineRule="exact"/>
              <w:jc w:val="center"/>
              <w:rPr>
                <w:rFonts w:ascii="仿宋" w:eastAsia="仿宋" w:hAnsi="仿宋" w:cs="方正仿宋简体"/>
                <w:bCs/>
                <w:iCs/>
              </w:rPr>
            </w:pPr>
            <w:r w:rsidRPr="00707C6B">
              <w:rPr>
                <w:rFonts w:ascii="仿宋" w:eastAsia="仿宋" w:hAnsi="仿宋" w:cs="方正仿宋简体" w:hint="eastAsia"/>
                <w:bCs/>
                <w:iCs/>
              </w:rPr>
              <w:t>0.40%</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其他费用</w:t>
            </w:r>
          </w:p>
        </w:tc>
        <w:tc>
          <w:tcPr>
            <w:tcW w:w="3107" w:type="pct"/>
            <w:vAlign w:val="center"/>
          </w:tcPr>
          <w:p w:rsidR="000612DA" w:rsidRPr="00707C6B" w:rsidRDefault="00EE0C11" w:rsidP="003D461D">
            <w:pPr>
              <w:spacing w:line="280" w:lineRule="exact"/>
              <w:jc w:val="left"/>
              <w:rPr>
                <w:rFonts w:ascii="仿宋" w:eastAsia="仿宋" w:hAnsi="仿宋" w:cs="方正仿宋简体"/>
                <w:bCs/>
                <w:iCs/>
              </w:rPr>
            </w:pPr>
            <w:r w:rsidRPr="00707C6B">
              <w:rPr>
                <w:rFonts w:ascii="仿宋" w:eastAsia="仿宋" w:hAnsi="仿宋" w:cs="方正仿宋简体" w:hint="eastAsia"/>
                <w:bCs/>
                <w:iCs/>
              </w:rPr>
              <w:t>《基金合同》生效后与基金相关的信息披露费用、会计师费、律师费、诉讼费、基金份额持有人大会费用、</w:t>
            </w:r>
            <w:r w:rsidR="007A6842">
              <w:rPr>
                <w:rFonts w:ascii="仿宋" w:eastAsia="仿宋" w:hAnsi="仿宋" w:cs="方正仿宋简体" w:hint="eastAsia"/>
                <w:bCs/>
                <w:iCs/>
              </w:rPr>
              <w:t>证券、期货账户开户费用、银行账户维护费</w:t>
            </w:r>
            <w:r w:rsidRPr="00707C6B">
              <w:rPr>
                <w:rFonts w:ascii="仿宋" w:eastAsia="仿宋" w:hAnsi="仿宋" w:cs="方正仿宋简体" w:hint="eastAsia"/>
                <w:bCs/>
                <w:iCs/>
              </w:rPr>
              <w:t>、</w:t>
            </w:r>
            <w:r w:rsidR="007A6842" w:rsidRPr="007A6842">
              <w:rPr>
                <w:rFonts w:ascii="仿宋" w:eastAsia="仿宋" w:hAnsi="仿宋" w:cs="方正仿宋简体" w:hint="eastAsia"/>
                <w:bCs/>
                <w:iCs/>
              </w:rPr>
              <w:t>因投资港股通标的股票而产生的各项合理费用</w:t>
            </w:r>
            <w:r w:rsidR="007A6842">
              <w:rPr>
                <w:rFonts w:ascii="仿宋" w:eastAsia="仿宋" w:hAnsi="仿宋" w:cs="方正仿宋简体" w:hint="eastAsia"/>
                <w:bCs/>
                <w:iCs/>
              </w:rPr>
              <w:t>、以及</w:t>
            </w:r>
            <w:r w:rsidRPr="00707C6B">
              <w:rPr>
                <w:rFonts w:ascii="仿宋" w:eastAsia="仿宋" w:hAnsi="仿宋" w:cs="方正仿宋简体" w:hint="eastAsia"/>
                <w:bCs/>
                <w:iCs/>
              </w:rPr>
              <w:t>按照国家有关规定和《基金合同》约定，可以在基金财产中列支的其他费用。</w:t>
            </w:r>
          </w:p>
        </w:tc>
      </w:tr>
    </w:tbl>
    <w:p w:rsidR="000612DA" w:rsidRPr="00707C6B" w:rsidRDefault="00EE0C11">
      <w:pPr>
        <w:autoSpaceDE w:val="0"/>
        <w:autoSpaceDN w:val="0"/>
        <w:adjustRightInd w:val="0"/>
        <w:spacing w:line="280" w:lineRule="exact"/>
        <w:jc w:val="left"/>
        <w:rPr>
          <w:rFonts w:ascii="仿宋" w:eastAsia="仿宋" w:hAnsi="仿宋" w:cs="方正仿宋简体"/>
          <w:bCs/>
          <w:iCs/>
        </w:rPr>
      </w:pPr>
      <w:r w:rsidRPr="00707C6B">
        <w:rPr>
          <w:rFonts w:ascii="仿宋" w:eastAsia="仿宋" w:hAnsi="仿宋" w:cs="方正仿宋简体" w:hint="eastAsia"/>
          <w:bCs/>
          <w:iCs/>
        </w:rPr>
        <w:t>注：本基金交易证券、基金等产生的费用和税负，按实际发生额从基金资产扣除。</w:t>
      </w:r>
    </w:p>
    <w:p w:rsidR="000612DA" w:rsidRPr="00707C6B" w:rsidRDefault="000612DA">
      <w:pPr>
        <w:autoSpaceDE w:val="0"/>
        <w:autoSpaceDN w:val="0"/>
        <w:adjustRightInd w:val="0"/>
        <w:spacing w:line="280" w:lineRule="exact"/>
        <w:jc w:val="left"/>
        <w:rPr>
          <w:rFonts w:ascii="仿宋" w:eastAsia="仿宋" w:hAnsi="仿宋" w:cs="仿宋_GB2312"/>
          <w:kern w:val="0"/>
          <w:szCs w:val="24"/>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风险揭示与重要提示</w:t>
      </w:r>
    </w:p>
    <w:p w:rsidR="000612DA" w:rsidRPr="00707C6B" w:rsidRDefault="00EE0C11">
      <w:pPr>
        <w:spacing w:line="280" w:lineRule="exact"/>
        <w:outlineLvl w:val="1"/>
        <w:rPr>
          <w:rFonts w:ascii="仿宋" w:eastAsia="仿宋" w:hAnsi="仿宋"/>
          <w:color w:val="0000FF"/>
          <w:kern w:val="0"/>
          <w:sz w:val="18"/>
        </w:rPr>
      </w:pPr>
      <w:r w:rsidRPr="00707C6B">
        <w:rPr>
          <w:rFonts w:ascii="仿宋" w:eastAsia="仿宋" w:hAnsi="仿宋" w:cs="方正仿宋简体" w:hint="eastAsia"/>
          <w:b/>
          <w:bCs/>
          <w:iCs/>
          <w:sz w:val="24"/>
          <w:szCs w:val="24"/>
        </w:rPr>
        <w:t>（一）风险揭示</w:t>
      </w:r>
    </w:p>
    <w:p w:rsidR="000612DA" w:rsidRPr="00707C6B" w:rsidRDefault="00F4421C">
      <w:pPr>
        <w:spacing w:line="280" w:lineRule="exact"/>
        <w:ind w:firstLine="420"/>
        <w:rPr>
          <w:rFonts w:ascii="仿宋" w:eastAsia="仿宋" w:hAnsi="仿宋" w:cs="方正仿宋简体"/>
          <w:iCs/>
        </w:rPr>
      </w:pPr>
      <w:r>
        <w:rPr>
          <w:rFonts w:ascii="仿宋" w:eastAsia="仿宋" w:hAnsi="仿宋" w:cs="方正仿宋简体" w:hint="eastAsia"/>
          <w:iCs/>
        </w:rPr>
        <w:t>本基金不提供任何保证。投资者可能损失投资本金。</w:t>
      </w:r>
    </w:p>
    <w:p w:rsidR="000612DA" w:rsidRPr="00707C6B" w:rsidRDefault="00F4421C">
      <w:pPr>
        <w:spacing w:line="280" w:lineRule="exact"/>
        <w:ind w:firstLine="420"/>
        <w:rPr>
          <w:rFonts w:ascii="仿宋" w:eastAsia="仿宋" w:hAnsi="仿宋" w:cs="方正仿宋简体"/>
          <w:iCs/>
        </w:rPr>
      </w:pPr>
      <w:r>
        <w:rPr>
          <w:rFonts w:ascii="仿宋" w:eastAsia="仿宋" w:hAnsi="仿宋" w:cs="方正仿宋简体" w:hint="eastAsia"/>
          <w:iCs/>
        </w:rPr>
        <w:t>投资有风险，投资者购买基金时应认真阅读本基金的《招募说明书》等销售文件。</w:t>
      </w:r>
    </w:p>
    <w:p w:rsidR="000612DA" w:rsidRDefault="00F4421C">
      <w:pPr>
        <w:spacing w:line="280" w:lineRule="exact"/>
        <w:ind w:firstLine="420"/>
        <w:rPr>
          <w:rFonts w:ascii="仿宋" w:eastAsia="仿宋" w:hAnsi="仿宋" w:cs="方正仿宋简体"/>
          <w:iCs/>
        </w:rPr>
      </w:pPr>
      <w:r>
        <w:rPr>
          <w:rFonts w:ascii="仿宋" w:eastAsia="仿宋" w:hAnsi="仿宋" w:cs="方正仿宋简体" w:hint="eastAsia"/>
          <w:iCs/>
        </w:rPr>
        <w:t>1、本基金特有风险</w:t>
      </w:r>
    </w:p>
    <w:p w:rsidR="007A6842" w:rsidRDefault="007A6842">
      <w:pPr>
        <w:spacing w:line="280" w:lineRule="exact"/>
        <w:ind w:firstLine="420"/>
        <w:rPr>
          <w:rFonts w:ascii="仿宋" w:eastAsia="仿宋" w:hAnsi="仿宋" w:cs="方正仿宋简体"/>
          <w:iCs/>
        </w:rPr>
      </w:pPr>
      <w:r w:rsidRPr="007A6842">
        <w:rPr>
          <w:rFonts w:ascii="仿宋" w:eastAsia="仿宋" w:hAnsi="仿宋" w:cs="方正仿宋简体" w:hint="eastAsia"/>
          <w:iCs/>
        </w:rPr>
        <w:t>（1</w:t>
      </w:r>
      <w:r w:rsidR="00856512">
        <w:rPr>
          <w:rFonts w:ascii="仿宋" w:eastAsia="仿宋" w:hAnsi="仿宋" w:cs="方正仿宋简体" w:hint="eastAsia"/>
          <w:iCs/>
        </w:rPr>
        <w:t>）</w:t>
      </w:r>
      <w:r w:rsidRPr="007A6842">
        <w:rPr>
          <w:rFonts w:ascii="仿宋" w:eastAsia="仿宋" w:hAnsi="仿宋" w:cs="方正仿宋简体" w:hint="eastAsia"/>
          <w:iCs/>
        </w:rPr>
        <w:t>投资港股通标的股票的风险</w:t>
      </w:r>
    </w:p>
    <w:p w:rsidR="007A6842" w:rsidRDefault="007A6842">
      <w:pPr>
        <w:spacing w:line="280" w:lineRule="exact"/>
        <w:ind w:firstLine="420"/>
        <w:rPr>
          <w:rFonts w:ascii="仿宋" w:eastAsia="仿宋" w:hAnsi="仿宋" w:cs="方正仿宋简体"/>
          <w:iCs/>
        </w:rPr>
      </w:pPr>
      <w:r w:rsidRPr="007A6842">
        <w:rPr>
          <w:rFonts w:ascii="仿宋" w:eastAsia="仿宋" w:hAnsi="仿宋" w:cs="方正仿宋简体" w:hint="eastAsia"/>
          <w:iCs/>
        </w:rPr>
        <w:t>本基金通过“内地与香港股票市场交易互联互通机制”投资于香港市场，在市场进入、投资额度、可投资对象、分红派息、税务政策等方面都有一定的限制，而且此类限制可能会不断调整，这些限制因素的变化可能对本基金进入或退出当地市场造成障</w:t>
      </w:r>
      <w:r>
        <w:rPr>
          <w:rFonts w:ascii="仿宋" w:eastAsia="仿宋" w:hAnsi="仿宋" w:cs="方正仿宋简体" w:hint="eastAsia"/>
          <w:iCs/>
        </w:rPr>
        <w:t>碍，从而对投资收益以及正常的申购赎回产生直接或间接的影响。比如</w:t>
      </w:r>
      <w:r w:rsidRPr="007A6842">
        <w:rPr>
          <w:rFonts w:ascii="仿宋" w:eastAsia="仿宋" w:hAnsi="仿宋" w:cs="方正仿宋简体" w:hint="eastAsia"/>
          <w:iCs/>
        </w:rPr>
        <w:t>港股交易失败风险</w:t>
      </w:r>
      <w:r>
        <w:rPr>
          <w:rFonts w:ascii="仿宋" w:eastAsia="仿宋" w:hAnsi="仿宋" w:cs="方正仿宋简体" w:hint="eastAsia"/>
          <w:iCs/>
        </w:rPr>
        <w:t>、</w:t>
      </w:r>
      <w:r w:rsidRPr="007A6842">
        <w:rPr>
          <w:rFonts w:ascii="仿宋" w:eastAsia="仿宋" w:hAnsi="仿宋" w:cs="方正仿宋简体" w:hint="eastAsia"/>
          <w:iCs/>
        </w:rPr>
        <w:t>汇率风险</w:t>
      </w:r>
      <w:r>
        <w:rPr>
          <w:rFonts w:ascii="仿宋" w:eastAsia="仿宋" w:hAnsi="仿宋" w:cs="方正仿宋简体" w:hint="eastAsia"/>
          <w:iCs/>
        </w:rPr>
        <w:t>、</w:t>
      </w:r>
      <w:proofErr w:type="gramStart"/>
      <w:r w:rsidRPr="007A6842">
        <w:rPr>
          <w:rFonts w:ascii="仿宋" w:eastAsia="仿宋" w:hAnsi="仿宋" w:cs="方正仿宋简体" w:hint="eastAsia"/>
          <w:iCs/>
        </w:rPr>
        <w:t>港股通可投资</w:t>
      </w:r>
      <w:proofErr w:type="gramEnd"/>
      <w:r w:rsidRPr="007A6842">
        <w:rPr>
          <w:rFonts w:ascii="仿宋" w:eastAsia="仿宋" w:hAnsi="仿宋" w:cs="方正仿宋简体" w:hint="eastAsia"/>
          <w:iCs/>
        </w:rPr>
        <w:t>标的范围调整带来的风险</w:t>
      </w:r>
      <w:r>
        <w:rPr>
          <w:rFonts w:ascii="仿宋" w:eastAsia="仿宋" w:hAnsi="仿宋" w:cs="方正仿宋简体" w:hint="eastAsia"/>
          <w:iCs/>
        </w:rPr>
        <w:t>、</w:t>
      </w:r>
      <w:r w:rsidRPr="007A6842">
        <w:rPr>
          <w:rFonts w:ascii="仿宋" w:eastAsia="仿宋" w:hAnsi="仿宋" w:cs="方正仿宋简体" w:hint="eastAsia"/>
          <w:iCs/>
        </w:rPr>
        <w:t>境外市场的风险</w:t>
      </w:r>
      <w:r>
        <w:rPr>
          <w:rFonts w:ascii="仿宋" w:eastAsia="仿宋" w:hAnsi="仿宋" w:cs="方正仿宋简体" w:hint="eastAsia"/>
          <w:iCs/>
        </w:rPr>
        <w:t>。</w:t>
      </w:r>
    </w:p>
    <w:p w:rsidR="007A6842" w:rsidRDefault="007A6842">
      <w:pPr>
        <w:spacing w:line="280" w:lineRule="exact"/>
        <w:ind w:firstLine="420"/>
        <w:rPr>
          <w:rFonts w:ascii="仿宋" w:eastAsia="仿宋" w:hAnsi="仿宋" w:cs="方正仿宋简体"/>
          <w:iCs/>
        </w:rPr>
      </w:pPr>
      <w:r w:rsidRPr="007A6842">
        <w:rPr>
          <w:rFonts w:ascii="仿宋" w:eastAsia="仿宋" w:hAnsi="仿宋" w:cs="方正仿宋简体" w:hint="eastAsia"/>
          <w:iCs/>
        </w:rPr>
        <w:t>本基金会根据市场环境的变化以及投资策略的需要进行调整，选择将部分基金资产投资于港股通标的股票或选择不将基金资产投资于港股通标的股票，因此本基金存在不对港股进行投资的可能。</w:t>
      </w:r>
    </w:p>
    <w:p w:rsidR="007A6842" w:rsidRPr="007A6842" w:rsidRDefault="007A6842" w:rsidP="007A6842">
      <w:pPr>
        <w:spacing w:line="280" w:lineRule="exact"/>
        <w:ind w:firstLine="420"/>
        <w:rPr>
          <w:rFonts w:ascii="仿宋" w:eastAsia="仿宋" w:hAnsi="仿宋" w:cs="方正仿宋简体"/>
          <w:iCs/>
        </w:rPr>
      </w:pPr>
      <w:r>
        <w:rPr>
          <w:rFonts w:ascii="仿宋" w:eastAsia="仿宋" w:hAnsi="仿宋" w:cs="方正仿宋简体" w:hint="eastAsia"/>
          <w:iCs/>
        </w:rPr>
        <w:t>（2）</w:t>
      </w:r>
      <w:r w:rsidRPr="007A6842">
        <w:rPr>
          <w:rFonts w:ascii="仿宋" w:eastAsia="仿宋" w:hAnsi="仿宋" w:cs="方正仿宋简体" w:hint="eastAsia"/>
          <w:iCs/>
        </w:rPr>
        <w:t>提前终止风险</w:t>
      </w:r>
    </w:p>
    <w:p w:rsidR="007A6842" w:rsidRDefault="007A6842" w:rsidP="007A6842">
      <w:pPr>
        <w:spacing w:line="280" w:lineRule="exact"/>
        <w:ind w:firstLine="420"/>
        <w:rPr>
          <w:rFonts w:ascii="仿宋" w:eastAsia="仿宋" w:hAnsi="仿宋" w:cs="方正仿宋简体"/>
          <w:iCs/>
        </w:rPr>
      </w:pPr>
      <w:r w:rsidRPr="007A6842">
        <w:rPr>
          <w:rFonts w:ascii="仿宋" w:eastAsia="仿宋" w:hAnsi="仿宋" w:cs="方正仿宋简体" w:hint="eastAsia"/>
          <w:iCs/>
        </w:rPr>
        <w:t>根据基金合同约定，《基金合同》生效后，连续50个工作日出现基金份额持有人数量不满200人或者基金资产净值低于5000万元的，基金管理人应当终止基金合同，并按照基金合同的约定程序进行清算，不需要召开基金份额持有人大会进行表决。因此投资人面临因上述事项基金合同提前终止的风险。</w:t>
      </w:r>
    </w:p>
    <w:p w:rsidR="007A6842" w:rsidRPr="00707C6B" w:rsidRDefault="007A6842" w:rsidP="007A6842">
      <w:pPr>
        <w:spacing w:line="280" w:lineRule="exact"/>
        <w:ind w:firstLine="420"/>
        <w:rPr>
          <w:rFonts w:ascii="仿宋" w:eastAsia="仿宋" w:hAnsi="仿宋" w:cs="方正仿宋简体"/>
          <w:iCs/>
        </w:rPr>
      </w:pPr>
      <w:r>
        <w:rPr>
          <w:rFonts w:ascii="仿宋" w:eastAsia="仿宋" w:hAnsi="仿宋" w:cs="方正仿宋简体" w:hint="eastAsia"/>
          <w:iCs/>
        </w:rPr>
        <w:t>（3</w:t>
      </w:r>
      <w:r>
        <w:rPr>
          <w:rFonts w:ascii="仿宋" w:eastAsia="仿宋" w:hAnsi="仿宋" w:cs="方正仿宋简体"/>
          <w:iCs/>
        </w:rPr>
        <w:t>）</w:t>
      </w:r>
      <w:r w:rsidRPr="007A6842">
        <w:rPr>
          <w:rFonts w:ascii="仿宋" w:eastAsia="仿宋" w:hAnsi="仿宋" w:cs="方正仿宋简体" w:hint="eastAsia"/>
          <w:iCs/>
        </w:rPr>
        <w:t>本基金投资于国债期货、股指期货等金融衍生品可能给本基金带来额外风险。投资股指期货的风险</w:t>
      </w:r>
      <w:proofErr w:type="gramStart"/>
      <w:r w:rsidRPr="007A6842">
        <w:rPr>
          <w:rFonts w:ascii="仿宋" w:eastAsia="仿宋" w:hAnsi="仿宋" w:cs="方正仿宋简体" w:hint="eastAsia"/>
          <w:iCs/>
        </w:rPr>
        <w:t>包括基差风险</w:t>
      </w:r>
      <w:proofErr w:type="gramEnd"/>
      <w:r w:rsidRPr="007A6842">
        <w:rPr>
          <w:rFonts w:ascii="仿宋" w:eastAsia="仿宋" w:hAnsi="仿宋" w:cs="方正仿宋简体" w:hint="eastAsia"/>
          <w:iCs/>
        </w:rPr>
        <w:t>、合约品种差异造成的风险、标的物风险、衍生品模型风险等；投资国债期货的风险包括市场风险、</w:t>
      </w:r>
      <w:proofErr w:type="gramStart"/>
      <w:r w:rsidRPr="007A6842">
        <w:rPr>
          <w:rFonts w:ascii="仿宋" w:eastAsia="仿宋" w:hAnsi="仿宋" w:cs="方正仿宋简体" w:hint="eastAsia"/>
          <w:iCs/>
        </w:rPr>
        <w:t>基差风险</w:t>
      </w:r>
      <w:proofErr w:type="gramEnd"/>
      <w:r w:rsidRPr="007A6842">
        <w:rPr>
          <w:rFonts w:ascii="仿宋" w:eastAsia="仿宋" w:hAnsi="仿宋" w:cs="方正仿宋简体" w:hint="eastAsia"/>
          <w:iCs/>
        </w:rPr>
        <w:t>、流动性风险等。</w:t>
      </w:r>
    </w:p>
    <w:p w:rsidR="000612DA" w:rsidRPr="00707C6B" w:rsidRDefault="007A6842">
      <w:pPr>
        <w:spacing w:line="280" w:lineRule="exact"/>
        <w:ind w:firstLine="420"/>
        <w:rPr>
          <w:rFonts w:ascii="仿宋" w:eastAsia="仿宋" w:hAnsi="仿宋" w:cs="方正仿宋简体"/>
          <w:iCs/>
        </w:rPr>
      </w:pPr>
      <w:r>
        <w:rPr>
          <w:rFonts w:ascii="仿宋" w:eastAsia="仿宋" w:hAnsi="仿宋" w:cs="方正仿宋简体"/>
          <w:iCs/>
        </w:rPr>
        <w:t>2</w:t>
      </w:r>
      <w:r w:rsidR="00F4421C">
        <w:rPr>
          <w:rFonts w:ascii="仿宋" w:eastAsia="仿宋" w:hAnsi="仿宋" w:cs="方正仿宋简体" w:hint="eastAsia"/>
          <w:iCs/>
        </w:rPr>
        <w:t>、</w:t>
      </w:r>
      <w:r w:rsidR="00C55D91">
        <w:rPr>
          <w:rFonts w:ascii="仿宋" w:eastAsia="仿宋" w:hAnsi="仿宋" w:cs="方正仿宋简体" w:hint="eastAsia"/>
          <w:iCs/>
        </w:rPr>
        <w:t>开放式</w:t>
      </w:r>
      <w:r w:rsidR="00F4421C">
        <w:rPr>
          <w:rFonts w:ascii="仿宋" w:eastAsia="仿宋" w:hAnsi="仿宋" w:cs="方正仿宋简体" w:hint="eastAsia"/>
          <w:iCs/>
        </w:rPr>
        <w:t>基金的共有风险</w:t>
      </w:r>
    </w:p>
    <w:p w:rsidR="000612DA" w:rsidRPr="00707C6B" w:rsidRDefault="00F4421C">
      <w:pPr>
        <w:spacing w:line="280" w:lineRule="exact"/>
        <w:ind w:firstLine="420"/>
        <w:rPr>
          <w:rFonts w:ascii="仿宋" w:eastAsia="仿宋" w:hAnsi="仿宋" w:cs="方正仿宋简体"/>
          <w:iCs/>
        </w:rPr>
      </w:pPr>
      <w:r>
        <w:rPr>
          <w:rFonts w:ascii="仿宋" w:eastAsia="仿宋" w:hAnsi="仿宋" w:cs="方正仿宋简体" w:hint="eastAsia"/>
          <w:iCs/>
        </w:rPr>
        <w:t>（1）市场风险；（2）管理风险；（3）职业道德风险；（4）流动性风险；（5）合</w:t>
      </w:r>
      <w:proofErr w:type="gramStart"/>
      <w:r>
        <w:rPr>
          <w:rFonts w:ascii="仿宋" w:eastAsia="仿宋" w:hAnsi="仿宋" w:cs="方正仿宋简体" w:hint="eastAsia"/>
          <w:iCs/>
        </w:rPr>
        <w:t>规</w:t>
      </w:r>
      <w:proofErr w:type="gramEnd"/>
      <w:r>
        <w:rPr>
          <w:rFonts w:ascii="仿宋" w:eastAsia="仿宋" w:hAnsi="仿宋" w:cs="方正仿宋简体" w:hint="eastAsia"/>
          <w:iCs/>
        </w:rPr>
        <w:t>性风险；（6）投资管理风险等。</w:t>
      </w:r>
    </w:p>
    <w:p w:rsidR="000612DA" w:rsidRPr="00707C6B" w:rsidRDefault="007A6842">
      <w:pPr>
        <w:spacing w:line="280" w:lineRule="exact"/>
        <w:ind w:firstLine="420"/>
        <w:rPr>
          <w:rFonts w:ascii="仿宋" w:eastAsia="仿宋" w:hAnsi="仿宋" w:cs="方正仿宋简体"/>
          <w:iCs/>
        </w:rPr>
      </w:pPr>
      <w:r>
        <w:rPr>
          <w:rFonts w:ascii="仿宋" w:eastAsia="仿宋" w:hAnsi="仿宋" w:cs="方正仿宋简体"/>
          <w:iCs/>
        </w:rPr>
        <w:t>3</w:t>
      </w:r>
      <w:r w:rsidR="00F4421C">
        <w:rPr>
          <w:rFonts w:ascii="仿宋" w:eastAsia="仿宋" w:hAnsi="仿宋" w:cs="方正仿宋简体" w:hint="eastAsia"/>
          <w:iCs/>
        </w:rPr>
        <w:t>、其他风险</w:t>
      </w:r>
    </w:p>
    <w:p w:rsidR="000612DA" w:rsidRPr="00707C6B" w:rsidRDefault="00EE0C11">
      <w:pPr>
        <w:spacing w:line="280" w:lineRule="exact"/>
        <w:outlineLvl w:val="1"/>
        <w:rPr>
          <w:rFonts w:ascii="仿宋" w:eastAsia="仿宋" w:hAnsi="仿宋" w:cs="方正仿宋简体"/>
          <w:b/>
          <w:iCs/>
          <w:sz w:val="22"/>
          <w:szCs w:val="24"/>
        </w:rPr>
      </w:pPr>
      <w:r w:rsidRPr="00707C6B">
        <w:rPr>
          <w:rFonts w:ascii="仿宋" w:eastAsia="仿宋" w:hAnsi="仿宋" w:cs="方正仿宋简体" w:hint="eastAsia"/>
          <w:b/>
          <w:iCs/>
          <w:sz w:val="24"/>
          <w:szCs w:val="24"/>
        </w:rPr>
        <w:t>（二）重要提示</w:t>
      </w:r>
    </w:p>
    <w:p w:rsidR="000612DA" w:rsidRPr="00707C6B" w:rsidRDefault="00F4421C">
      <w:pPr>
        <w:spacing w:line="280" w:lineRule="exact"/>
        <w:ind w:firstLine="420"/>
        <w:rPr>
          <w:rFonts w:ascii="仿宋" w:eastAsia="仿宋" w:hAnsi="仿宋" w:cs="方正仿宋简体"/>
          <w:iCs/>
        </w:rPr>
      </w:pPr>
      <w:r>
        <w:rPr>
          <w:rFonts w:ascii="仿宋" w:eastAsia="仿宋" w:hAnsi="仿宋" w:cs="方正仿宋简体" w:hint="eastAsia"/>
          <w:iCs/>
        </w:rPr>
        <w:t>中国证监会对本基金募集的注册，并不表明其对本基金的价值和收益</w:t>
      </w:r>
      <w:proofErr w:type="gramStart"/>
      <w:r>
        <w:rPr>
          <w:rFonts w:ascii="仿宋" w:eastAsia="仿宋" w:hAnsi="仿宋" w:cs="方正仿宋简体" w:hint="eastAsia"/>
          <w:iCs/>
        </w:rPr>
        <w:t>作出</w:t>
      </w:r>
      <w:proofErr w:type="gramEnd"/>
      <w:r>
        <w:rPr>
          <w:rFonts w:ascii="仿宋" w:eastAsia="仿宋" w:hAnsi="仿宋" w:cs="方正仿宋简体" w:hint="eastAsia"/>
          <w:iCs/>
        </w:rPr>
        <w:t>实质性判断或保证，也不表明投资于本基金没有风险。</w:t>
      </w:r>
    </w:p>
    <w:p w:rsidR="000612DA" w:rsidRPr="00707C6B" w:rsidRDefault="00F4421C">
      <w:pPr>
        <w:spacing w:line="280" w:lineRule="exact"/>
        <w:ind w:firstLine="420"/>
        <w:rPr>
          <w:rFonts w:ascii="仿宋" w:eastAsia="仿宋" w:hAnsi="仿宋" w:cs="方正仿宋简体"/>
          <w:iCs/>
        </w:rPr>
      </w:pPr>
      <w:r>
        <w:rPr>
          <w:rFonts w:ascii="仿宋" w:eastAsia="仿宋" w:hAnsi="仿宋" w:cs="方正仿宋简体" w:hint="eastAsia"/>
          <w:iCs/>
        </w:rPr>
        <w:t>基金管理人依照恪尽职守、诚实信用、谨慎勤勉的原则管理和运用基金财产，但不保证基金一定盈利，也不保证最低收益。</w:t>
      </w:r>
    </w:p>
    <w:p w:rsidR="000612DA" w:rsidRPr="00707C6B" w:rsidRDefault="00F4421C">
      <w:pPr>
        <w:spacing w:line="280" w:lineRule="exact"/>
        <w:ind w:firstLine="420"/>
        <w:rPr>
          <w:rFonts w:ascii="仿宋" w:eastAsia="仿宋" w:hAnsi="仿宋" w:cs="方正仿宋简体"/>
          <w:iCs/>
        </w:rPr>
      </w:pPr>
      <w:r>
        <w:rPr>
          <w:rFonts w:ascii="仿宋" w:eastAsia="仿宋" w:hAnsi="仿宋" w:cs="方正仿宋简体" w:hint="eastAsia"/>
          <w:iCs/>
        </w:rPr>
        <w:t>基金</w:t>
      </w:r>
      <w:proofErr w:type="gramStart"/>
      <w:r>
        <w:rPr>
          <w:rFonts w:ascii="仿宋" w:eastAsia="仿宋" w:hAnsi="仿宋" w:cs="方正仿宋简体" w:hint="eastAsia"/>
          <w:iCs/>
        </w:rPr>
        <w:t>投资者自依基金</w:t>
      </w:r>
      <w:proofErr w:type="gramEnd"/>
      <w:r>
        <w:rPr>
          <w:rFonts w:ascii="仿宋" w:eastAsia="仿宋" w:hAnsi="仿宋" w:cs="方正仿宋简体" w:hint="eastAsia"/>
          <w:iCs/>
        </w:rPr>
        <w:t>合同取得基金份额，即成为基金份额持有人和基金合同的当事人。</w:t>
      </w:r>
    </w:p>
    <w:p w:rsidR="000612DA" w:rsidRPr="00707C6B" w:rsidRDefault="00F4421C">
      <w:pPr>
        <w:spacing w:line="280" w:lineRule="exact"/>
        <w:ind w:firstLine="420"/>
        <w:rPr>
          <w:rFonts w:ascii="仿宋" w:eastAsia="仿宋" w:hAnsi="仿宋" w:cs="方正仿宋简体"/>
          <w:iCs/>
        </w:rPr>
      </w:pPr>
      <w:r>
        <w:rPr>
          <w:rFonts w:ascii="仿宋" w:eastAsia="仿宋" w:hAnsi="仿宋" w:cs="方正仿宋简体" w:hint="eastAsia"/>
          <w:iCs/>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及定期报告等。</w:t>
      </w:r>
    </w:p>
    <w:p w:rsidR="000612DA" w:rsidRPr="00707C6B" w:rsidRDefault="00F4421C">
      <w:pPr>
        <w:spacing w:line="280" w:lineRule="exact"/>
        <w:ind w:firstLine="420"/>
        <w:rPr>
          <w:rFonts w:ascii="仿宋" w:eastAsia="仿宋" w:hAnsi="仿宋" w:cs="方正仿宋简体"/>
          <w:iCs/>
        </w:rPr>
      </w:pPr>
      <w:r>
        <w:rPr>
          <w:rFonts w:ascii="仿宋" w:eastAsia="仿宋" w:hAnsi="仿宋" w:cs="方正仿宋简体" w:hint="eastAsia"/>
          <w:iCs/>
        </w:rPr>
        <w:t>如投资者对基金合同有争议的，争议解决处理方式详见基金合同“争议的处理和适用的法律”部分或相关章节。</w:t>
      </w:r>
    </w:p>
    <w:p w:rsidR="000612DA" w:rsidRPr="00707C6B" w:rsidRDefault="000612DA">
      <w:pPr>
        <w:autoSpaceDE w:val="0"/>
        <w:autoSpaceDN w:val="0"/>
        <w:adjustRightInd w:val="0"/>
        <w:spacing w:line="280" w:lineRule="exact"/>
        <w:jc w:val="left"/>
        <w:rPr>
          <w:rFonts w:ascii="仿宋" w:eastAsia="仿宋" w:hAnsi="仿宋"/>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其他资料查询方式</w:t>
      </w:r>
    </w:p>
    <w:p w:rsidR="000612DA" w:rsidRPr="00BD6ACC" w:rsidRDefault="00F4421C" w:rsidP="00BD6ACC">
      <w:pPr>
        <w:spacing w:line="280" w:lineRule="exact"/>
        <w:ind w:firstLine="420"/>
        <w:rPr>
          <w:rFonts w:ascii="仿宋" w:eastAsia="仿宋" w:hAnsi="仿宋" w:cs="方正仿宋简体"/>
          <w:iCs/>
        </w:rPr>
      </w:pPr>
      <w:r>
        <w:rPr>
          <w:rFonts w:ascii="仿宋" w:eastAsia="仿宋" w:hAnsi="仿宋" w:cs="方正仿宋简体" w:hint="eastAsia"/>
          <w:iCs/>
        </w:rPr>
        <w:t>以下资料详见广发基金官方网站［www.gffunds.com.cn］［客服电话：95105828（免长途费）或020-83936999］</w:t>
      </w:r>
    </w:p>
    <w:p w:rsidR="000612DA" w:rsidRPr="00BD6ACC" w:rsidRDefault="00F4421C" w:rsidP="00BD6ACC">
      <w:pPr>
        <w:spacing w:line="280" w:lineRule="exact"/>
        <w:ind w:firstLine="420"/>
        <w:rPr>
          <w:rFonts w:ascii="仿宋" w:eastAsia="仿宋" w:hAnsi="仿宋" w:cs="方正仿宋简体"/>
          <w:iCs/>
        </w:rPr>
      </w:pPr>
      <w:r>
        <w:rPr>
          <w:rFonts w:ascii="仿宋" w:eastAsia="仿宋" w:hAnsi="仿宋" w:cs="方正仿宋简体" w:hint="eastAsia"/>
          <w:iCs/>
        </w:rPr>
        <w:t>（1）《广发</w:t>
      </w:r>
      <w:r w:rsidR="00C55D91">
        <w:rPr>
          <w:rFonts w:ascii="仿宋" w:eastAsia="仿宋" w:hAnsi="仿宋" w:cs="方正仿宋简体" w:hint="eastAsia"/>
          <w:iCs/>
        </w:rPr>
        <w:t>医药健康混合</w:t>
      </w:r>
      <w:r>
        <w:rPr>
          <w:rFonts w:ascii="仿宋" w:eastAsia="仿宋" w:hAnsi="仿宋" w:cs="方正仿宋简体" w:hint="eastAsia"/>
          <w:iCs/>
        </w:rPr>
        <w:t>型证券投资基金基金合同》</w:t>
      </w:r>
    </w:p>
    <w:p w:rsidR="000612DA" w:rsidRPr="00BD6ACC" w:rsidRDefault="00F4421C" w:rsidP="00BD6ACC">
      <w:pPr>
        <w:spacing w:line="280" w:lineRule="exact"/>
        <w:ind w:firstLine="420"/>
        <w:rPr>
          <w:rFonts w:ascii="仿宋" w:eastAsia="仿宋" w:hAnsi="仿宋" w:cs="方正仿宋简体"/>
          <w:iCs/>
        </w:rPr>
      </w:pPr>
      <w:r>
        <w:rPr>
          <w:rFonts w:ascii="仿宋" w:eastAsia="仿宋" w:hAnsi="仿宋" w:cs="方正仿宋简体" w:hint="eastAsia"/>
          <w:iCs/>
        </w:rPr>
        <w:t>（2）《广发</w:t>
      </w:r>
      <w:r w:rsidR="00C55D91">
        <w:rPr>
          <w:rFonts w:ascii="仿宋" w:eastAsia="仿宋" w:hAnsi="仿宋" w:cs="方正仿宋简体" w:hint="eastAsia"/>
          <w:iCs/>
        </w:rPr>
        <w:t>医药健康混合</w:t>
      </w:r>
      <w:r>
        <w:rPr>
          <w:rFonts w:ascii="仿宋" w:eastAsia="仿宋" w:hAnsi="仿宋" w:cs="方正仿宋简体" w:hint="eastAsia"/>
          <w:iCs/>
        </w:rPr>
        <w:t>型证券投资基金托管协议》</w:t>
      </w:r>
    </w:p>
    <w:p w:rsidR="000612DA" w:rsidRPr="00BD6ACC" w:rsidRDefault="00F4421C" w:rsidP="00BD6ACC">
      <w:pPr>
        <w:spacing w:line="280" w:lineRule="exact"/>
        <w:ind w:firstLine="420"/>
        <w:rPr>
          <w:rFonts w:ascii="仿宋" w:eastAsia="仿宋" w:hAnsi="仿宋" w:cs="方正仿宋简体"/>
          <w:iCs/>
        </w:rPr>
      </w:pPr>
      <w:r>
        <w:rPr>
          <w:rFonts w:ascii="仿宋" w:eastAsia="仿宋" w:hAnsi="仿宋" w:cs="方正仿宋简体" w:hint="eastAsia"/>
          <w:iCs/>
        </w:rPr>
        <w:t>（3）《广发</w:t>
      </w:r>
      <w:r w:rsidR="00C55D91">
        <w:rPr>
          <w:rFonts w:ascii="仿宋" w:eastAsia="仿宋" w:hAnsi="仿宋" w:cs="方正仿宋简体" w:hint="eastAsia"/>
          <w:iCs/>
        </w:rPr>
        <w:t>医药健康混合</w:t>
      </w:r>
      <w:r>
        <w:rPr>
          <w:rFonts w:ascii="仿宋" w:eastAsia="仿宋" w:hAnsi="仿宋" w:cs="方正仿宋简体" w:hint="eastAsia"/>
          <w:iCs/>
        </w:rPr>
        <w:t>型证券投资基金招募说明书》</w:t>
      </w:r>
    </w:p>
    <w:p w:rsidR="000612DA" w:rsidRPr="00BD6ACC" w:rsidRDefault="00F4421C" w:rsidP="00BD6ACC">
      <w:pPr>
        <w:spacing w:line="280" w:lineRule="exact"/>
        <w:ind w:firstLine="420"/>
        <w:rPr>
          <w:rFonts w:ascii="仿宋" w:eastAsia="仿宋" w:hAnsi="仿宋" w:cs="方正仿宋简体"/>
          <w:iCs/>
        </w:rPr>
      </w:pPr>
      <w:r>
        <w:rPr>
          <w:rFonts w:ascii="仿宋" w:eastAsia="仿宋" w:hAnsi="仿宋" w:cs="方正仿宋简体" w:hint="eastAsia"/>
          <w:iCs/>
        </w:rPr>
        <w:lastRenderedPageBreak/>
        <w:t>（4）定期报告，包括基金季度报告、中期报告和年度报告</w:t>
      </w:r>
    </w:p>
    <w:p w:rsidR="000612DA" w:rsidRPr="00BD6ACC" w:rsidRDefault="00F4421C" w:rsidP="00BD6ACC">
      <w:pPr>
        <w:spacing w:line="280" w:lineRule="exact"/>
        <w:ind w:firstLine="420"/>
        <w:rPr>
          <w:rFonts w:ascii="仿宋" w:eastAsia="仿宋" w:hAnsi="仿宋" w:cs="方正仿宋简体"/>
          <w:iCs/>
        </w:rPr>
      </w:pPr>
      <w:r>
        <w:rPr>
          <w:rFonts w:ascii="仿宋" w:eastAsia="仿宋" w:hAnsi="仿宋" w:cs="方正仿宋简体" w:hint="eastAsia"/>
          <w:iCs/>
        </w:rPr>
        <w:t>（5）基金份额净值</w:t>
      </w:r>
    </w:p>
    <w:p w:rsidR="000612DA" w:rsidRPr="00BD6ACC" w:rsidRDefault="00F4421C" w:rsidP="00BD6ACC">
      <w:pPr>
        <w:spacing w:line="280" w:lineRule="exact"/>
        <w:ind w:firstLine="420"/>
        <w:rPr>
          <w:rFonts w:ascii="仿宋" w:eastAsia="仿宋" w:hAnsi="仿宋" w:cs="方正仿宋简体"/>
          <w:iCs/>
        </w:rPr>
      </w:pPr>
      <w:r>
        <w:rPr>
          <w:rFonts w:ascii="仿宋" w:eastAsia="仿宋" w:hAnsi="仿宋" w:cs="方正仿宋简体" w:hint="eastAsia"/>
          <w:iCs/>
        </w:rPr>
        <w:t>（6）基金销售机构及联系方式</w:t>
      </w:r>
    </w:p>
    <w:p w:rsidR="000612DA" w:rsidRPr="00BD6ACC" w:rsidRDefault="00F4421C" w:rsidP="00BD6ACC">
      <w:pPr>
        <w:spacing w:line="280" w:lineRule="exact"/>
        <w:ind w:firstLine="420"/>
        <w:rPr>
          <w:rFonts w:ascii="仿宋" w:eastAsia="仿宋" w:hAnsi="仿宋" w:cs="方正仿宋简体"/>
          <w:iCs/>
        </w:rPr>
      </w:pPr>
      <w:r>
        <w:rPr>
          <w:rFonts w:ascii="仿宋" w:eastAsia="仿宋" w:hAnsi="仿宋" w:cs="方正仿宋简体" w:hint="eastAsia"/>
          <w:iCs/>
        </w:rPr>
        <w:t>（7）其他重要资料</w:t>
      </w:r>
    </w:p>
    <w:sectPr w:rsidR="000612DA" w:rsidRPr="00BD6ACC" w:rsidSect="008A5B3B">
      <w:footerReference w:type="default" r:id="rId8"/>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1DE" w:rsidRDefault="00C061DE" w:rsidP="0092395F">
      <w:r>
        <w:separator/>
      </w:r>
    </w:p>
  </w:endnote>
  <w:endnote w:type="continuationSeparator" w:id="0">
    <w:p w:rsidR="00C061DE" w:rsidRDefault="00C061DE"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rsidR="00AE10CD" w:rsidRDefault="00AE10CD" w:rsidP="0025315A">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F63A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F63A6">
              <w:rPr>
                <w:b/>
                <w:bCs/>
                <w:noProof/>
              </w:rPr>
              <w:t>4</w:t>
            </w:r>
            <w:r>
              <w:rPr>
                <w:b/>
                <w:bCs/>
                <w:sz w:val="24"/>
                <w:szCs w:val="24"/>
              </w:rPr>
              <w:fldChar w:fldCharType="end"/>
            </w:r>
          </w:p>
        </w:sdtContent>
      </w:sdt>
    </w:sdtContent>
  </w:sdt>
  <w:p w:rsidR="00AE10CD" w:rsidRDefault="00AE10C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1DE" w:rsidRDefault="00C061DE" w:rsidP="0092395F">
      <w:r>
        <w:separator/>
      </w:r>
    </w:p>
  </w:footnote>
  <w:footnote w:type="continuationSeparator" w:id="0">
    <w:p w:rsidR="00C061DE" w:rsidRDefault="00C061DE" w:rsidP="0092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3" w15:restartNumberingAfterBreak="0">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C21FE0E"/>
    <w:multiLevelType w:val="singleLevel"/>
    <w:tmpl w:val="5C21FE0E"/>
    <w:lvl w:ilvl="0">
      <w:start w:val="2"/>
      <w:numFmt w:val="chineseCounting"/>
      <w:suff w:val="nothing"/>
      <w:lvlText w:val="（%1）"/>
      <w:lvlJc w:val="left"/>
    </w:lvl>
  </w:abstractNum>
  <w:abstractNum w:abstractNumId="15" w15:restartNumberingAfterBreak="0">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7"/>
  </w:num>
  <w:num w:numId="7">
    <w:abstractNumId w:val="7"/>
  </w:num>
  <w:num w:numId="8">
    <w:abstractNumId w:val="13"/>
  </w:num>
  <w:num w:numId="9">
    <w:abstractNumId w:val="19"/>
  </w:num>
  <w:num w:numId="10">
    <w:abstractNumId w:val="12"/>
  </w:num>
  <w:num w:numId="11">
    <w:abstractNumId w:val="14"/>
  </w:num>
  <w:num w:numId="12">
    <w:abstractNumId w:val="0"/>
  </w:num>
  <w:num w:numId="13">
    <w:abstractNumId w:val="3"/>
  </w:num>
  <w:num w:numId="14">
    <w:abstractNumId w:val="4"/>
  </w:num>
  <w:num w:numId="15">
    <w:abstractNumId w:val="20"/>
  </w:num>
  <w:num w:numId="16">
    <w:abstractNumId w:val="6"/>
  </w:num>
  <w:num w:numId="17">
    <w:abstractNumId w:val="15"/>
  </w:num>
  <w:num w:numId="18">
    <w:abstractNumId w:val="8"/>
  </w:num>
  <w:num w:numId="19">
    <w:abstractNumId w:val="11"/>
  </w:num>
  <w:num w:numId="20">
    <w:abstractNumId w:val="1"/>
  </w:num>
  <w:num w:numId="21">
    <w:abstractNumId w:val="5"/>
  </w:num>
  <w:num w:numId="22">
    <w:abstractNumId w:val="10"/>
  </w:num>
  <w:num w:numId="23">
    <w:abstractNumId w:val="16"/>
  </w:num>
  <w:num w:numId="24">
    <w:abstractNumId w:val="18"/>
  </w:num>
  <w:num w:numId="25">
    <w:abstractNumId w:val="9"/>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251CA"/>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623B"/>
    <w:rsid w:val="0006758E"/>
    <w:rsid w:val="000676AA"/>
    <w:rsid w:val="00070564"/>
    <w:rsid w:val="00071412"/>
    <w:rsid w:val="00075ECF"/>
    <w:rsid w:val="00076810"/>
    <w:rsid w:val="00077F97"/>
    <w:rsid w:val="0008034A"/>
    <w:rsid w:val="0008034B"/>
    <w:rsid w:val="00080C9E"/>
    <w:rsid w:val="00084383"/>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309"/>
    <w:rsid w:val="0013367D"/>
    <w:rsid w:val="001351D1"/>
    <w:rsid w:val="00135D07"/>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1927"/>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BCD"/>
    <w:rsid w:val="00381CFE"/>
    <w:rsid w:val="00382845"/>
    <w:rsid w:val="00386A7F"/>
    <w:rsid w:val="00390A07"/>
    <w:rsid w:val="00390F2A"/>
    <w:rsid w:val="003914C0"/>
    <w:rsid w:val="0039181C"/>
    <w:rsid w:val="00391FAF"/>
    <w:rsid w:val="003964B0"/>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D461D"/>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26E36"/>
    <w:rsid w:val="00430064"/>
    <w:rsid w:val="00430BE8"/>
    <w:rsid w:val="00430E9F"/>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157A"/>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616"/>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8DF"/>
    <w:rsid w:val="005B6AFF"/>
    <w:rsid w:val="005B70B9"/>
    <w:rsid w:val="005B755C"/>
    <w:rsid w:val="005C1A5C"/>
    <w:rsid w:val="005C5197"/>
    <w:rsid w:val="005C65CA"/>
    <w:rsid w:val="005C6897"/>
    <w:rsid w:val="005C68EB"/>
    <w:rsid w:val="005C7259"/>
    <w:rsid w:val="005C75B8"/>
    <w:rsid w:val="005C77E0"/>
    <w:rsid w:val="005D013C"/>
    <w:rsid w:val="005D290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536C"/>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901"/>
    <w:rsid w:val="006A7AFE"/>
    <w:rsid w:val="006B1B03"/>
    <w:rsid w:val="006B26D3"/>
    <w:rsid w:val="006B2E95"/>
    <w:rsid w:val="006B3403"/>
    <w:rsid w:val="006B697B"/>
    <w:rsid w:val="006C0AB1"/>
    <w:rsid w:val="006C0D66"/>
    <w:rsid w:val="006C12FF"/>
    <w:rsid w:val="006C32F0"/>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F3B05"/>
    <w:rsid w:val="006F5DDA"/>
    <w:rsid w:val="006F6174"/>
    <w:rsid w:val="006F644F"/>
    <w:rsid w:val="006F7A73"/>
    <w:rsid w:val="00700B21"/>
    <w:rsid w:val="00703359"/>
    <w:rsid w:val="00703E9C"/>
    <w:rsid w:val="00704D47"/>
    <w:rsid w:val="00707C6B"/>
    <w:rsid w:val="00710EE8"/>
    <w:rsid w:val="00710FD8"/>
    <w:rsid w:val="00711527"/>
    <w:rsid w:val="0071264A"/>
    <w:rsid w:val="007127F3"/>
    <w:rsid w:val="00713D57"/>
    <w:rsid w:val="00714D53"/>
    <w:rsid w:val="00716B37"/>
    <w:rsid w:val="00717AB5"/>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523B"/>
    <w:rsid w:val="00746BC6"/>
    <w:rsid w:val="00750319"/>
    <w:rsid w:val="00751532"/>
    <w:rsid w:val="00752B07"/>
    <w:rsid w:val="00752C48"/>
    <w:rsid w:val="00753981"/>
    <w:rsid w:val="00754473"/>
    <w:rsid w:val="00754857"/>
    <w:rsid w:val="00754FB5"/>
    <w:rsid w:val="0075538D"/>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842"/>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4A2"/>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6512"/>
    <w:rsid w:val="008572FE"/>
    <w:rsid w:val="00860FBB"/>
    <w:rsid w:val="008612FD"/>
    <w:rsid w:val="00861806"/>
    <w:rsid w:val="00862688"/>
    <w:rsid w:val="008637BE"/>
    <w:rsid w:val="008646B2"/>
    <w:rsid w:val="00867328"/>
    <w:rsid w:val="00867C31"/>
    <w:rsid w:val="00872076"/>
    <w:rsid w:val="00872D80"/>
    <w:rsid w:val="0087307E"/>
    <w:rsid w:val="0087384F"/>
    <w:rsid w:val="00873A0F"/>
    <w:rsid w:val="008740C8"/>
    <w:rsid w:val="008745A1"/>
    <w:rsid w:val="008746AF"/>
    <w:rsid w:val="0087523D"/>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4638"/>
    <w:rsid w:val="008A46F0"/>
    <w:rsid w:val="008A492B"/>
    <w:rsid w:val="008A59EF"/>
    <w:rsid w:val="008A5B3B"/>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02E7"/>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0FAC"/>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7E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31EC"/>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2B5A"/>
    <w:rsid w:val="00AF3F04"/>
    <w:rsid w:val="00AF6503"/>
    <w:rsid w:val="00AF6AD4"/>
    <w:rsid w:val="00B00AB3"/>
    <w:rsid w:val="00B00F6E"/>
    <w:rsid w:val="00B030B3"/>
    <w:rsid w:val="00B037CB"/>
    <w:rsid w:val="00B04026"/>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4D26"/>
    <w:rsid w:val="00B27817"/>
    <w:rsid w:val="00B31ADA"/>
    <w:rsid w:val="00B356AC"/>
    <w:rsid w:val="00B35DAE"/>
    <w:rsid w:val="00B36D86"/>
    <w:rsid w:val="00B37438"/>
    <w:rsid w:val="00B40B0C"/>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63F25"/>
    <w:rsid w:val="00B66AE9"/>
    <w:rsid w:val="00B66CCF"/>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6ACC"/>
    <w:rsid w:val="00BD755E"/>
    <w:rsid w:val="00BE0BCB"/>
    <w:rsid w:val="00BE1CBA"/>
    <w:rsid w:val="00BE1F92"/>
    <w:rsid w:val="00BE2A1D"/>
    <w:rsid w:val="00BE2C91"/>
    <w:rsid w:val="00BE2F82"/>
    <w:rsid w:val="00BE34CD"/>
    <w:rsid w:val="00BE3A68"/>
    <w:rsid w:val="00BE3D7F"/>
    <w:rsid w:val="00BE6614"/>
    <w:rsid w:val="00BF05CF"/>
    <w:rsid w:val="00BF0B0B"/>
    <w:rsid w:val="00BF1A8D"/>
    <w:rsid w:val="00BF3A83"/>
    <w:rsid w:val="00BF63A6"/>
    <w:rsid w:val="00BF66C7"/>
    <w:rsid w:val="00C006ED"/>
    <w:rsid w:val="00C01316"/>
    <w:rsid w:val="00C015EB"/>
    <w:rsid w:val="00C0339D"/>
    <w:rsid w:val="00C03922"/>
    <w:rsid w:val="00C03BA1"/>
    <w:rsid w:val="00C0587A"/>
    <w:rsid w:val="00C05EC6"/>
    <w:rsid w:val="00C061DE"/>
    <w:rsid w:val="00C06C2D"/>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5D91"/>
    <w:rsid w:val="00C56134"/>
    <w:rsid w:val="00C57D41"/>
    <w:rsid w:val="00C61DF9"/>
    <w:rsid w:val="00C62C60"/>
    <w:rsid w:val="00C65333"/>
    <w:rsid w:val="00C66042"/>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723"/>
    <w:rsid w:val="00CE1975"/>
    <w:rsid w:val="00CE1C21"/>
    <w:rsid w:val="00CE4FAE"/>
    <w:rsid w:val="00CE595D"/>
    <w:rsid w:val="00CE5CD6"/>
    <w:rsid w:val="00CE741D"/>
    <w:rsid w:val="00CE776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FEE"/>
    <w:rsid w:val="00DD7810"/>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270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2E2F"/>
    <w:rsid w:val="00F4421C"/>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A7488"/>
  <w15:docId w15:val="{EC34305B-0822-4FDE-AF6B-C6B95E8B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037CB"/>
    <w:pPr>
      <w:widowControl w:val="0"/>
      <w:jc w:val="both"/>
    </w:pPr>
  </w:style>
  <w:style w:type="paragraph" w:styleId="1">
    <w:name w:val="heading 1"/>
    <w:basedOn w:val="a4"/>
    <w:next w:val="a4"/>
    <w:link w:val="10"/>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ab"/>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5"/>
    <w:link w:val="aa"/>
    <w:uiPriority w:val="99"/>
    <w:rsid w:val="0092395F"/>
    <w:rPr>
      <w:sz w:val="18"/>
      <w:szCs w:val="18"/>
    </w:rPr>
  </w:style>
  <w:style w:type="paragraph" w:styleId="ac">
    <w:name w:val="footer"/>
    <w:basedOn w:val="a4"/>
    <w:link w:val="ad"/>
    <w:uiPriority w:val="99"/>
    <w:unhideWhenUsed/>
    <w:rsid w:val="0092395F"/>
    <w:pPr>
      <w:tabs>
        <w:tab w:val="center" w:pos="4153"/>
        <w:tab w:val="right" w:pos="8306"/>
      </w:tabs>
      <w:snapToGrid w:val="0"/>
      <w:jc w:val="left"/>
    </w:pPr>
    <w:rPr>
      <w:sz w:val="18"/>
      <w:szCs w:val="18"/>
    </w:rPr>
  </w:style>
  <w:style w:type="character" w:customStyle="1" w:styleId="ad">
    <w:name w:val="页脚 字符"/>
    <w:basedOn w:val="a5"/>
    <w:link w:val="ac"/>
    <w:uiPriority w:val="99"/>
    <w:rsid w:val="0092395F"/>
    <w:rPr>
      <w:sz w:val="18"/>
      <w:szCs w:val="18"/>
    </w:rPr>
  </w:style>
  <w:style w:type="paragraph" w:styleId="ae">
    <w:name w:val="Balloon Text"/>
    <w:basedOn w:val="a4"/>
    <w:link w:val="af"/>
    <w:uiPriority w:val="99"/>
    <w:semiHidden/>
    <w:unhideWhenUsed/>
    <w:rsid w:val="000676AA"/>
    <w:rPr>
      <w:sz w:val="18"/>
      <w:szCs w:val="18"/>
    </w:rPr>
  </w:style>
  <w:style w:type="character" w:customStyle="1" w:styleId="af">
    <w:name w:val="批注框文本 字符"/>
    <w:basedOn w:val="a5"/>
    <w:link w:val="ae"/>
    <w:uiPriority w:val="99"/>
    <w:semiHidden/>
    <w:rsid w:val="000676AA"/>
    <w:rPr>
      <w:sz w:val="18"/>
      <w:szCs w:val="18"/>
    </w:rPr>
  </w:style>
  <w:style w:type="character" w:styleId="af0">
    <w:name w:val="Placeholder Text"/>
    <w:basedOn w:val="a5"/>
    <w:uiPriority w:val="99"/>
    <w:semiHidden/>
    <w:rsid w:val="008B7E39"/>
    <w:rPr>
      <w:color w:val="808080"/>
    </w:rPr>
  </w:style>
  <w:style w:type="character" w:styleId="af1">
    <w:name w:val="footnote reference"/>
    <w:unhideWhenUsed/>
    <w:qFormat/>
    <w:rsid w:val="00CC22C3"/>
    <w:rPr>
      <w:rFonts w:ascii="Times New Roman" w:eastAsia="宋体" w:hAnsi="Times New Roman" w:cs="Times New Roman"/>
      <w:vertAlign w:val="superscript"/>
    </w:rPr>
  </w:style>
  <w:style w:type="paragraph" w:styleId="af2">
    <w:name w:val="footnote text"/>
    <w:basedOn w:val="a4"/>
    <w:link w:val="af3"/>
    <w:unhideWhenUsed/>
    <w:qFormat/>
    <w:rsid w:val="00CC22C3"/>
    <w:pPr>
      <w:snapToGrid w:val="0"/>
      <w:jc w:val="left"/>
    </w:pPr>
    <w:rPr>
      <w:rFonts w:ascii="Calibri" w:eastAsia="宋体" w:hAnsi="Calibri" w:cs="Times New Roman"/>
      <w:sz w:val="18"/>
      <w:szCs w:val="24"/>
    </w:rPr>
  </w:style>
  <w:style w:type="character" w:customStyle="1" w:styleId="af3">
    <w:name w:val="脚注文本 字符"/>
    <w:basedOn w:val="a5"/>
    <w:link w:val="af2"/>
    <w:qFormat/>
    <w:rsid w:val="00CC22C3"/>
    <w:rPr>
      <w:rFonts w:ascii="Calibri" w:eastAsia="宋体" w:hAnsi="Calibri" w:cs="Times New Roman"/>
      <w:sz w:val="18"/>
      <w:szCs w:val="24"/>
    </w:rPr>
  </w:style>
  <w:style w:type="character" w:customStyle="1" w:styleId="10">
    <w:name w:val="标题 1 字符"/>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13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65BD4-5CD1-4BC9-844A-344D4F1A8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535</Words>
  <Characters>3050</Characters>
  <Application>Microsoft Office Word</Application>
  <DocSecurity>0</DocSecurity>
  <Lines>25</Lines>
  <Paragraphs>7</Paragraphs>
  <ScaleCrop>false</ScaleCrop>
  <Company>shenduxitong</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Donghm</dc:creator>
  <cp:lastModifiedBy>晁梦婷</cp:lastModifiedBy>
  <cp:revision>5</cp:revision>
  <dcterms:created xsi:type="dcterms:W3CDTF">2020-09-16T01:56:00Z</dcterms:created>
  <dcterms:modified xsi:type="dcterms:W3CDTF">2020-09-17T10:09:00Z</dcterms:modified>
</cp:coreProperties>
</file>