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D2A13" w14:textId="72E0EDC7" w:rsidR="00A64B97" w:rsidRDefault="001A0D05" w:rsidP="00A94551">
      <w:pPr>
        <w:spacing w:before="111"/>
        <w:ind w:right="314"/>
        <w:jc w:val="center"/>
        <w:rPr>
          <w:b/>
          <w:sz w:val="31"/>
          <w:lang w:eastAsia="zh-CN"/>
        </w:rPr>
      </w:pPr>
      <w:bookmarkStart w:id="0" w:name="_GoBack"/>
      <w:bookmarkEnd w:id="0"/>
      <w:r>
        <w:rPr>
          <w:rFonts w:hint="eastAsia"/>
          <w:b/>
          <w:sz w:val="31"/>
          <w:lang w:eastAsia="zh-CN"/>
        </w:rPr>
        <w:t>南方内需增长两年持有期股票型证券投资基金</w:t>
      </w:r>
      <w:r w:rsidR="00DE5972">
        <w:rPr>
          <w:rFonts w:hint="eastAsia"/>
          <w:b/>
          <w:sz w:val="31"/>
          <w:lang w:eastAsia="zh-CN"/>
        </w:rPr>
        <w:t>（</w:t>
      </w:r>
      <w:r w:rsidR="00410F98">
        <w:rPr>
          <w:rFonts w:hint="eastAsia"/>
          <w:b/>
          <w:sz w:val="31"/>
          <w:lang w:eastAsia="zh-CN"/>
        </w:rPr>
        <w:t>C</w:t>
      </w:r>
      <w:r w:rsidR="00DE5972">
        <w:rPr>
          <w:rFonts w:hint="eastAsia"/>
          <w:b/>
          <w:sz w:val="31"/>
          <w:lang w:eastAsia="zh-CN"/>
        </w:rPr>
        <w:t>类</w:t>
      </w:r>
      <w:r w:rsidR="00DE5972">
        <w:rPr>
          <w:b/>
          <w:sz w:val="31"/>
          <w:lang w:eastAsia="zh-CN"/>
        </w:rPr>
        <w:t>份额</w:t>
      </w:r>
      <w:r w:rsidR="00DE5972">
        <w:rPr>
          <w:rFonts w:hint="eastAsia"/>
          <w:b/>
          <w:sz w:val="31"/>
          <w:lang w:eastAsia="zh-CN"/>
        </w:rPr>
        <w:t>）</w:t>
      </w:r>
    </w:p>
    <w:p w14:paraId="7473DFAF" w14:textId="77777777" w:rsidR="00394D28" w:rsidRPr="00394D28" w:rsidRDefault="00394D28" w:rsidP="00A94551">
      <w:pPr>
        <w:spacing w:before="111"/>
        <w:ind w:right="314"/>
        <w:jc w:val="center"/>
        <w:rPr>
          <w:b/>
          <w:sz w:val="31"/>
          <w:lang w:eastAsia="zh-CN"/>
        </w:rPr>
      </w:pPr>
      <w:r w:rsidRPr="00394D28">
        <w:rPr>
          <w:b/>
          <w:sz w:val="31"/>
          <w:lang w:eastAsia="zh-CN"/>
        </w:rPr>
        <w:t>基金产品资料概要</w:t>
      </w:r>
    </w:p>
    <w:p w14:paraId="1C59330A" w14:textId="77777777" w:rsidR="00394D28" w:rsidRDefault="00394D28" w:rsidP="00A94551">
      <w:pPr>
        <w:jc w:val="center"/>
        <w:rPr>
          <w:sz w:val="24"/>
          <w:lang w:eastAsia="zh-CN"/>
        </w:rPr>
      </w:pPr>
    </w:p>
    <w:p w14:paraId="2507C0DB" w14:textId="538EA9FB" w:rsidR="00CC2C39" w:rsidRPr="001657D6" w:rsidRDefault="00A871FD" w:rsidP="00A94551">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316E8C">
        <w:rPr>
          <w:rFonts w:ascii="仿宋" w:eastAsia="仿宋" w:hAnsi="仿宋"/>
          <w:sz w:val="24"/>
          <w:szCs w:val="24"/>
          <w:lang w:eastAsia="zh-CN"/>
        </w:rPr>
        <w:t>2020</w:t>
      </w:r>
      <w:r w:rsidR="0062178A" w:rsidRPr="001657D6">
        <w:rPr>
          <w:rFonts w:ascii="仿宋" w:eastAsia="仿宋" w:hAnsi="仿宋"/>
          <w:sz w:val="24"/>
          <w:szCs w:val="24"/>
          <w:lang w:eastAsia="zh-CN"/>
        </w:rPr>
        <w:t>年</w:t>
      </w:r>
      <w:r w:rsidR="00316E8C">
        <w:rPr>
          <w:rFonts w:ascii="仿宋" w:eastAsia="仿宋" w:hAnsi="仿宋"/>
          <w:sz w:val="24"/>
          <w:szCs w:val="24"/>
          <w:lang w:eastAsia="zh-CN"/>
        </w:rPr>
        <w:t>1</w:t>
      </w:r>
      <w:r w:rsidR="0062178A">
        <w:rPr>
          <w:rFonts w:ascii="仿宋" w:eastAsia="仿宋" w:hAnsi="仿宋" w:hint="eastAsia"/>
          <w:sz w:val="24"/>
          <w:szCs w:val="24"/>
          <w:lang w:eastAsia="zh-CN"/>
        </w:rPr>
        <w:t>月</w:t>
      </w:r>
      <w:r w:rsidR="00316E8C">
        <w:rPr>
          <w:rFonts w:ascii="仿宋" w:eastAsia="仿宋" w:hAnsi="仿宋"/>
          <w:sz w:val="24"/>
          <w:szCs w:val="24"/>
          <w:lang w:eastAsia="zh-CN"/>
        </w:rPr>
        <w:t>20</w:t>
      </w:r>
      <w:r w:rsidR="0062178A" w:rsidRPr="001657D6">
        <w:rPr>
          <w:rFonts w:ascii="仿宋" w:eastAsia="仿宋" w:hAnsi="仿宋"/>
          <w:sz w:val="24"/>
          <w:szCs w:val="24"/>
          <w:lang w:eastAsia="zh-CN"/>
        </w:rPr>
        <w:t>日</w:t>
      </w:r>
    </w:p>
    <w:p w14:paraId="357E4A35" w14:textId="63F0F983" w:rsidR="00CC2C39" w:rsidRPr="002C45BC" w:rsidRDefault="00A871FD" w:rsidP="00A94551">
      <w:pPr>
        <w:spacing w:before="111"/>
        <w:ind w:right="314"/>
        <w:jc w:val="center"/>
        <w:rPr>
          <w:b/>
          <w:sz w:val="31"/>
          <w:lang w:eastAsia="zh-CN"/>
        </w:rPr>
      </w:pPr>
      <w:r w:rsidRPr="002C45BC">
        <w:rPr>
          <w:b/>
          <w:sz w:val="31"/>
          <w:lang w:eastAsia="zh-CN"/>
        </w:rPr>
        <w:t>本概要提供本基金的重要信息，是</w:t>
      </w:r>
      <w:r w:rsidR="00B01B6A">
        <w:rPr>
          <w:rFonts w:hint="eastAsia"/>
          <w:b/>
          <w:sz w:val="31"/>
          <w:lang w:eastAsia="zh-CN"/>
        </w:rPr>
        <w:t>招募说明书</w:t>
      </w:r>
      <w:r w:rsidRPr="002C45BC">
        <w:rPr>
          <w:b/>
          <w:sz w:val="31"/>
          <w:lang w:eastAsia="zh-CN"/>
        </w:rPr>
        <w:t>的一部分。</w:t>
      </w:r>
    </w:p>
    <w:p w14:paraId="48F19305" w14:textId="0AB64239" w:rsidR="00CC2C39" w:rsidRDefault="00A871FD" w:rsidP="00A94551">
      <w:pPr>
        <w:spacing w:before="223"/>
        <w:ind w:right="268"/>
        <w:jc w:val="center"/>
        <w:rPr>
          <w:b/>
          <w:sz w:val="31"/>
          <w:lang w:eastAsia="zh-CN"/>
        </w:rPr>
      </w:pPr>
      <w:r w:rsidRPr="002C45BC">
        <w:rPr>
          <w:b/>
          <w:sz w:val="31"/>
          <w:lang w:eastAsia="zh-CN"/>
        </w:rPr>
        <w:t>作出投资决定前，请阅读完整的</w:t>
      </w:r>
      <w:r w:rsidR="00B01B6A">
        <w:rPr>
          <w:rFonts w:hint="eastAsia"/>
          <w:b/>
          <w:sz w:val="31"/>
          <w:lang w:eastAsia="zh-CN"/>
        </w:rPr>
        <w:t>招募说明书等</w:t>
      </w:r>
      <w:r w:rsidRPr="002C45BC">
        <w:rPr>
          <w:b/>
          <w:sz w:val="31"/>
          <w:lang w:eastAsia="zh-CN"/>
        </w:rPr>
        <w:t>销售文件。</w:t>
      </w:r>
    </w:p>
    <w:p w14:paraId="76A1F065" w14:textId="77777777" w:rsidR="0091358C" w:rsidRPr="009A6799" w:rsidRDefault="0091358C" w:rsidP="00A94551">
      <w:pPr>
        <w:spacing w:before="223"/>
        <w:ind w:right="268"/>
        <w:rPr>
          <w:b/>
          <w:sz w:val="31"/>
          <w:lang w:eastAsia="zh-CN"/>
        </w:rPr>
      </w:pPr>
    </w:p>
    <w:p w14:paraId="3D903AC4" w14:textId="77777777" w:rsidR="00CC2C39" w:rsidRPr="00D43ABE" w:rsidRDefault="00D43ABE" w:rsidP="00A94551">
      <w:pPr>
        <w:spacing w:afterLines="100" w:after="240" w:line="290" w:lineRule="exact"/>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8505" w:type="dxa"/>
        <w:tblInd w:w="567"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268"/>
        <w:gridCol w:w="1984"/>
        <w:gridCol w:w="2268"/>
      </w:tblGrid>
      <w:tr w:rsidR="00A93CB8" w:rsidRPr="00615902" w14:paraId="4B7F8E81" w14:textId="77777777" w:rsidTr="00A94551">
        <w:trPr>
          <w:trHeight w:val="285"/>
        </w:trPr>
        <w:tc>
          <w:tcPr>
            <w:tcW w:w="1985" w:type="dxa"/>
            <w:shd w:val="clear" w:color="auto" w:fill="auto"/>
            <w:noWrap/>
            <w:vAlign w:val="center"/>
            <w:hideMark/>
          </w:tcPr>
          <w:p w14:paraId="612B5694" w14:textId="77777777" w:rsidR="00A93CB8" w:rsidRPr="0091358C" w:rsidRDefault="00A93CB8" w:rsidP="00A94551">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268" w:type="dxa"/>
            <w:shd w:val="clear" w:color="auto" w:fill="auto"/>
            <w:vAlign w:val="center"/>
          </w:tcPr>
          <w:p w14:paraId="56A562C0" w14:textId="381CCE5C" w:rsidR="00A93CB8" w:rsidRPr="00615902" w:rsidRDefault="001A0D05"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南方内需</w:t>
            </w:r>
            <w:r>
              <w:rPr>
                <w:rFonts w:ascii="仿宋" w:eastAsia="仿宋" w:hAnsi="仿宋"/>
                <w:color w:val="000000"/>
                <w:sz w:val="24"/>
                <w:szCs w:val="24"/>
                <w:lang w:eastAsia="zh-CN"/>
              </w:rPr>
              <w:t>增</w:t>
            </w:r>
            <w:r>
              <w:rPr>
                <w:rFonts w:ascii="仿宋" w:eastAsia="仿宋" w:hAnsi="仿宋" w:hint="eastAsia"/>
                <w:color w:val="000000"/>
                <w:sz w:val="24"/>
                <w:szCs w:val="24"/>
                <w:lang w:eastAsia="zh-CN"/>
              </w:rPr>
              <w:t>长两</w:t>
            </w:r>
            <w:r>
              <w:rPr>
                <w:rFonts w:ascii="仿宋" w:eastAsia="仿宋" w:hAnsi="仿宋"/>
                <w:color w:val="000000"/>
                <w:sz w:val="24"/>
                <w:szCs w:val="24"/>
                <w:lang w:eastAsia="zh-CN"/>
              </w:rPr>
              <w:t>年</w:t>
            </w:r>
            <w:r>
              <w:rPr>
                <w:rFonts w:ascii="仿宋" w:eastAsia="仿宋" w:hAnsi="仿宋" w:hint="eastAsia"/>
                <w:color w:val="000000"/>
                <w:sz w:val="24"/>
                <w:szCs w:val="24"/>
                <w:lang w:eastAsia="zh-CN"/>
              </w:rPr>
              <w:t>股票</w:t>
            </w:r>
            <w:r>
              <w:rPr>
                <w:rFonts w:ascii="仿宋" w:eastAsia="仿宋" w:hAnsi="仿宋"/>
                <w:color w:val="000000"/>
                <w:sz w:val="24"/>
                <w:szCs w:val="24"/>
                <w:lang w:eastAsia="zh-CN"/>
              </w:rPr>
              <w:t>C</w:t>
            </w:r>
          </w:p>
        </w:tc>
        <w:tc>
          <w:tcPr>
            <w:tcW w:w="1984" w:type="dxa"/>
            <w:shd w:val="clear" w:color="auto" w:fill="auto"/>
            <w:noWrap/>
            <w:vAlign w:val="center"/>
            <w:hideMark/>
          </w:tcPr>
          <w:p w14:paraId="21CA4AAD"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13745392" w:rsidR="00A93CB8" w:rsidRPr="00C31159" w:rsidRDefault="00F6237F"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008855</w:t>
            </w:r>
          </w:p>
        </w:tc>
      </w:tr>
      <w:tr w:rsidR="00A93CB8" w:rsidRPr="00615902" w14:paraId="4A08EC27" w14:textId="77777777" w:rsidTr="00A94551">
        <w:trPr>
          <w:trHeight w:val="285"/>
        </w:trPr>
        <w:tc>
          <w:tcPr>
            <w:tcW w:w="1985" w:type="dxa"/>
            <w:shd w:val="clear" w:color="auto" w:fill="auto"/>
            <w:noWrap/>
            <w:vAlign w:val="center"/>
            <w:hideMark/>
          </w:tcPr>
          <w:p w14:paraId="778AC1C7" w14:textId="77777777" w:rsidR="00A93CB8" w:rsidRPr="0091358C" w:rsidRDefault="00A93CB8"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268" w:type="dxa"/>
            <w:shd w:val="clear" w:color="auto" w:fill="auto"/>
            <w:vAlign w:val="center"/>
          </w:tcPr>
          <w:p w14:paraId="2138E41C" w14:textId="77777777" w:rsidR="00A93CB8" w:rsidRPr="00615902" w:rsidRDefault="00A93CB8" w:rsidP="00A94551">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0F9BB98C" w:rsidR="00A93CB8" w:rsidRPr="00C31159" w:rsidRDefault="00ED15A3" w:rsidP="00A94551">
            <w:pPr>
              <w:widowControl/>
              <w:autoSpaceDE/>
              <w:autoSpaceDN/>
              <w:rPr>
                <w:rFonts w:ascii="仿宋" w:eastAsia="仿宋" w:hAnsi="仿宋"/>
                <w:color w:val="000000"/>
                <w:sz w:val="24"/>
                <w:szCs w:val="24"/>
                <w:lang w:eastAsia="zh-CN"/>
              </w:rPr>
            </w:pPr>
            <w:r w:rsidRPr="00733AA7">
              <w:rPr>
                <w:rFonts w:ascii="仿宋" w:eastAsia="仿宋" w:hAnsi="仿宋" w:hint="eastAsia"/>
                <w:color w:val="000000"/>
                <w:sz w:val="24"/>
                <w:szCs w:val="24"/>
                <w:lang w:eastAsia="zh-CN"/>
              </w:rPr>
              <w:t>中国</w:t>
            </w:r>
            <w:r w:rsidR="001A0D05">
              <w:rPr>
                <w:rFonts w:ascii="仿宋" w:eastAsia="仿宋" w:hAnsi="仿宋" w:hint="eastAsia"/>
                <w:color w:val="000000"/>
                <w:sz w:val="24"/>
                <w:szCs w:val="24"/>
                <w:lang w:eastAsia="zh-CN"/>
              </w:rPr>
              <w:t>工</w:t>
            </w:r>
            <w:r w:rsidR="001A0D05">
              <w:rPr>
                <w:rFonts w:ascii="仿宋" w:eastAsia="仿宋" w:hAnsi="仿宋"/>
                <w:color w:val="000000"/>
                <w:sz w:val="24"/>
                <w:szCs w:val="24"/>
                <w:lang w:eastAsia="zh-CN"/>
              </w:rPr>
              <w:t>商</w:t>
            </w:r>
            <w:r w:rsidRPr="00733AA7">
              <w:rPr>
                <w:rFonts w:ascii="仿宋" w:eastAsia="仿宋" w:hAnsi="仿宋" w:hint="eastAsia"/>
                <w:color w:val="000000"/>
                <w:sz w:val="24"/>
                <w:szCs w:val="24"/>
                <w:lang w:eastAsia="zh-CN"/>
              </w:rPr>
              <w:t>银行股份有限公司</w:t>
            </w:r>
          </w:p>
        </w:tc>
      </w:tr>
      <w:tr w:rsidR="00777AFC" w:rsidRPr="00615902" w14:paraId="54FAD552" w14:textId="77777777" w:rsidTr="00A94551">
        <w:trPr>
          <w:trHeight w:val="285"/>
        </w:trPr>
        <w:tc>
          <w:tcPr>
            <w:tcW w:w="1985" w:type="dxa"/>
            <w:shd w:val="clear" w:color="auto" w:fill="auto"/>
            <w:noWrap/>
            <w:vAlign w:val="center"/>
            <w:hideMark/>
          </w:tcPr>
          <w:p w14:paraId="53585E7F"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268" w:type="dxa"/>
            <w:shd w:val="clear" w:color="auto" w:fill="auto"/>
            <w:vAlign w:val="center"/>
          </w:tcPr>
          <w:p w14:paraId="002E0F2C" w14:textId="77777777" w:rsidR="00777AFC" w:rsidRPr="00615902" w:rsidRDefault="00FB50CA"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A94551">
        <w:trPr>
          <w:trHeight w:val="285"/>
        </w:trPr>
        <w:tc>
          <w:tcPr>
            <w:tcW w:w="1985" w:type="dxa"/>
            <w:shd w:val="clear" w:color="auto" w:fill="auto"/>
            <w:noWrap/>
            <w:vAlign w:val="center"/>
            <w:hideMark/>
          </w:tcPr>
          <w:p w14:paraId="35D69F6A"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268" w:type="dxa"/>
            <w:shd w:val="clear" w:color="auto" w:fill="auto"/>
            <w:vAlign w:val="center"/>
          </w:tcPr>
          <w:p w14:paraId="05AE87F8" w14:textId="65724479" w:rsidR="00777AFC" w:rsidRPr="00615902" w:rsidRDefault="009A6799"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股票型</w:t>
            </w:r>
          </w:p>
        </w:tc>
        <w:tc>
          <w:tcPr>
            <w:tcW w:w="1984" w:type="dxa"/>
            <w:shd w:val="clear" w:color="auto" w:fill="auto"/>
            <w:noWrap/>
            <w:vAlign w:val="center"/>
          </w:tcPr>
          <w:p w14:paraId="13A2DC22"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6B95DD6D" w:rsidR="00777AFC" w:rsidRPr="00C31159" w:rsidRDefault="001A0D05" w:rsidP="00A94551">
            <w:pPr>
              <w:widowControl/>
              <w:autoSpaceDE/>
              <w:autoSpaceDN/>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每个开放日开放申购，但投资人每笔认购</w:t>
            </w:r>
            <w:r w:rsidRPr="000435E8">
              <w:rPr>
                <w:rFonts w:ascii="仿宋" w:eastAsia="仿宋" w:hAnsi="仿宋"/>
                <w:color w:val="000000"/>
                <w:sz w:val="24"/>
                <w:szCs w:val="24"/>
                <w:lang w:eastAsia="zh-CN"/>
              </w:rPr>
              <w:t>/申购的基金份额需至少持有满</w:t>
            </w:r>
            <w:r>
              <w:rPr>
                <w:rFonts w:ascii="仿宋" w:eastAsia="仿宋" w:hAnsi="仿宋" w:hint="eastAsia"/>
                <w:color w:val="000000"/>
                <w:sz w:val="24"/>
                <w:szCs w:val="24"/>
                <w:lang w:eastAsia="zh-CN"/>
              </w:rPr>
              <w:t>两</w:t>
            </w:r>
            <w:r w:rsidRPr="000435E8">
              <w:rPr>
                <w:rFonts w:ascii="仿宋" w:eastAsia="仿宋" w:hAnsi="仿宋"/>
                <w:color w:val="000000"/>
                <w:sz w:val="24"/>
                <w:szCs w:val="24"/>
                <w:lang w:eastAsia="zh-CN"/>
              </w:rPr>
              <w:t>年，在</w:t>
            </w:r>
            <w:r>
              <w:rPr>
                <w:rFonts w:ascii="仿宋" w:eastAsia="仿宋" w:hAnsi="仿宋" w:hint="eastAsia"/>
                <w:color w:val="000000"/>
                <w:sz w:val="24"/>
                <w:szCs w:val="24"/>
                <w:lang w:eastAsia="zh-CN"/>
              </w:rPr>
              <w:t>两</w:t>
            </w:r>
            <w:r w:rsidRPr="000435E8">
              <w:rPr>
                <w:rFonts w:ascii="仿宋" w:eastAsia="仿宋" w:hAnsi="仿宋"/>
                <w:color w:val="000000"/>
                <w:sz w:val="24"/>
                <w:szCs w:val="24"/>
                <w:lang w:eastAsia="zh-CN"/>
              </w:rPr>
              <w:t>年锁定期内不能提出赎回申请</w:t>
            </w:r>
          </w:p>
        </w:tc>
      </w:tr>
      <w:tr w:rsidR="005C3BFC" w:rsidRPr="00615902" w14:paraId="3AE82E26" w14:textId="77777777" w:rsidTr="00816D32">
        <w:trPr>
          <w:trHeight w:val="285"/>
        </w:trPr>
        <w:tc>
          <w:tcPr>
            <w:tcW w:w="1985" w:type="dxa"/>
            <w:shd w:val="clear" w:color="auto" w:fill="auto"/>
            <w:noWrap/>
            <w:vAlign w:val="center"/>
            <w:hideMark/>
          </w:tcPr>
          <w:p w14:paraId="62E7D4CA" w14:textId="77777777" w:rsidR="005C3BFC" w:rsidRPr="0091358C" w:rsidRDefault="005C3B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6520" w:type="dxa"/>
            <w:gridSpan w:val="3"/>
            <w:shd w:val="clear" w:color="auto" w:fill="auto"/>
            <w:vAlign w:val="center"/>
          </w:tcPr>
          <w:p w14:paraId="5017C4DD" w14:textId="50E6B81A" w:rsidR="005C3BFC" w:rsidRPr="005C3BFC" w:rsidRDefault="005C3BFC" w:rsidP="00A94551">
            <w:pPr>
              <w:widowControl/>
              <w:autoSpaceDE/>
              <w:autoSpaceDN/>
              <w:rPr>
                <w:rFonts w:ascii="仿宋" w:eastAsia="仿宋" w:hAnsi="仿宋"/>
                <w:color w:val="000000"/>
                <w:sz w:val="24"/>
                <w:szCs w:val="24"/>
                <w:lang w:eastAsia="zh-CN"/>
              </w:rPr>
            </w:pPr>
            <w:r w:rsidRPr="005C3BFC">
              <w:rPr>
                <w:rFonts w:ascii="仿宋" w:eastAsia="仿宋" w:hAnsi="仿宋" w:hint="eastAsia"/>
                <w:color w:val="000000"/>
                <w:sz w:val="24"/>
                <w:szCs w:val="24"/>
                <w:lang w:eastAsia="zh-CN"/>
              </w:rPr>
              <w:t>其他运作方式（每笔认购</w:t>
            </w:r>
            <w:r w:rsidRPr="005C3BFC">
              <w:rPr>
                <w:rFonts w:ascii="仿宋" w:eastAsia="仿宋" w:hAnsi="仿宋"/>
                <w:color w:val="000000"/>
                <w:sz w:val="24"/>
                <w:szCs w:val="24"/>
                <w:lang w:eastAsia="zh-CN"/>
              </w:rPr>
              <w:t>/申购的基金份额需至少持有满两年）</w:t>
            </w:r>
          </w:p>
        </w:tc>
      </w:tr>
      <w:tr w:rsidR="00777AFC" w:rsidRPr="00A93CB8" w14:paraId="273D5D1B" w14:textId="77777777" w:rsidTr="00A94551">
        <w:trPr>
          <w:trHeight w:val="580"/>
        </w:trPr>
        <w:tc>
          <w:tcPr>
            <w:tcW w:w="1985" w:type="dxa"/>
            <w:vMerge w:val="restart"/>
            <w:shd w:val="clear" w:color="auto" w:fill="auto"/>
            <w:noWrap/>
            <w:vAlign w:val="center"/>
            <w:hideMark/>
          </w:tcPr>
          <w:p w14:paraId="783F35CD"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268" w:type="dxa"/>
            <w:vMerge w:val="restart"/>
            <w:shd w:val="clear" w:color="auto" w:fill="auto"/>
            <w:vAlign w:val="center"/>
          </w:tcPr>
          <w:p w14:paraId="2BFFFD0C" w14:textId="6F5C83F9" w:rsidR="00777AFC" w:rsidRPr="00615902" w:rsidRDefault="001A0D05"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骆帅</w:t>
            </w:r>
          </w:p>
        </w:tc>
        <w:tc>
          <w:tcPr>
            <w:tcW w:w="1984" w:type="dxa"/>
            <w:shd w:val="clear" w:color="auto" w:fill="auto"/>
            <w:noWrap/>
            <w:vAlign w:val="center"/>
            <w:hideMark/>
          </w:tcPr>
          <w:p w14:paraId="169B8DB4"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2F4F665C" w:rsidR="00777AFC" w:rsidRPr="00C31159" w:rsidRDefault="00326ADB"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A94551">
        <w:trPr>
          <w:trHeight w:val="285"/>
        </w:trPr>
        <w:tc>
          <w:tcPr>
            <w:tcW w:w="1985" w:type="dxa"/>
            <w:vMerge/>
            <w:shd w:val="clear" w:color="auto" w:fill="auto"/>
            <w:vAlign w:val="center"/>
          </w:tcPr>
          <w:p w14:paraId="78299B8A" w14:textId="77777777" w:rsidR="00777AFC" w:rsidRPr="0091358C" w:rsidRDefault="00777AFC" w:rsidP="00A94551">
            <w:pPr>
              <w:widowControl/>
              <w:autoSpaceDE/>
              <w:autoSpaceDN/>
              <w:rPr>
                <w:rFonts w:ascii="仿宋" w:eastAsia="仿宋" w:hAnsi="仿宋"/>
                <w:b/>
                <w:color w:val="000000"/>
                <w:sz w:val="24"/>
                <w:szCs w:val="24"/>
                <w:lang w:eastAsia="zh-CN"/>
              </w:rPr>
            </w:pPr>
          </w:p>
        </w:tc>
        <w:tc>
          <w:tcPr>
            <w:tcW w:w="2268" w:type="dxa"/>
            <w:vMerge/>
            <w:shd w:val="clear" w:color="auto" w:fill="auto"/>
            <w:vAlign w:val="center"/>
          </w:tcPr>
          <w:p w14:paraId="6F40E8F4" w14:textId="77777777" w:rsidR="00777AFC" w:rsidRPr="00615902" w:rsidRDefault="00777AFC" w:rsidP="00A94551">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A94551">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03DEA40A" w:rsidR="004F49E4" w:rsidRPr="00A020C0" w:rsidRDefault="001A0D05" w:rsidP="008130CE">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2009</w:t>
            </w:r>
            <w:r>
              <w:rPr>
                <w:rFonts w:ascii="仿宋" w:eastAsia="仿宋" w:hAnsi="仿宋" w:hint="eastAsia"/>
                <w:color w:val="000000"/>
                <w:sz w:val="24"/>
                <w:szCs w:val="24"/>
                <w:lang w:eastAsia="zh-CN"/>
              </w:rPr>
              <w:t>年</w:t>
            </w:r>
            <w:r w:rsidRPr="000435E8">
              <w:rPr>
                <w:rFonts w:ascii="仿宋" w:eastAsia="仿宋" w:hAnsi="仿宋"/>
                <w:color w:val="000000"/>
                <w:sz w:val="24"/>
                <w:szCs w:val="24"/>
                <w:lang w:eastAsia="zh-CN"/>
              </w:rPr>
              <w:t>7</w:t>
            </w:r>
            <w:r>
              <w:rPr>
                <w:rFonts w:ascii="仿宋" w:eastAsia="仿宋" w:hAnsi="仿宋" w:hint="eastAsia"/>
                <w:color w:val="000000"/>
                <w:sz w:val="24"/>
                <w:szCs w:val="24"/>
                <w:lang w:eastAsia="zh-CN"/>
              </w:rPr>
              <w:t>月</w:t>
            </w:r>
            <w:r w:rsidRPr="000435E8">
              <w:rPr>
                <w:rFonts w:ascii="仿宋" w:eastAsia="仿宋" w:hAnsi="仿宋"/>
                <w:color w:val="000000"/>
                <w:sz w:val="24"/>
                <w:szCs w:val="24"/>
                <w:lang w:eastAsia="zh-CN"/>
              </w:rPr>
              <w:t>16</w:t>
            </w:r>
            <w:r>
              <w:rPr>
                <w:rFonts w:ascii="仿宋" w:eastAsia="仿宋" w:hAnsi="仿宋" w:hint="eastAsia"/>
                <w:color w:val="000000"/>
                <w:sz w:val="24"/>
                <w:szCs w:val="24"/>
                <w:lang w:eastAsia="zh-CN"/>
              </w:rPr>
              <w:t>日</w:t>
            </w:r>
          </w:p>
        </w:tc>
      </w:tr>
      <w:tr w:rsidR="00DA7809" w:rsidRPr="00615902" w14:paraId="11F46A10" w14:textId="77777777" w:rsidTr="00543270">
        <w:trPr>
          <w:trHeight w:val="285"/>
        </w:trPr>
        <w:tc>
          <w:tcPr>
            <w:tcW w:w="1985" w:type="dxa"/>
            <w:shd w:val="clear" w:color="auto" w:fill="auto"/>
            <w:vAlign w:val="center"/>
          </w:tcPr>
          <w:p w14:paraId="2FE3A7EE" w14:textId="5FD1A566" w:rsidR="00DA7809" w:rsidRPr="0091358C" w:rsidRDefault="00DA7809" w:rsidP="00A94551">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其他</w:t>
            </w:r>
          </w:p>
        </w:tc>
        <w:tc>
          <w:tcPr>
            <w:tcW w:w="6520" w:type="dxa"/>
            <w:gridSpan w:val="3"/>
            <w:shd w:val="clear" w:color="auto" w:fill="auto"/>
            <w:vAlign w:val="center"/>
          </w:tcPr>
          <w:p w14:paraId="2A40C5E3" w14:textId="600D182F" w:rsidR="00DA7809" w:rsidRDefault="00DA7809" w:rsidP="00815FF9">
            <w:pPr>
              <w:widowControl/>
              <w:autoSpaceDE/>
              <w:autoSpaceDN/>
              <w:rPr>
                <w:rFonts w:ascii="仿宋" w:eastAsia="仿宋" w:hAnsi="仿宋"/>
                <w:color w:val="000000"/>
                <w:sz w:val="24"/>
                <w:szCs w:val="24"/>
                <w:lang w:eastAsia="zh-CN"/>
              </w:rPr>
            </w:pPr>
            <w:r w:rsidRPr="00102555">
              <w:rPr>
                <w:rFonts w:ascii="仿宋" w:eastAsia="仿宋" w:hAnsi="仿宋" w:hint="eastAsia"/>
                <w:color w:val="000000"/>
                <w:sz w:val="24"/>
                <w:szCs w:val="24"/>
                <w:lang w:eastAsia="zh-CN"/>
              </w:rPr>
              <w:t>《基金合同》生效后，</w:t>
            </w:r>
            <w:r w:rsidRPr="00102555">
              <w:rPr>
                <w:rFonts w:ascii="仿宋" w:eastAsia="仿宋" w:hAnsi="仿宋"/>
                <w:color w:val="000000"/>
                <w:sz w:val="24"/>
                <w:szCs w:val="24"/>
                <w:lang w:eastAsia="zh-CN"/>
              </w:rPr>
              <w:t>连续50个工作日</w:t>
            </w:r>
            <w:r w:rsidRPr="00D31222">
              <w:rPr>
                <w:rFonts w:ascii="仿宋" w:eastAsia="仿宋" w:hAnsi="仿宋" w:hint="eastAsia"/>
                <w:color w:val="000000"/>
                <w:sz w:val="24"/>
                <w:szCs w:val="24"/>
                <w:lang w:eastAsia="zh-CN"/>
              </w:rPr>
              <w:t>出现基金份额持有人数量不满</w:t>
            </w:r>
            <w:r w:rsidRPr="00D31222">
              <w:rPr>
                <w:rFonts w:ascii="仿宋" w:eastAsia="仿宋" w:hAnsi="仿宋"/>
                <w:color w:val="000000"/>
                <w:sz w:val="24"/>
                <w:szCs w:val="24"/>
                <w:lang w:eastAsia="zh-CN"/>
              </w:rPr>
              <w:t>200人或者基金资产净值低于5000万元情形的</w:t>
            </w:r>
            <w:r w:rsidRPr="00102555">
              <w:rPr>
                <w:rFonts w:ascii="仿宋" w:eastAsia="仿宋" w:hAnsi="仿宋"/>
                <w:color w:val="000000"/>
                <w:sz w:val="24"/>
                <w:szCs w:val="24"/>
                <w:lang w:eastAsia="zh-CN"/>
              </w:rPr>
              <w:t>，基金合同应当终止，无需召开基金份额持有人大会。</w:t>
            </w:r>
          </w:p>
        </w:tc>
      </w:tr>
    </w:tbl>
    <w:p w14:paraId="56763800" w14:textId="77777777" w:rsidR="00A85C8E" w:rsidRDefault="00A85C8E" w:rsidP="00A94551">
      <w:pPr>
        <w:spacing w:afterLines="100" w:after="240" w:line="290" w:lineRule="exact"/>
        <w:rPr>
          <w:rFonts w:ascii="仿宋" w:eastAsia="仿宋" w:hAnsi="仿宋"/>
          <w:b/>
          <w:sz w:val="24"/>
          <w:szCs w:val="24"/>
          <w:lang w:eastAsia="zh-CN"/>
        </w:rPr>
      </w:pPr>
    </w:p>
    <w:p w14:paraId="66BEA1A2" w14:textId="45653384" w:rsidR="00C01A47" w:rsidRPr="000F2E0F" w:rsidRDefault="00A871FD" w:rsidP="00A94551">
      <w:pPr>
        <w:spacing w:afterLines="100" w:after="240" w:line="290" w:lineRule="exact"/>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A94551">
      <w:pPr>
        <w:spacing w:line="290" w:lineRule="exact"/>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05AA95E9" w14:textId="77777777" w:rsidR="00F531FA" w:rsidRPr="000F2E0F" w:rsidRDefault="00F531FA" w:rsidP="00A94551">
      <w:pPr>
        <w:spacing w:line="290" w:lineRule="exact"/>
        <w:rPr>
          <w:rFonts w:ascii="仿宋" w:eastAsia="仿宋" w:hAnsi="仿宋"/>
          <w:b/>
          <w:sz w:val="24"/>
          <w:szCs w:val="24"/>
          <w:lang w:eastAsia="zh-CN"/>
        </w:rPr>
      </w:pP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CB7D79" w:rsidRPr="002D1208" w14:paraId="6A5A6926" w14:textId="77777777" w:rsidTr="00A94551">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CB7D79" w:rsidRPr="000F2E0F" w:rsidRDefault="00CB7D79" w:rsidP="00CB7D7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0F47BD2F" w:rsidR="00CB7D79" w:rsidRPr="002D1208" w:rsidRDefault="001A0D05" w:rsidP="00CB7D79">
            <w:pPr>
              <w:widowControl/>
              <w:autoSpaceDE/>
              <w:autoSpaceDN/>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在严格控制组合风险并保持良好流动性的前提下，重点投资于内需增长主题相关的优质上市公司，力争实现基金资产的长期稳定增值。</w:t>
            </w:r>
          </w:p>
        </w:tc>
      </w:tr>
      <w:tr w:rsidR="00CB7D79" w:rsidRPr="002D1208" w14:paraId="5DA70AC9"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CB7D79" w:rsidRPr="000F2E0F" w:rsidRDefault="00CB7D79" w:rsidP="00CB7D7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01EDE6C6" w14:textId="77777777" w:rsidR="001A0D05" w:rsidRPr="000435E8" w:rsidRDefault="001A0D05" w:rsidP="001A0D05">
            <w:pPr>
              <w:widowControl/>
              <w:autoSpaceDE/>
              <w:autoSpaceDN/>
              <w:ind w:firstLineChars="200" w:firstLine="480"/>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本基金的投资范围包括国内依法发行上市的股票（包括主板、中小板、创业板及其他经中国证监会核准或注册上市的股票）、内地与香港股票市场交易互联互通机制允许买卖的规定</w:t>
            </w:r>
            <w:r w:rsidRPr="000435E8">
              <w:rPr>
                <w:rFonts w:ascii="仿宋" w:eastAsia="仿宋" w:hAnsi="仿宋" w:hint="eastAsia"/>
                <w:color w:val="000000"/>
                <w:sz w:val="24"/>
                <w:szCs w:val="24"/>
                <w:lang w:eastAsia="zh-CN"/>
              </w:rPr>
              <w:lastRenderedPageBreak/>
              <w:t>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1EBAE34B" w14:textId="77777777" w:rsidR="001A0D05" w:rsidRPr="000435E8" w:rsidRDefault="001A0D05" w:rsidP="001A0D05">
            <w:pPr>
              <w:widowControl/>
              <w:autoSpaceDE/>
              <w:autoSpaceDN/>
              <w:ind w:firstLineChars="200" w:firstLine="480"/>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本基金股票投资占基金资产的比例范围为</w:t>
            </w:r>
            <w:r w:rsidRPr="000435E8">
              <w:rPr>
                <w:rFonts w:ascii="仿宋" w:eastAsia="仿宋" w:hAnsi="仿宋"/>
                <w:color w:val="000000"/>
                <w:sz w:val="24"/>
                <w:szCs w:val="24"/>
                <w:lang w:eastAsia="zh-CN"/>
              </w:rPr>
              <w:t>80%-95%（其中港股通股票投资比例不得超过股票资产的50%），其中投资于内需增长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14:paraId="4FFDFB85" w14:textId="64B57AF1" w:rsidR="00CB7D79" w:rsidRPr="002D1208" w:rsidRDefault="001A0D05" w:rsidP="00CB7D79">
            <w:pPr>
              <w:widowControl/>
              <w:autoSpaceDE/>
              <w:autoSpaceDN/>
              <w:ind w:firstLineChars="200" w:firstLine="480"/>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如法律法规或监管机构以后允许基金投资其他品种，基金管理人在履行适当程序后，可以将其纳入投资范围，并可依据届时有效的法律法规适时合理地调整投资范围。</w:t>
            </w:r>
          </w:p>
        </w:tc>
      </w:tr>
      <w:tr w:rsidR="00332EC9" w:rsidRPr="002D1208" w14:paraId="44B478E7"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lastRenderedPageBreak/>
              <w:t>主要投资策略</w:t>
            </w:r>
          </w:p>
        </w:tc>
        <w:tc>
          <w:tcPr>
            <w:tcW w:w="6804" w:type="dxa"/>
            <w:tcBorders>
              <w:top w:val="dashed" w:sz="4" w:space="0" w:color="auto"/>
              <w:left w:val="nil"/>
              <w:bottom w:val="dashed" w:sz="4" w:space="0" w:color="auto"/>
            </w:tcBorders>
            <w:shd w:val="clear" w:color="auto" w:fill="auto"/>
            <w:vAlign w:val="center"/>
          </w:tcPr>
          <w:p w14:paraId="11996496" w14:textId="5B7D0372" w:rsidR="00332EC9" w:rsidRPr="009A6799" w:rsidRDefault="009A6799" w:rsidP="00F946F5">
            <w:pPr>
              <w:rPr>
                <w:rFonts w:ascii="仿宋" w:eastAsia="仿宋" w:hAnsi="仿宋"/>
                <w:color w:val="000000"/>
                <w:sz w:val="24"/>
                <w:szCs w:val="24"/>
                <w:lang w:eastAsia="zh-CN"/>
              </w:rPr>
            </w:pPr>
            <w:r w:rsidRPr="00F946F5">
              <w:rPr>
                <w:rFonts w:ascii="仿宋" w:eastAsia="仿宋" w:hAnsi="仿宋"/>
                <w:color w:val="000000"/>
                <w:sz w:val="24"/>
                <w:szCs w:val="24"/>
                <w:lang w:eastAsia="zh-CN"/>
              </w:rPr>
              <w:t>1、资产配置策略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2、股票投资策略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3、债券投资策略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4、股指期货等投资策略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5、国债期货等投资策略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6、资产支持证券投资策略</w:t>
            </w:r>
          </w:p>
        </w:tc>
      </w:tr>
      <w:tr w:rsidR="00CB7D79" w:rsidRPr="002D1208" w14:paraId="63939CE8"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CB7D79" w:rsidRPr="000F2E0F" w:rsidRDefault="00CB7D79" w:rsidP="00CB7D7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2A0EC199" w:rsidR="00CB7D79" w:rsidRPr="002D1208" w:rsidRDefault="001A0D05" w:rsidP="00CB7D79">
            <w:pPr>
              <w:widowControl/>
              <w:autoSpaceDE/>
              <w:autoSpaceDN/>
              <w:rPr>
                <w:rFonts w:ascii="仿宋" w:eastAsia="仿宋" w:hAnsi="仿宋"/>
                <w:color w:val="000000"/>
                <w:sz w:val="24"/>
                <w:szCs w:val="24"/>
                <w:lang w:eastAsia="zh-CN"/>
              </w:rPr>
            </w:pPr>
            <w:r w:rsidRPr="001A0D05">
              <w:rPr>
                <w:rFonts w:ascii="仿宋" w:eastAsia="仿宋" w:hAnsi="仿宋" w:hint="eastAsia"/>
                <w:color w:val="000000"/>
                <w:sz w:val="24"/>
                <w:szCs w:val="24"/>
                <w:lang w:eastAsia="zh-CN"/>
              </w:rPr>
              <w:t>中证</w:t>
            </w:r>
            <w:r w:rsidRPr="001A0D05">
              <w:rPr>
                <w:rFonts w:ascii="仿宋" w:eastAsia="仿宋" w:hAnsi="仿宋"/>
                <w:color w:val="000000"/>
                <w:sz w:val="24"/>
                <w:szCs w:val="24"/>
                <w:lang w:eastAsia="zh-CN"/>
              </w:rPr>
              <w:t>800指数收益率×65%＋中证港股通综合指数（人民币）收益率×20%+中债总指数收益率×15%</w:t>
            </w:r>
          </w:p>
        </w:tc>
      </w:tr>
      <w:tr w:rsidR="00CB7D79" w:rsidRPr="002D1208" w14:paraId="041666C7" w14:textId="77777777" w:rsidTr="00A94551">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CB7D79" w:rsidRPr="000F2E0F" w:rsidRDefault="00CB7D79" w:rsidP="00CB7D7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2DC1CB8A" w:rsidR="00CB7D79" w:rsidRPr="002D1208" w:rsidRDefault="001A0D05" w:rsidP="00CB7D79">
            <w:pPr>
              <w:widowControl/>
              <w:autoSpaceDE/>
              <w:autoSpaceDN/>
              <w:rPr>
                <w:rFonts w:ascii="仿宋" w:eastAsia="仿宋" w:hAnsi="仿宋"/>
                <w:color w:val="000000"/>
                <w:sz w:val="24"/>
                <w:szCs w:val="24"/>
                <w:lang w:eastAsia="zh-CN"/>
              </w:rPr>
            </w:pPr>
            <w:r w:rsidRPr="001A0D05">
              <w:rPr>
                <w:rFonts w:ascii="仿宋" w:eastAsia="仿宋" w:hAnsi="仿宋" w:hint="eastAsia"/>
                <w:color w:val="000000"/>
                <w:sz w:val="24"/>
                <w:szCs w:val="24"/>
                <w:lang w:eastAsia="zh-CN"/>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tc>
      </w:tr>
      <w:tr w:rsidR="00332EC9" w:rsidRPr="002D1208" w14:paraId="248923DC" w14:textId="77777777" w:rsidTr="00A94551">
        <w:trPr>
          <w:trHeight w:val="285"/>
        </w:trPr>
        <w:tc>
          <w:tcPr>
            <w:tcW w:w="8505" w:type="dxa"/>
            <w:gridSpan w:val="2"/>
            <w:tcBorders>
              <w:top w:val="single" w:sz="4" w:space="0" w:color="auto"/>
              <w:bottom w:val="nil"/>
            </w:tcBorders>
            <w:shd w:val="clear" w:color="auto" w:fill="auto"/>
            <w:noWrap/>
            <w:vAlign w:val="center"/>
          </w:tcPr>
          <w:p w14:paraId="6A71A30D" w14:textId="7EAA3ECD" w:rsidR="00332EC9" w:rsidRPr="002D1208" w:rsidRDefault="00332EC9" w:rsidP="00B01B6A">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1A0D05">
              <w:rPr>
                <w:rFonts w:ascii="仿宋" w:eastAsia="仿宋" w:hAnsi="仿宋" w:hint="eastAsia"/>
                <w:color w:val="000000"/>
                <w:sz w:val="24"/>
                <w:szCs w:val="24"/>
                <w:lang w:eastAsia="zh-CN"/>
              </w:rPr>
              <w:t>南方内需增长两年持有期股票型证券投资基金</w:t>
            </w:r>
            <w:r w:rsidR="004612B8" w:rsidRPr="004612B8">
              <w:rPr>
                <w:rFonts w:ascii="仿宋" w:eastAsia="仿宋" w:hAnsi="仿宋"/>
                <w:color w:val="000000"/>
                <w:sz w:val="24"/>
                <w:szCs w:val="24"/>
                <w:lang w:eastAsia="zh-CN"/>
              </w:rPr>
              <w:t>招募说明书》</w:t>
            </w:r>
            <w:r w:rsidR="00B01B6A" w:rsidRPr="004612B8">
              <w:rPr>
                <w:rFonts w:ascii="仿宋" w:eastAsia="仿宋" w:hAnsi="仿宋"/>
                <w:color w:val="000000"/>
                <w:sz w:val="24"/>
                <w:szCs w:val="24"/>
                <w:lang w:eastAsia="zh-CN"/>
              </w:rPr>
              <w:t>第</w:t>
            </w:r>
            <w:r w:rsidR="00B01B6A">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A94551">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A94551">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rsidP="00A94551">
      <w:pPr>
        <w:pStyle w:val="a3"/>
        <w:spacing w:line="20" w:lineRule="exact"/>
        <w:rPr>
          <w:sz w:val="2"/>
          <w:lang w:eastAsia="zh-CN"/>
        </w:rPr>
      </w:pPr>
    </w:p>
    <w:p w14:paraId="0382AC7C" w14:textId="30FCD4FC" w:rsidR="00977756" w:rsidRDefault="00977756" w:rsidP="00A94551">
      <w:pPr>
        <w:spacing w:line="290" w:lineRule="exact"/>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p>
    <w:p w14:paraId="5710B6A4" w14:textId="211AB49A" w:rsidR="00977756" w:rsidRPr="00215EDA" w:rsidRDefault="00977756" w:rsidP="00A94551">
      <w:pPr>
        <w:spacing w:line="290" w:lineRule="exact"/>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p>
    <w:p w14:paraId="0040C326" w14:textId="77777777" w:rsidR="008C50DC" w:rsidRPr="00977756" w:rsidRDefault="008C50DC" w:rsidP="00A94551">
      <w:pPr>
        <w:spacing w:beforeLines="50" w:before="120" w:afterLines="50" w:after="120" w:line="312" w:lineRule="exact"/>
        <w:rPr>
          <w:rFonts w:ascii="仿宋" w:eastAsia="仿宋" w:hAnsi="仿宋"/>
          <w:b/>
          <w:sz w:val="24"/>
          <w:szCs w:val="24"/>
          <w:lang w:eastAsia="zh-CN"/>
        </w:rPr>
      </w:pPr>
    </w:p>
    <w:p w14:paraId="2EDCA5FF" w14:textId="0982F6BF" w:rsidR="00481ECB" w:rsidRPr="007946E1" w:rsidRDefault="00A871FD" w:rsidP="00A94551">
      <w:pPr>
        <w:spacing w:beforeLines="50" w:before="120" w:afterLines="50" w:after="120" w:line="312" w:lineRule="exact"/>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A94551">
      <w:pPr>
        <w:spacing w:line="312" w:lineRule="exact"/>
        <w:ind w:firstLineChars="200" w:firstLine="480"/>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8505"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3261"/>
        <w:gridCol w:w="1610"/>
        <w:gridCol w:w="1366"/>
      </w:tblGrid>
      <w:tr w:rsidR="00922B5E" w:rsidRPr="00282810" w14:paraId="5B33F5CE" w14:textId="77777777" w:rsidTr="00A94551">
        <w:trPr>
          <w:trHeight w:val="623"/>
        </w:trPr>
        <w:tc>
          <w:tcPr>
            <w:tcW w:w="2268" w:type="dxa"/>
            <w:tcBorders>
              <w:bottom w:val="dashed" w:sz="4" w:space="0" w:color="auto"/>
            </w:tcBorders>
            <w:shd w:val="clear" w:color="auto" w:fill="auto"/>
            <w:noWrap/>
            <w:vAlign w:val="center"/>
            <w:hideMark/>
          </w:tcPr>
          <w:p w14:paraId="22F4CEB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3261" w:type="dxa"/>
            <w:tcBorders>
              <w:bottom w:val="dashed" w:sz="4" w:space="0" w:color="auto"/>
            </w:tcBorders>
            <w:shd w:val="clear" w:color="auto" w:fill="auto"/>
            <w:vAlign w:val="center"/>
            <w:hideMark/>
          </w:tcPr>
          <w:p w14:paraId="24AC2318" w14:textId="572F9D88"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610" w:type="dxa"/>
            <w:tcBorders>
              <w:bottom w:val="dashed" w:sz="4" w:space="0" w:color="auto"/>
            </w:tcBorders>
            <w:shd w:val="clear" w:color="auto" w:fill="auto"/>
            <w:vAlign w:val="center"/>
            <w:hideMark/>
          </w:tcPr>
          <w:p w14:paraId="5DE0F1D0"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366" w:type="dxa"/>
            <w:tcBorders>
              <w:bottom w:val="dashed" w:sz="4" w:space="0" w:color="auto"/>
            </w:tcBorders>
            <w:shd w:val="clear" w:color="auto" w:fill="auto"/>
            <w:noWrap/>
            <w:vAlign w:val="center"/>
            <w:hideMark/>
          </w:tcPr>
          <w:p w14:paraId="1911CEB7"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410F98" w:rsidRPr="00282810" w14:paraId="341678E6" w14:textId="77777777" w:rsidTr="00A94551">
        <w:trPr>
          <w:trHeight w:val="285"/>
        </w:trPr>
        <w:tc>
          <w:tcPr>
            <w:tcW w:w="2268" w:type="dxa"/>
            <w:tcBorders>
              <w:top w:val="dashed" w:sz="4" w:space="0" w:color="auto"/>
              <w:bottom w:val="dashed" w:sz="4" w:space="0" w:color="auto"/>
            </w:tcBorders>
            <w:shd w:val="clear" w:color="auto" w:fill="auto"/>
            <w:noWrap/>
            <w:vAlign w:val="center"/>
            <w:hideMark/>
          </w:tcPr>
          <w:p w14:paraId="7369C9EE" w14:textId="77777777" w:rsidR="00410F98" w:rsidRPr="00FF1AEB" w:rsidRDefault="00410F98" w:rsidP="00410F98">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lastRenderedPageBreak/>
              <w:t>认购费</w:t>
            </w:r>
          </w:p>
        </w:tc>
        <w:tc>
          <w:tcPr>
            <w:tcW w:w="3261" w:type="dxa"/>
            <w:tcBorders>
              <w:top w:val="dashed" w:sz="4" w:space="0" w:color="auto"/>
              <w:bottom w:val="dashed" w:sz="4" w:space="0" w:color="auto"/>
            </w:tcBorders>
            <w:shd w:val="clear" w:color="auto" w:fill="auto"/>
            <w:noWrap/>
            <w:vAlign w:val="center"/>
            <w:hideMark/>
          </w:tcPr>
          <w:p w14:paraId="3C74B775" w14:textId="240669B5" w:rsidR="00410F98" w:rsidRPr="00282810" w:rsidRDefault="00410F98" w:rsidP="00410F98">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10" w:type="dxa"/>
            <w:tcBorders>
              <w:top w:val="dashed" w:sz="4" w:space="0" w:color="auto"/>
              <w:bottom w:val="dashed" w:sz="4" w:space="0" w:color="auto"/>
            </w:tcBorders>
            <w:shd w:val="clear" w:color="auto" w:fill="auto"/>
            <w:noWrap/>
            <w:vAlign w:val="center"/>
            <w:hideMark/>
          </w:tcPr>
          <w:p w14:paraId="64AED10E" w14:textId="420FEBB2" w:rsidR="00410F98" w:rsidRPr="00282810" w:rsidRDefault="009548BD" w:rsidP="00410F98">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0.0</w:t>
            </w:r>
            <w:r w:rsidR="00410F98">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2196DFDA" w14:textId="43D11F97" w:rsidR="00410F98" w:rsidRPr="00282810" w:rsidRDefault="00410F98" w:rsidP="00410F98">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C类</w:t>
            </w:r>
            <w:r>
              <w:rPr>
                <w:rFonts w:ascii="仿宋" w:eastAsia="仿宋" w:hAnsi="仿宋"/>
                <w:sz w:val="24"/>
                <w:szCs w:val="24"/>
                <w:lang w:eastAsia="zh-CN"/>
              </w:rPr>
              <w:t>份额</w:t>
            </w:r>
            <w:r>
              <w:rPr>
                <w:rFonts w:ascii="仿宋" w:eastAsia="仿宋" w:hAnsi="仿宋" w:hint="eastAsia"/>
                <w:sz w:val="24"/>
                <w:szCs w:val="24"/>
                <w:lang w:eastAsia="zh-CN"/>
              </w:rPr>
              <w:t>无认购费</w:t>
            </w:r>
          </w:p>
        </w:tc>
      </w:tr>
      <w:tr w:rsidR="0081356E" w:rsidRPr="00282810" w14:paraId="48F10B3C" w14:textId="77777777" w:rsidTr="00A94551">
        <w:trPr>
          <w:trHeight w:val="300"/>
        </w:trPr>
        <w:tc>
          <w:tcPr>
            <w:tcW w:w="2268" w:type="dxa"/>
            <w:tcBorders>
              <w:top w:val="dashed" w:sz="4" w:space="0" w:color="auto"/>
              <w:bottom w:val="dashed" w:sz="4" w:space="0" w:color="auto"/>
            </w:tcBorders>
            <w:shd w:val="clear" w:color="auto" w:fill="auto"/>
            <w:noWrap/>
            <w:vAlign w:val="center"/>
            <w:hideMark/>
          </w:tcPr>
          <w:p w14:paraId="2FC1ED91" w14:textId="77777777" w:rsidR="0081356E" w:rsidRPr="00FF1AEB" w:rsidRDefault="0081356E" w:rsidP="0081356E">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3261" w:type="dxa"/>
            <w:tcBorders>
              <w:top w:val="dashed" w:sz="4" w:space="0" w:color="auto"/>
              <w:bottom w:val="dashed" w:sz="4" w:space="0" w:color="auto"/>
            </w:tcBorders>
            <w:shd w:val="clear" w:color="auto" w:fill="auto"/>
            <w:noWrap/>
            <w:vAlign w:val="center"/>
            <w:hideMark/>
          </w:tcPr>
          <w:p w14:paraId="3DC38E7F" w14:textId="6160E7DB" w:rsidR="0081356E" w:rsidRPr="00282810" w:rsidRDefault="0081356E" w:rsidP="0081356E">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10" w:type="dxa"/>
            <w:tcBorders>
              <w:top w:val="dashed" w:sz="4" w:space="0" w:color="auto"/>
              <w:bottom w:val="dashed" w:sz="4" w:space="0" w:color="auto"/>
            </w:tcBorders>
            <w:shd w:val="clear" w:color="auto" w:fill="auto"/>
            <w:noWrap/>
            <w:vAlign w:val="center"/>
            <w:hideMark/>
          </w:tcPr>
          <w:p w14:paraId="123E682B" w14:textId="1C1A08B1" w:rsidR="0081356E" w:rsidRPr="00282810" w:rsidRDefault="009548BD" w:rsidP="0081356E">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0.0</w:t>
            </w:r>
            <w:r w:rsidR="0081356E">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7F2EFEC7" w14:textId="53184B0D" w:rsidR="0081356E" w:rsidRPr="00282810" w:rsidRDefault="0081356E" w:rsidP="0081356E">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C类</w:t>
            </w:r>
            <w:r>
              <w:rPr>
                <w:rFonts w:ascii="仿宋" w:eastAsia="仿宋" w:hAnsi="仿宋"/>
                <w:sz w:val="24"/>
                <w:szCs w:val="24"/>
                <w:lang w:eastAsia="zh-CN"/>
              </w:rPr>
              <w:t>份额无申购费</w:t>
            </w:r>
          </w:p>
        </w:tc>
      </w:tr>
      <w:tr w:rsidR="001A0D05" w:rsidRPr="00282810" w14:paraId="3588BE07" w14:textId="77777777" w:rsidTr="009002A2">
        <w:trPr>
          <w:trHeight w:val="623"/>
        </w:trPr>
        <w:tc>
          <w:tcPr>
            <w:tcW w:w="2268" w:type="dxa"/>
            <w:tcBorders>
              <w:top w:val="dashed" w:sz="4" w:space="0" w:color="auto"/>
              <w:bottom w:val="dashed" w:sz="4" w:space="0" w:color="auto"/>
            </w:tcBorders>
            <w:shd w:val="clear" w:color="auto" w:fill="auto"/>
            <w:noWrap/>
            <w:vAlign w:val="center"/>
            <w:hideMark/>
          </w:tcPr>
          <w:p w14:paraId="19201391" w14:textId="77777777" w:rsidR="001A0D05" w:rsidRPr="00FF1AEB" w:rsidRDefault="001A0D05" w:rsidP="001A0D05">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3261" w:type="dxa"/>
            <w:tcBorders>
              <w:top w:val="dashed" w:sz="4" w:space="0" w:color="auto"/>
            </w:tcBorders>
            <w:shd w:val="clear" w:color="auto" w:fill="auto"/>
            <w:noWrap/>
            <w:vAlign w:val="center"/>
          </w:tcPr>
          <w:p w14:paraId="7E9B4F87" w14:textId="6053716F" w:rsidR="001A0D05" w:rsidRPr="00282810" w:rsidRDefault="001A0D05" w:rsidP="001A0D05">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w:t>
            </w:r>
          </w:p>
        </w:tc>
        <w:tc>
          <w:tcPr>
            <w:tcW w:w="1610" w:type="dxa"/>
            <w:tcBorders>
              <w:top w:val="dashed" w:sz="4" w:space="0" w:color="auto"/>
            </w:tcBorders>
            <w:shd w:val="clear" w:color="auto" w:fill="auto"/>
            <w:noWrap/>
            <w:vAlign w:val="center"/>
          </w:tcPr>
          <w:p w14:paraId="2746F48B" w14:textId="23F02ABD" w:rsidR="001A0D05" w:rsidRPr="00282810" w:rsidRDefault="001A0D05" w:rsidP="001A0D05">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w:t>
            </w:r>
          </w:p>
        </w:tc>
        <w:tc>
          <w:tcPr>
            <w:tcW w:w="1366" w:type="dxa"/>
            <w:tcBorders>
              <w:top w:val="dashed" w:sz="4" w:space="0" w:color="auto"/>
            </w:tcBorders>
            <w:shd w:val="clear" w:color="auto" w:fill="auto"/>
            <w:noWrap/>
            <w:vAlign w:val="center"/>
          </w:tcPr>
          <w:p w14:paraId="68202DC5" w14:textId="0EC23EEC" w:rsidR="001A0D05" w:rsidRPr="00282810" w:rsidRDefault="001A0D05" w:rsidP="001A0D05">
            <w:pPr>
              <w:widowControl/>
              <w:autoSpaceDE/>
              <w:autoSpaceDN/>
              <w:jc w:val="center"/>
              <w:rPr>
                <w:rFonts w:ascii="仿宋" w:eastAsia="仿宋" w:hAnsi="仿宋"/>
                <w:sz w:val="24"/>
                <w:szCs w:val="24"/>
                <w:lang w:eastAsia="zh-CN"/>
              </w:rPr>
            </w:pPr>
            <w:r>
              <w:rPr>
                <w:rFonts w:ascii="仿宋" w:eastAsia="仿宋" w:hAnsi="仿宋"/>
                <w:sz w:val="24"/>
                <w:szCs w:val="24"/>
                <w:lang w:eastAsia="zh-CN"/>
              </w:rPr>
              <w:t>每笔份额持有至少</w:t>
            </w:r>
            <w:r>
              <w:rPr>
                <w:rFonts w:ascii="仿宋" w:eastAsia="仿宋" w:hAnsi="仿宋" w:hint="eastAsia"/>
                <w:sz w:val="24"/>
                <w:szCs w:val="24"/>
                <w:lang w:eastAsia="zh-CN"/>
              </w:rPr>
              <w:t>两</w:t>
            </w:r>
            <w:r>
              <w:rPr>
                <w:rFonts w:ascii="仿宋" w:eastAsia="仿宋" w:hAnsi="仿宋"/>
                <w:sz w:val="24"/>
                <w:szCs w:val="24"/>
                <w:lang w:eastAsia="zh-CN"/>
              </w:rPr>
              <w:t>年</w:t>
            </w:r>
          </w:p>
        </w:tc>
      </w:tr>
    </w:tbl>
    <w:p w14:paraId="5D51CDDE" w14:textId="6067748A" w:rsidR="002F5D4E" w:rsidRPr="00D633A3" w:rsidRDefault="002F5D4E" w:rsidP="002F5D4E">
      <w:pPr>
        <w:widowControl/>
        <w:autoSpaceDE/>
        <w:autoSpaceDN/>
        <w:ind w:leftChars="450" w:left="990"/>
        <w:jc w:val="both"/>
        <w:rPr>
          <w:rFonts w:ascii="仿宋" w:eastAsia="仿宋" w:hAnsi="仿宋"/>
          <w:b/>
          <w:sz w:val="24"/>
          <w:szCs w:val="24"/>
          <w:lang w:eastAsia="zh-CN"/>
        </w:rPr>
      </w:pPr>
    </w:p>
    <w:p w14:paraId="391DD5FD" w14:textId="2EBBB0E3" w:rsidR="00E26ACB" w:rsidRPr="002F5D4E" w:rsidRDefault="00E26ACB" w:rsidP="00A94551">
      <w:pPr>
        <w:spacing w:line="312" w:lineRule="exact"/>
        <w:rPr>
          <w:rFonts w:ascii="仿宋" w:eastAsia="仿宋" w:hAnsi="仿宋"/>
          <w:b/>
          <w:sz w:val="24"/>
          <w:szCs w:val="24"/>
          <w:lang w:eastAsia="zh-CN"/>
        </w:rPr>
      </w:pPr>
    </w:p>
    <w:p w14:paraId="48A70F2B" w14:textId="77777777" w:rsidR="00A3566B" w:rsidRPr="00E26ACB" w:rsidRDefault="00A3566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A94551">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65D95A00"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1.50</w:t>
            </w:r>
            <w:r w:rsidR="0082249B">
              <w:rPr>
                <w:rFonts w:ascii="仿宋" w:eastAsia="仿宋" w:hAnsi="仿宋" w:hint="eastAsia"/>
                <w:color w:val="000000"/>
                <w:sz w:val="24"/>
                <w:szCs w:val="24"/>
                <w:lang w:eastAsia="zh-CN"/>
              </w:rPr>
              <w:t>%</w:t>
            </w:r>
          </w:p>
        </w:tc>
      </w:tr>
      <w:tr w:rsidR="00100CFA" w:rsidRPr="002D1208" w14:paraId="494F7BD1"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5E5E944E"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0.25</w:t>
            </w:r>
            <w:r w:rsidR="0082249B">
              <w:rPr>
                <w:rFonts w:ascii="仿宋" w:eastAsia="仿宋" w:hAnsi="仿宋" w:hint="eastAsia"/>
                <w:color w:val="000000"/>
                <w:sz w:val="24"/>
                <w:szCs w:val="24"/>
                <w:lang w:eastAsia="zh-CN"/>
              </w:rPr>
              <w:t>%</w:t>
            </w:r>
          </w:p>
        </w:tc>
      </w:tr>
      <w:tr w:rsidR="000B41EF" w:rsidRPr="002D1208" w14:paraId="3C64DCA3"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448B928A" w14:textId="126668D8" w:rsidR="000B41EF" w:rsidRPr="009261FA" w:rsidRDefault="000B41EF" w:rsidP="00A94551">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销售</w:t>
            </w:r>
            <w:r>
              <w:rPr>
                <w:rFonts w:ascii="仿宋" w:eastAsia="仿宋" w:hAnsi="仿宋"/>
                <w:b/>
                <w:color w:val="000000"/>
                <w:sz w:val="24"/>
                <w:szCs w:val="24"/>
                <w:lang w:eastAsia="zh-CN"/>
              </w:rPr>
              <w:t>服务费</w:t>
            </w:r>
          </w:p>
        </w:tc>
        <w:tc>
          <w:tcPr>
            <w:tcW w:w="4394" w:type="dxa"/>
            <w:tcBorders>
              <w:top w:val="dashed" w:sz="4" w:space="0" w:color="auto"/>
              <w:left w:val="nil"/>
              <w:bottom w:val="dashed" w:sz="4" w:space="0" w:color="auto"/>
            </w:tcBorders>
            <w:shd w:val="clear" w:color="auto" w:fill="auto"/>
            <w:vAlign w:val="center"/>
          </w:tcPr>
          <w:p w14:paraId="39819CB0" w14:textId="7BEECBD0" w:rsidR="000B41EF" w:rsidRDefault="000B41EF"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w:t>
            </w:r>
            <w:r w:rsidR="001A0D05">
              <w:rPr>
                <w:rFonts w:ascii="仿宋" w:eastAsia="仿宋" w:hAnsi="仿宋"/>
                <w:color w:val="000000"/>
                <w:sz w:val="24"/>
                <w:szCs w:val="24"/>
                <w:lang w:eastAsia="zh-CN"/>
              </w:rPr>
              <w:t>6</w:t>
            </w:r>
            <w:r>
              <w:rPr>
                <w:rFonts w:ascii="仿宋" w:eastAsia="仿宋" w:hAnsi="仿宋"/>
                <w:color w:val="000000"/>
                <w:sz w:val="24"/>
                <w:szCs w:val="24"/>
                <w:lang w:eastAsia="zh-CN"/>
              </w:rPr>
              <w:t>%</w:t>
            </w:r>
          </w:p>
        </w:tc>
      </w:tr>
      <w:tr w:rsidR="00100CFA" w:rsidRPr="002D1208" w14:paraId="1E8FFDB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6D6C5A29" w:rsidR="00100CFA" w:rsidRDefault="00C63D08"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会计</w:t>
            </w:r>
            <w:r>
              <w:rPr>
                <w:rFonts w:ascii="仿宋" w:eastAsia="仿宋" w:hAnsi="仿宋"/>
                <w:color w:val="000000"/>
                <w:sz w:val="24"/>
                <w:szCs w:val="24"/>
                <w:lang w:eastAsia="zh-CN"/>
              </w:rPr>
              <w:t>费、</w:t>
            </w:r>
            <w:r w:rsidR="0075046E">
              <w:rPr>
                <w:rFonts w:ascii="仿宋" w:eastAsia="仿宋" w:hAnsi="仿宋" w:hint="eastAsia"/>
                <w:color w:val="000000"/>
                <w:sz w:val="24"/>
                <w:szCs w:val="24"/>
                <w:lang w:eastAsia="zh-CN"/>
              </w:rPr>
              <w:t>律师费</w:t>
            </w:r>
            <w:r w:rsidR="0075046E">
              <w:rPr>
                <w:rFonts w:ascii="仿宋" w:eastAsia="仿宋" w:hAnsi="仿宋"/>
                <w:color w:val="000000"/>
                <w:sz w:val="24"/>
                <w:szCs w:val="24"/>
                <w:lang w:eastAsia="zh-CN"/>
              </w:rPr>
              <w:t>、</w:t>
            </w:r>
            <w:r>
              <w:rPr>
                <w:rFonts w:ascii="仿宋" w:eastAsia="仿宋" w:hAnsi="仿宋" w:hint="eastAsia"/>
                <w:color w:val="000000"/>
                <w:sz w:val="24"/>
                <w:szCs w:val="24"/>
                <w:lang w:eastAsia="zh-CN"/>
              </w:rPr>
              <w:t>审计费</w:t>
            </w:r>
            <w:r w:rsidR="0075046E">
              <w:rPr>
                <w:rFonts w:ascii="仿宋" w:eastAsia="仿宋" w:hAnsi="仿宋"/>
                <w:color w:val="000000"/>
                <w:sz w:val="24"/>
                <w:szCs w:val="24"/>
                <w:lang w:eastAsia="zh-CN"/>
              </w:rPr>
              <w:t>等</w:t>
            </w:r>
          </w:p>
        </w:tc>
      </w:tr>
      <w:tr w:rsidR="005E23BD" w:rsidRPr="0082249B" w14:paraId="561B4043" w14:textId="77777777" w:rsidTr="00A94551">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A94551">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513BB731" w14:textId="77777777" w:rsidR="005E23BD" w:rsidRDefault="0082249B" w:rsidP="00A04B0B">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4A17527B" w:rsidR="00EF1A91" w:rsidRPr="00EF1A91" w:rsidRDefault="00EF1A91" w:rsidP="00A04B0B">
            <w:pPr>
              <w:widowControl/>
              <w:autoSpaceDE/>
              <w:autoSpaceDN/>
              <w:ind w:leftChars="150" w:left="330"/>
              <w:jc w:val="both"/>
              <w:rPr>
                <w:rFonts w:ascii="仿宋" w:eastAsia="仿宋" w:hAnsi="仿宋"/>
                <w:color w:val="000000"/>
                <w:spacing w:val="-8"/>
                <w:sz w:val="24"/>
                <w:szCs w:val="24"/>
                <w:lang w:eastAsia="zh-CN"/>
              </w:rPr>
            </w:pPr>
            <w:r w:rsidRPr="00EF1A91">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A94551">
      <w:pPr>
        <w:spacing w:line="312" w:lineRule="exact"/>
        <w:jc w:val="both"/>
        <w:rPr>
          <w:rFonts w:ascii="仿宋" w:eastAsia="仿宋" w:hAnsi="仿宋"/>
          <w:sz w:val="24"/>
          <w:szCs w:val="24"/>
          <w:lang w:eastAsia="zh-CN"/>
        </w:rPr>
      </w:pPr>
    </w:p>
    <w:p w14:paraId="51DEEA83" w14:textId="77777777" w:rsidR="007C09CD"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A94551">
      <w:pPr>
        <w:spacing w:line="312" w:lineRule="exact"/>
        <w:rPr>
          <w:rFonts w:ascii="仿宋" w:eastAsia="仿宋" w:hAnsi="仿宋"/>
          <w:b/>
          <w:sz w:val="24"/>
          <w:szCs w:val="24"/>
          <w:lang w:eastAsia="zh-CN"/>
        </w:rPr>
      </w:pPr>
      <w:r w:rsidRPr="00444587">
        <w:rPr>
          <w:rFonts w:ascii="仿宋" w:eastAsia="仿宋" w:hAnsi="仿宋"/>
          <w:b/>
          <w:sz w:val="24"/>
          <w:szCs w:val="24"/>
          <w:lang w:eastAsia="zh-CN"/>
        </w:rPr>
        <w:t>（一）风险揭示</w:t>
      </w:r>
    </w:p>
    <w:p w14:paraId="146CFD59" w14:textId="77777777" w:rsidR="00CB7D79" w:rsidRDefault="00CB7D79" w:rsidP="00CB7D79">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343FF55B" w14:textId="77777777" w:rsidR="00CB7D79" w:rsidRDefault="00CB7D79" w:rsidP="00CB7D79">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14B47C7A" w14:textId="77777777" w:rsidR="00CB7D79" w:rsidRDefault="00CB7D79" w:rsidP="00CB7D79">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w:t>
      </w:r>
      <w:r>
        <w:rPr>
          <w:rFonts w:ascii="仿宋" w:eastAsia="仿宋" w:hAnsi="仿宋"/>
          <w:sz w:val="24"/>
          <w:szCs w:val="24"/>
          <w:lang w:eastAsia="zh-CN"/>
        </w:rPr>
        <w:t>）</w:t>
      </w:r>
      <w:r w:rsidRPr="00815FF9">
        <w:rPr>
          <w:rFonts w:ascii="仿宋" w:eastAsia="仿宋" w:hAnsi="仿宋" w:hint="eastAsia"/>
          <w:sz w:val="24"/>
          <w:szCs w:val="24"/>
          <w:lang w:eastAsia="zh-CN"/>
        </w:rPr>
        <w:t>本基金的特有风险</w:t>
      </w:r>
    </w:p>
    <w:p w14:paraId="7B7B2B4E" w14:textId="77777777" w:rsidR="001A0D05" w:rsidRPr="0041674E" w:rsidRDefault="001A0D05" w:rsidP="001A0D05">
      <w:pPr>
        <w:spacing w:line="312" w:lineRule="exact"/>
        <w:ind w:firstLineChars="200" w:firstLine="480"/>
        <w:rPr>
          <w:rFonts w:ascii="仿宋" w:eastAsia="仿宋" w:hAnsi="仿宋"/>
          <w:sz w:val="24"/>
          <w:szCs w:val="24"/>
          <w:lang w:eastAsia="zh-CN"/>
        </w:rPr>
      </w:pPr>
      <w:r w:rsidRPr="0041674E">
        <w:rPr>
          <w:rFonts w:ascii="仿宋" w:eastAsia="仿宋" w:hAnsi="仿宋"/>
          <w:sz w:val="24"/>
          <w:szCs w:val="24"/>
          <w:lang w:eastAsia="zh-CN"/>
        </w:rPr>
        <w:t>1、本基金为股票型证券投资基金，股票投资占基金资产的比例范围为80%-95%，港股通股票投资比例不得超过股票资产的50%。因此，国内和港股通标的股票市场和债券市场的变化均会影响到基金业绩表现，基金净值表现因此可能受到影响。</w:t>
      </w:r>
    </w:p>
    <w:p w14:paraId="3F395708" w14:textId="77777777" w:rsidR="001A0D05" w:rsidRPr="009A6799" w:rsidRDefault="001A0D05" w:rsidP="001A0D05">
      <w:pPr>
        <w:spacing w:line="312" w:lineRule="exact"/>
        <w:ind w:firstLineChars="200" w:firstLine="480"/>
        <w:rPr>
          <w:rFonts w:ascii="仿宋" w:eastAsia="仿宋" w:hAnsi="仿宋"/>
          <w:sz w:val="24"/>
          <w:szCs w:val="24"/>
          <w:lang w:eastAsia="zh-CN"/>
        </w:rPr>
      </w:pPr>
      <w:r w:rsidRPr="0041674E">
        <w:rPr>
          <w:rFonts w:ascii="仿宋" w:eastAsia="仿宋" w:hAnsi="仿宋"/>
          <w:sz w:val="24"/>
          <w:szCs w:val="24"/>
          <w:lang w:eastAsia="zh-CN"/>
        </w:rPr>
        <w:t>2、本基金对每份基金份额设定两年锁定期，对投资者存在流动性风险。本基金主要运 作方式设置为允许投资者日常申购，但对于每份份额设定两年锁定期，锁定期内基金份额 持有人不能就该基金份额提出赎回申请。即投资者要考虑在锁定期资金不能赎回的风险。</w:t>
      </w:r>
    </w:p>
    <w:p w14:paraId="15CCA5F3" w14:textId="77777777" w:rsidR="001A0D05" w:rsidRPr="009A6799" w:rsidRDefault="001A0D05" w:rsidP="001A0D05">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3</w:t>
      </w:r>
      <w:r w:rsidRPr="009A6799">
        <w:rPr>
          <w:rFonts w:ascii="仿宋" w:eastAsia="仿宋" w:hAnsi="仿宋" w:hint="eastAsia"/>
          <w:sz w:val="24"/>
          <w:szCs w:val="24"/>
          <w:lang w:eastAsia="zh-CN"/>
        </w:rPr>
        <w:t>、投资港股通股票的风险</w:t>
      </w:r>
    </w:p>
    <w:p w14:paraId="67071F29" w14:textId="77777777" w:rsidR="001A0D05" w:rsidRDefault="001A0D05" w:rsidP="001A0D05">
      <w:pPr>
        <w:spacing w:line="312" w:lineRule="exact"/>
        <w:ind w:firstLineChars="200" w:firstLine="480"/>
        <w:rPr>
          <w:rFonts w:ascii="仿宋" w:eastAsia="仿宋" w:hAnsi="仿宋"/>
          <w:sz w:val="24"/>
          <w:szCs w:val="24"/>
          <w:lang w:eastAsia="zh-CN"/>
        </w:rPr>
      </w:pPr>
      <w:r w:rsidRPr="009A1F55">
        <w:rPr>
          <w:rFonts w:ascii="仿宋" w:eastAsia="仿宋" w:hAnsi="仿宋" w:hint="eastAsia"/>
          <w:sz w:val="24"/>
          <w:szCs w:val="24"/>
          <w:lang w:eastAsia="zh-CN"/>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r>
        <w:rPr>
          <w:rFonts w:ascii="仿宋" w:eastAsia="仿宋" w:hAnsi="仿宋" w:hint="eastAsia"/>
          <w:sz w:val="24"/>
          <w:szCs w:val="24"/>
          <w:lang w:eastAsia="zh-CN"/>
        </w:rPr>
        <w:t>汇率</w:t>
      </w:r>
      <w:r>
        <w:rPr>
          <w:rFonts w:ascii="仿宋" w:eastAsia="仿宋" w:hAnsi="仿宋"/>
          <w:sz w:val="24"/>
          <w:szCs w:val="24"/>
          <w:lang w:eastAsia="zh-CN"/>
        </w:rPr>
        <w:t>风险、</w:t>
      </w:r>
      <w:r>
        <w:rPr>
          <w:rFonts w:ascii="仿宋" w:eastAsia="仿宋" w:hAnsi="仿宋" w:hint="eastAsia"/>
          <w:sz w:val="24"/>
          <w:szCs w:val="24"/>
          <w:lang w:eastAsia="zh-CN"/>
        </w:rPr>
        <w:t>香港</w:t>
      </w:r>
      <w:r>
        <w:rPr>
          <w:rFonts w:ascii="仿宋" w:eastAsia="仿宋" w:hAnsi="仿宋"/>
          <w:sz w:val="24"/>
          <w:szCs w:val="24"/>
          <w:lang w:eastAsia="zh-CN"/>
        </w:rPr>
        <w:t>市场风险、</w:t>
      </w:r>
      <w:r w:rsidRPr="009A6799">
        <w:rPr>
          <w:rFonts w:ascii="仿宋" w:eastAsia="仿宋" w:hAnsi="仿宋" w:hint="eastAsia"/>
          <w:sz w:val="24"/>
          <w:szCs w:val="24"/>
          <w:lang w:eastAsia="zh-CN"/>
        </w:rPr>
        <w:t>香港交易市场制度或规则不同带来的风险</w:t>
      </w:r>
      <w:r>
        <w:rPr>
          <w:rFonts w:ascii="仿宋" w:eastAsia="仿宋" w:hAnsi="仿宋" w:hint="eastAsia"/>
          <w:sz w:val="24"/>
          <w:szCs w:val="24"/>
          <w:lang w:eastAsia="zh-CN"/>
        </w:rPr>
        <w:t>、</w:t>
      </w:r>
      <w:r w:rsidRPr="009A6799">
        <w:rPr>
          <w:rFonts w:ascii="仿宋" w:eastAsia="仿宋" w:hAnsi="仿宋" w:hint="eastAsia"/>
          <w:sz w:val="24"/>
          <w:szCs w:val="24"/>
          <w:lang w:eastAsia="zh-CN"/>
        </w:rPr>
        <w:t>港股通制度限制或调整带来的风险</w:t>
      </w:r>
      <w:r>
        <w:rPr>
          <w:rFonts w:ascii="仿宋" w:eastAsia="仿宋" w:hAnsi="仿宋" w:hint="eastAsia"/>
          <w:sz w:val="24"/>
          <w:szCs w:val="24"/>
          <w:lang w:eastAsia="zh-CN"/>
        </w:rPr>
        <w:t>、</w:t>
      </w:r>
      <w:r w:rsidRPr="009A6799">
        <w:rPr>
          <w:rFonts w:ascii="仿宋" w:eastAsia="仿宋" w:hAnsi="仿宋" w:hint="eastAsia"/>
          <w:sz w:val="24"/>
          <w:szCs w:val="24"/>
          <w:lang w:eastAsia="zh-CN"/>
        </w:rPr>
        <w:t>法律和政治风险</w:t>
      </w:r>
      <w:r>
        <w:rPr>
          <w:rFonts w:ascii="仿宋" w:eastAsia="仿宋" w:hAnsi="仿宋" w:hint="eastAsia"/>
          <w:sz w:val="24"/>
          <w:szCs w:val="24"/>
          <w:lang w:eastAsia="zh-CN"/>
        </w:rPr>
        <w:t>、</w:t>
      </w:r>
      <w:r w:rsidRPr="009A6799">
        <w:rPr>
          <w:rFonts w:ascii="仿宋" w:eastAsia="仿宋" w:hAnsi="仿宋" w:hint="eastAsia"/>
          <w:sz w:val="24"/>
          <w:szCs w:val="24"/>
          <w:lang w:eastAsia="zh-CN"/>
        </w:rPr>
        <w:t>会计制度风险</w:t>
      </w:r>
      <w:r>
        <w:rPr>
          <w:rFonts w:ascii="仿宋" w:eastAsia="仿宋" w:hAnsi="仿宋" w:hint="eastAsia"/>
          <w:sz w:val="24"/>
          <w:szCs w:val="24"/>
          <w:lang w:eastAsia="zh-CN"/>
        </w:rPr>
        <w:t>、</w:t>
      </w:r>
      <w:r w:rsidRPr="009A6799">
        <w:rPr>
          <w:rFonts w:ascii="仿宋" w:eastAsia="仿宋" w:hAnsi="仿宋" w:hint="eastAsia"/>
          <w:sz w:val="24"/>
          <w:szCs w:val="24"/>
          <w:lang w:eastAsia="zh-CN"/>
        </w:rPr>
        <w:t>税务风险</w:t>
      </w:r>
      <w:r>
        <w:rPr>
          <w:rFonts w:ascii="仿宋" w:eastAsia="仿宋" w:hAnsi="仿宋" w:hint="eastAsia"/>
          <w:sz w:val="24"/>
          <w:szCs w:val="24"/>
          <w:lang w:eastAsia="zh-CN"/>
        </w:rPr>
        <w:t>等</w:t>
      </w:r>
    </w:p>
    <w:p w14:paraId="17435777" w14:textId="77777777" w:rsidR="001A0D05" w:rsidRPr="009A6799" w:rsidRDefault="001A0D05" w:rsidP="001A0D05">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4</w:t>
      </w:r>
      <w:r w:rsidRPr="009A6799">
        <w:rPr>
          <w:rFonts w:ascii="仿宋" w:eastAsia="仿宋" w:hAnsi="仿宋"/>
          <w:sz w:val="24"/>
          <w:szCs w:val="24"/>
          <w:lang w:eastAsia="zh-CN"/>
        </w:rPr>
        <w:t>、本基金投资股指期货的风险。</w:t>
      </w:r>
    </w:p>
    <w:p w14:paraId="0D7F3578" w14:textId="77777777" w:rsidR="001A0D05" w:rsidRPr="009A6799" w:rsidRDefault="001A0D05" w:rsidP="001A0D05">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本基金可投资于股指期货，股指期货作为一种金融衍生品，主要存在以下风险：</w:t>
      </w:r>
    </w:p>
    <w:p w14:paraId="6432E9C6" w14:textId="77777777" w:rsidR="001A0D05" w:rsidRPr="009A6799" w:rsidRDefault="001A0D05" w:rsidP="001A0D05">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1）市场风险：是指由于股指期货价格变动而给投资者带来的风险。</w:t>
      </w:r>
    </w:p>
    <w:p w14:paraId="103F3F14" w14:textId="77777777" w:rsidR="001A0D05" w:rsidRPr="009A6799" w:rsidRDefault="001A0D05" w:rsidP="001A0D05">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lastRenderedPageBreak/>
        <w:t>（</w:t>
      </w:r>
      <w:r w:rsidRPr="009A6799">
        <w:rPr>
          <w:rFonts w:ascii="仿宋" w:eastAsia="仿宋" w:hAnsi="仿宋"/>
          <w:sz w:val="24"/>
          <w:szCs w:val="24"/>
          <w:lang w:eastAsia="zh-CN"/>
        </w:rPr>
        <w:t>2）流动性风险：是指由于股指期货合约无法及时变现所带来的风险。</w:t>
      </w:r>
    </w:p>
    <w:p w14:paraId="65639630" w14:textId="77777777" w:rsidR="001A0D05" w:rsidRPr="009A6799" w:rsidRDefault="001A0D05" w:rsidP="001A0D05">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3）基差风险：是指股指期货合约价格和标的指数价格之间的价格差的波动所造成的风险。</w:t>
      </w:r>
    </w:p>
    <w:p w14:paraId="3885AAEC" w14:textId="77777777" w:rsidR="001A0D05" w:rsidRPr="009A6799" w:rsidRDefault="001A0D05" w:rsidP="001A0D05">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4）保证金风险：是指由于无法及时筹措资金满足建立或者维持股指期货合约头寸所要求的保证金而带来的风险。</w:t>
      </w:r>
    </w:p>
    <w:p w14:paraId="7AFAE065" w14:textId="77777777" w:rsidR="001A0D05" w:rsidRPr="009A6799" w:rsidRDefault="001A0D05" w:rsidP="001A0D05">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5）杠杆风险：因股指期货采用保证金交易而存在杠杆，基金财产可能因此产生更大的收益波动。</w:t>
      </w:r>
    </w:p>
    <w:p w14:paraId="057F7988" w14:textId="77777777" w:rsidR="001A0D05" w:rsidRPr="009A6799" w:rsidRDefault="001A0D05" w:rsidP="001A0D05">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6）信用风险：是指期货经纪公司违约而产生损失的风险。</w:t>
      </w:r>
    </w:p>
    <w:p w14:paraId="06660D2F" w14:textId="77777777" w:rsidR="001A0D05" w:rsidRPr="009A6799" w:rsidRDefault="001A0D05" w:rsidP="001A0D05">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7）操作风险：是指由于内部流程的不完善，业务人员出现差错或者疏漏，或者系统出现故障等原因造成损失的风险。</w:t>
      </w:r>
    </w:p>
    <w:p w14:paraId="14146F16" w14:textId="77777777" w:rsidR="001A0D05" w:rsidRPr="009A6799" w:rsidRDefault="001A0D05" w:rsidP="001A0D05">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5</w:t>
      </w:r>
      <w:r w:rsidRPr="009A6799">
        <w:rPr>
          <w:rFonts w:ascii="仿宋" w:eastAsia="仿宋" w:hAnsi="仿宋"/>
          <w:sz w:val="24"/>
          <w:szCs w:val="24"/>
          <w:lang w:eastAsia="zh-CN"/>
        </w:rPr>
        <w:t>、本基金投资范围包括国债期货，可能给本基金带来额外风险，包括杠杆风险、期货价格与基金投资品种价格的相关度降低带来的风险等，由此可能增加本基金净值的波动性。</w:t>
      </w:r>
    </w:p>
    <w:p w14:paraId="6EF65C81" w14:textId="77777777" w:rsidR="001A0D05" w:rsidRPr="009A6799" w:rsidRDefault="001A0D05" w:rsidP="001A0D05">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6</w:t>
      </w:r>
      <w:r w:rsidRPr="009A6799">
        <w:rPr>
          <w:rFonts w:ascii="仿宋" w:eastAsia="仿宋" w:hAnsi="仿宋"/>
          <w:sz w:val="24"/>
          <w:szCs w:val="24"/>
          <w:lang w:eastAsia="zh-CN"/>
        </w:rPr>
        <w:t>、</w:t>
      </w:r>
      <w:r w:rsidRPr="00F67AF2">
        <w:rPr>
          <w:rFonts w:ascii="仿宋" w:eastAsia="仿宋" w:hAnsi="仿宋" w:hint="eastAsia"/>
          <w:sz w:val="24"/>
          <w:szCs w:val="24"/>
          <w:lang w:eastAsia="zh-CN"/>
        </w:rPr>
        <w:t>本基金投资资产支持证券的风险。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7C47C5EF" w14:textId="77777777" w:rsidR="001A0D05" w:rsidRPr="00496ED8" w:rsidRDefault="001A0D05" w:rsidP="001A0D05">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7</w:t>
      </w:r>
      <w:r w:rsidRPr="00496ED8">
        <w:rPr>
          <w:rFonts w:ascii="仿宋" w:eastAsia="仿宋" w:hAnsi="仿宋"/>
          <w:sz w:val="24"/>
          <w:szCs w:val="24"/>
          <w:lang w:eastAsia="zh-CN"/>
        </w:rPr>
        <w:t>、本基金基金合同终止的风险</w:t>
      </w:r>
    </w:p>
    <w:p w14:paraId="5C767C74" w14:textId="49363F49" w:rsidR="00B079EA" w:rsidRPr="009A6799" w:rsidRDefault="001A0D05" w:rsidP="00C943BB">
      <w:pPr>
        <w:spacing w:line="312" w:lineRule="exact"/>
        <w:ind w:firstLineChars="200" w:firstLine="480"/>
        <w:rPr>
          <w:rFonts w:ascii="仿宋" w:eastAsia="仿宋" w:hAnsi="仿宋"/>
          <w:sz w:val="24"/>
          <w:szCs w:val="24"/>
          <w:lang w:eastAsia="zh-CN"/>
        </w:rPr>
      </w:pPr>
      <w:r w:rsidRPr="0041674E">
        <w:rPr>
          <w:rFonts w:ascii="仿宋" w:eastAsia="仿宋" w:hAnsi="仿宋" w:hint="eastAsia"/>
          <w:sz w:val="24"/>
          <w:szCs w:val="24"/>
          <w:lang w:eastAsia="zh-CN"/>
        </w:rPr>
        <w:t>《基金合同》生效后，连续</w:t>
      </w:r>
      <w:r w:rsidRPr="0041674E">
        <w:rPr>
          <w:rFonts w:ascii="仿宋" w:eastAsia="仿宋" w:hAnsi="仿宋"/>
          <w:sz w:val="24"/>
          <w:szCs w:val="24"/>
          <w:lang w:eastAsia="zh-CN"/>
        </w:rPr>
        <w:t>20个工作日出现基金份额持有人数量不满200人或者基金资产净值低于5000万元情形的，基金管理人应当在定期报告中予以披露；连续50个工作日出现前述情形的，基金合同应当终止，无需召开基金份额持有人大会。</w:t>
      </w:r>
    </w:p>
    <w:p w14:paraId="2E26EA0A" w14:textId="606F644B" w:rsidR="00977756" w:rsidRPr="00977756" w:rsidRDefault="007C09CD" w:rsidP="00A94551">
      <w:pPr>
        <w:spacing w:line="312" w:lineRule="exact"/>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75830AF1"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中国</w:t>
      </w:r>
      <w:r>
        <w:rPr>
          <w:rFonts w:ascii="仿宋" w:eastAsia="仿宋" w:hAnsi="仿宋"/>
          <w:sz w:val="24"/>
          <w:szCs w:val="24"/>
          <w:lang w:eastAsia="zh-CN"/>
        </w:rPr>
        <w:t>证监会对</w:t>
      </w:r>
      <w:r>
        <w:rPr>
          <w:rFonts w:ascii="仿宋" w:eastAsia="仿宋" w:hAnsi="仿宋" w:hint="eastAsia"/>
          <w:sz w:val="24"/>
          <w:szCs w:val="24"/>
          <w:lang w:eastAsia="zh-CN"/>
        </w:rPr>
        <w:t>本</w:t>
      </w:r>
      <w:r>
        <w:rPr>
          <w:rFonts w:ascii="仿宋" w:eastAsia="仿宋" w:hAnsi="仿宋"/>
          <w:sz w:val="24"/>
          <w:szCs w:val="24"/>
          <w:lang w:eastAsia="zh-CN"/>
        </w:rPr>
        <w:t>基金募集的注册，</w:t>
      </w:r>
      <w:r>
        <w:rPr>
          <w:rFonts w:ascii="仿宋" w:eastAsia="仿宋" w:hAnsi="仿宋" w:hint="eastAsia"/>
          <w:sz w:val="24"/>
          <w:szCs w:val="24"/>
          <w:lang w:eastAsia="zh-CN"/>
        </w:rPr>
        <w:t>并不</w:t>
      </w:r>
      <w:r>
        <w:rPr>
          <w:rFonts w:ascii="仿宋" w:eastAsia="仿宋" w:hAnsi="仿宋"/>
          <w:sz w:val="24"/>
          <w:szCs w:val="24"/>
          <w:lang w:eastAsia="zh-CN"/>
        </w:rPr>
        <w:t>表明其</w:t>
      </w:r>
      <w:r>
        <w:rPr>
          <w:rFonts w:ascii="仿宋" w:eastAsia="仿宋" w:hAnsi="仿宋" w:hint="eastAsia"/>
          <w:sz w:val="24"/>
          <w:szCs w:val="24"/>
          <w:lang w:eastAsia="zh-CN"/>
        </w:rPr>
        <w:t>对</w:t>
      </w:r>
      <w:r>
        <w:rPr>
          <w:rFonts w:ascii="仿宋" w:eastAsia="仿宋" w:hAnsi="仿宋"/>
          <w:sz w:val="24"/>
          <w:szCs w:val="24"/>
          <w:lang w:eastAsia="zh-CN"/>
        </w:rPr>
        <w:t>本基金的价值和</w:t>
      </w:r>
      <w:r>
        <w:rPr>
          <w:rFonts w:ascii="仿宋" w:eastAsia="仿宋" w:hAnsi="仿宋" w:hint="eastAsia"/>
          <w:sz w:val="24"/>
          <w:szCs w:val="24"/>
          <w:lang w:eastAsia="zh-CN"/>
        </w:rPr>
        <w:t>收益</w:t>
      </w:r>
      <w:r>
        <w:rPr>
          <w:rFonts w:ascii="仿宋" w:eastAsia="仿宋" w:hAnsi="仿宋"/>
          <w:sz w:val="24"/>
          <w:szCs w:val="24"/>
          <w:lang w:eastAsia="zh-CN"/>
        </w:rPr>
        <w:t>作出实质性</w:t>
      </w:r>
      <w:r>
        <w:rPr>
          <w:rFonts w:ascii="仿宋" w:eastAsia="仿宋" w:hAnsi="仿宋" w:hint="eastAsia"/>
          <w:sz w:val="24"/>
          <w:szCs w:val="24"/>
          <w:lang w:eastAsia="zh-CN"/>
        </w:rPr>
        <w:t>判断</w:t>
      </w:r>
      <w:r>
        <w:rPr>
          <w:rFonts w:ascii="仿宋" w:eastAsia="仿宋" w:hAnsi="仿宋"/>
          <w:sz w:val="24"/>
          <w:szCs w:val="24"/>
          <w:lang w:eastAsia="zh-CN"/>
        </w:rPr>
        <w:t>或保证，</w:t>
      </w:r>
      <w:r>
        <w:rPr>
          <w:rFonts w:ascii="仿宋" w:eastAsia="仿宋" w:hAnsi="仿宋" w:hint="eastAsia"/>
          <w:sz w:val="24"/>
          <w:szCs w:val="24"/>
          <w:lang w:eastAsia="zh-CN"/>
        </w:rPr>
        <w:t>也不</w:t>
      </w:r>
      <w:r>
        <w:rPr>
          <w:rFonts w:ascii="仿宋" w:eastAsia="仿宋" w:hAnsi="仿宋"/>
          <w:sz w:val="24"/>
          <w:szCs w:val="24"/>
          <w:lang w:eastAsia="zh-CN"/>
        </w:rPr>
        <w:t>表明投资于</w:t>
      </w:r>
      <w:r>
        <w:rPr>
          <w:rFonts w:ascii="仿宋" w:eastAsia="仿宋" w:hAnsi="仿宋" w:hint="eastAsia"/>
          <w:sz w:val="24"/>
          <w:szCs w:val="24"/>
          <w:lang w:eastAsia="zh-CN"/>
        </w:rPr>
        <w:t>本</w:t>
      </w:r>
      <w:r>
        <w:rPr>
          <w:rFonts w:ascii="仿宋" w:eastAsia="仿宋" w:hAnsi="仿宋"/>
          <w:sz w:val="24"/>
          <w:szCs w:val="24"/>
          <w:lang w:eastAsia="zh-CN"/>
        </w:rPr>
        <w:t>基金没有风险。</w:t>
      </w:r>
    </w:p>
    <w:p w14:paraId="000E984F" w14:textId="77777777"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77777777" w:rsidR="00977756" w:rsidRPr="00CF3F2D" w:rsidRDefault="00977756" w:rsidP="00A94551">
      <w:pPr>
        <w:spacing w:before="1"/>
        <w:ind w:firstLineChars="200" w:firstLine="480"/>
        <w:jc w:val="both"/>
        <w:rPr>
          <w:rFonts w:ascii="仿宋" w:eastAsia="仿宋" w:hAnsi="仿宋"/>
          <w:sz w:val="24"/>
          <w:szCs w:val="24"/>
          <w:lang w:eastAsia="zh-CN"/>
        </w:rPr>
      </w:pPr>
    </w:p>
    <w:p w14:paraId="181448AF" w14:textId="77777777" w:rsidR="00CC2C39"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A94551">
      <w:pPr>
        <w:ind w:firstLineChars="200" w:firstLine="480"/>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4126AAA9" w:rsidR="004F545B" w:rsidRDefault="00FA022C" w:rsidP="00A94551">
      <w:pPr>
        <w:pStyle w:val="a4"/>
        <w:numPr>
          <w:ilvl w:val="0"/>
          <w:numId w:val="3"/>
        </w:numPr>
        <w:spacing w:before="0"/>
        <w:ind w:left="0" w:firstLineChars="200" w:firstLine="480"/>
        <w:rPr>
          <w:rFonts w:ascii="仿宋" w:eastAsia="仿宋" w:hAnsi="仿宋"/>
          <w:sz w:val="24"/>
          <w:szCs w:val="24"/>
          <w:lang w:eastAsia="zh-CN"/>
        </w:rPr>
      </w:pPr>
      <w:r>
        <w:rPr>
          <w:rFonts w:ascii="仿宋" w:eastAsia="仿宋" w:hAnsi="仿宋" w:hint="eastAsia"/>
          <w:sz w:val="24"/>
          <w:szCs w:val="24"/>
          <w:lang w:eastAsia="zh-CN"/>
        </w:rPr>
        <w:t>《</w:t>
      </w:r>
      <w:r w:rsidR="001A0D05">
        <w:rPr>
          <w:rFonts w:ascii="仿宋" w:eastAsia="仿宋" w:hAnsi="仿宋" w:hint="eastAsia"/>
          <w:sz w:val="24"/>
          <w:szCs w:val="24"/>
          <w:lang w:eastAsia="zh-CN"/>
        </w:rPr>
        <w:t>南方内需增长两年持有期股票型证券投资基金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036DF8C1" w:rsidR="004F545B"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1A0D05">
        <w:rPr>
          <w:rFonts w:ascii="仿宋" w:eastAsia="仿宋" w:hAnsi="仿宋" w:hint="eastAsia"/>
          <w:sz w:val="24"/>
          <w:szCs w:val="24"/>
          <w:lang w:eastAsia="zh-CN"/>
        </w:rPr>
        <w:t>南方内需增长两年持有期股票型证券投资基金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2CECB20C" w:rsidR="00CC2C39"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1A0D05">
        <w:rPr>
          <w:rFonts w:ascii="仿宋" w:eastAsia="仿宋" w:hAnsi="仿宋" w:hint="eastAsia"/>
          <w:sz w:val="24"/>
          <w:szCs w:val="24"/>
          <w:lang w:eastAsia="zh-CN"/>
        </w:rPr>
        <w:t>南方内需增长两年持有期股票型证券投资基金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70283A9C"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rsidSect="00A94551">
      <w:pgSz w:w="11910" w:h="16850"/>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8C16" w14:textId="77777777" w:rsidR="003C25DC" w:rsidRDefault="003C25DC" w:rsidP="00674A6F">
      <w:r>
        <w:separator/>
      </w:r>
    </w:p>
  </w:endnote>
  <w:endnote w:type="continuationSeparator" w:id="0">
    <w:p w14:paraId="0F37C71E" w14:textId="77777777" w:rsidR="003C25DC" w:rsidRDefault="003C25DC"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35C81" w14:textId="77777777" w:rsidR="003C25DC" w:rsidRDefault="003C25DC" w:rsidP="00674A6F">
      <w:r>
        <w:separator/>
      </w:r>
    </w:p>
  </w:footnote>
  <w:footnote w:type="continuationSeparator" w:id="0">
    <w:p w14:paraId="7AC15D98" w14:textId="77777777" w:rsidR="003C25DC" w:rsidRDefault="003C25DC"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9"/>
    <w:rsid w:val="00001981"/>
    <w:rsid w:val="000141EE"/>
    <w:rsid w:val="00031A67"/>
    <w:rsid w:val="00032108"/>
    <w:rsid w:val="00041B3E"/>
    <w:rsid w:val="00046302"/>
    <w:rsid w:val="00046523"/>
    <w:rsid w:val="000501F6"/>
    <w:rsid w:val="00051A41"/>
    <w:rsid w:val="0006023C"/>
    <w:rsid w:val="00061E43"/>
    <w:rsid w:val="00067723"/>
    <w:rsid w:val="000748C6"/>
    <w:rsid w:val="00077617"/>
    <w:rsid w:val="000815B7"/>
    <w:rsid w:val="000855F0"/>
    <w:rsid w:val="00091AC9"/>
    <w:rsid w:val="00095F0F"/>
    <w:rsid w:val="000B1F80"/>
    <w:rsid w:val="000B41EF"/>
    <w:rsid w:val="000C445E"/>
    <w:rsid w:val="000E206B"/>
    <w:rsid w:val="000F15EF"/>
    <w:rsid w:val="000F2E0F"/>
    <w:rsid w:val="000F4A93"/>
    <w:rsid w:val="00100CFA"/>
    <w:rsid w:val="00110051"/>
    <w:rsid w:val="001132F7"/>
    <w:rsid w:val="00116B47"/>
    <w:rsid w:val="001173C2"/>
    <w:rsid w:val="00117B10"/>
    <w:rsid w:val="00131A4A"/>
    <w:rsid w:val="00140A65"/>
    <w:rsid w:val="0014131C"/>
    <w:rsid w:val="00141667"/>
    <w:rsid w:val="00142941"/>
    <w:rsid w:val="00156079"/>
    <w:rsid w:val="00157CC8"/>
    <w:rsid w:val="0016334D"/>
    <w:rsid w:val="0016395B"/>
    <w:rsid w:val="001657D6"/>
    <w:rsid w:val="00171217"/>
    <w:rsid w:val="00174BC5"/>
    <w:rsid w:val="00174E54"/>
    <w:rsid w:val="001813B2"/>
    <w:rsid w:val="00195A1F"/>
    <w:rsid w:val="001A0D05"/>
    <w:rsid w:val="001B0908"/>
    <w:rsid w:val="001B37CF"/>
    <w:rsid w:val="001B4BE0"/>
    <w:rsid w:val="001B62EB"/>
    <w:rsid w:val="001C15E1"/>
    <w:rsid w:val="001C7E4E"/>
    <w:rsid w:val="001F5EF5"/>
    <w:rsid w:val="002058F6"/>
    <w:rsid w:val="00210D59"/>
    <w:rsid w:val="00215EDA"/>
    <w:rsid w:val="002161F6"/>
    <w:rsid w:val="00225D69"/>
    <w:rsid w:val="0023361A"/>
    <w:rsid w:val="002336A2"/>
    <w:rsid w:val="00245986"/>
    <w:rsid w:val="002536CB"/>
    <w:rsid w:val="0026375F"/>
    <w:rsid w:val="00282810"/>
    <w:rsid w:val="0028554D"/>
    <w:rsid w:val="002866BA"/>
    <w:rsid w:val="002A76C8"/>
    <w:rsid w:val="002B2786"/>
    <w:rsid w:val="002C3F1A"/>
    <w:rsid w:val="002C45BC"/>
    <w:rsid w:val="002D1208"/>
    <w:rsid w:val="002F35CE"/>
    <w:rsid w:val="002F5D4E"/>
    <w:rsid w:val="003151A5"/>
    <w:rsid w:val="00316D0A"/>
    <w:rsid w:val="00316E8C"/>
    <w:rsid w:val="00321DB3"/>
    <w:rsid w:val="003240BD"/>
    <w:rsid w:val="00326ADB"/>
    <w:rsid w:val="00332645"/>
    <w:rsid w:val="00332EC9"/>
    <w:rsid w:val="003434B9"/>
    <w:rsid w:val="00350470"/>
    <w:rsid w:val="00364BDB"/>
    <w:rsid w:val="00370D1C"/>
    <w:rsid w:val="003745B5"/>
    <w:rsid w:val="00375D36"/>
    <w:rsid w:val="00387175"/>
    <w:rsid w:val="003930BF"/>
    <w:rsid w:val="00394D28"/>
    <w:rsid w:val="003959E0"/>
    <w:rsid w:val="00397423"/>
    <w:rsid w:val="003A4861"/>
    <w:rsid w:val="003B03A1"/>
    <w:rsid w:val="003B7A0B"/>
    <w:rsid w:val="003C25DC"/>
    <w:rsid w:val="003F07D5"/>
    <w:rsid w:val="003F2C1C"/>
    <w:rsid w:val="003F6CB8"/>
    <w:rsid w:val="00403078"/>
    <w:rsid w:val="00410E9C"/>
    <w:rsid w:val="00410F98"/>
    <w:rsid w:val="00420ECF"/>
    <w:rsid w:val="004269B7"/>
    <w:rsid w:val="00444587"/>
    <w:rsid w:val="0044732F"/>
    <w:rsid w:val="004612B8"/>
    <w:rsid w:val="00462515"/>
    <w:rsid w:val="004706C5"/>
    <w:rsid w:val="00481ECB"/>
    <w:rsid w:val="00497DA5"/>
    <w:rsid w:val="004A4A25"/>
    <w:rsid w:val="004A7613"/>
    <w:rsid w:val="004B6AC1"/>
    <w:rsid w:val="004C0700"/>
    <w:rsid w:val="004C4008"/>
    <w:rsid w:val="004D375C"/>
    <w:rsid w:val="004D7DD0"/>
    <w:rsid w:val="004E1814"/>
    <w:rsid w:val="004E6B4C"/>
    <w:rsid w:val="004F49E4"/>
    <w:rsid w:val="004F545B"/>
    <w:rsid w:val="004F5566"/>
    <w:rsid w:val="00507FC3"/>
    <w:rsid w:val="00521EB5"/>
    <w:rsid w:val="0052527C"/>
    <w:rsid w:val="00526D28"/>
    <w:rsid w:val="005279E8"/>
    <w:rsid w:val="0053329E"/>
    <w:rsid w:val="00546773"/>
    <w:rsid w:val="00560947"/>
    <w:rsid w:val="00564F29"/>
    <w:rsid w:val="00565DCC"/>
    <w:rsid w:val="00573D3A"/>
    <w:rsid w:val="00574ACE"/>
    <w:rsid w:val="00584AFD"/>
    <w:rsid w:val="005874F0"/>
    <w:rsid w:val="00596871"/>
    <w:rsid w:val="005A17D7"/>
    <w:rsid w:val="005A5E96"/>
    <w:rsid w:val="005A6477"/>
    <w:rsid w:val="005C3BFC"/>
    <w:rsid w:val="005E2367"/>
    <w:rsid w:val="005E23BD"/>
    <w:rsid w:val="005E25D4"/>
    <w:rsid w:val="005E4885"/>
    <w:rsid w:val="005F1B4D"/>
    <w:rsid w:val="005F1CC7"/>
    <w:rsid w:val="005F215B"/>
    <w:rsid w:val="005F6AC2"/>
    <w:rsid w:val="006115F5"/>
    <w:rsid w:val="00615902"/>
    <w:rsid w:val="0062178A"/>
    <w:rsid w:val="006377E2"/>
    <w:rsid w:val="00641690"/>
    <w:rsid w:val="006422EE"/>
    <w:rsid w:val="0065200D"/>
    <w:rsid w:val="00674A6F"/>
    <w:rsid w:val="00683DD0"/>
    <w:rsid w:val="00695DA5"/>
    <w:rsid w:val="00696D42"/>
    <w:rsid w:val="006A0430"/>
    <w:rsid w:val="006A236D"/>
    <w:rsid w:val="006B0A18"/>
    <w:rsid w:val="006B0BC0"/>
    <w:rsid w:val="006C621B"/>
    <w:rsid w:val="006C75A9"/>
    <w:rsid w:val="006C7B1B"/>
    <w:rsid w:val="006D0B85"/>
    <w:rsid w:val="006E26DC"/>
    <w:rsid w:val="006E26EE"/>
    <w:rsid w:val="006E35D2"/>
    <w:rsid w:val="006E3B09"/>
    <w:rsid w:val="006E47EF"/>
    <w:rsid w:val="006F1BBF"/>
    <w:rsid w:val="007018BF"/>
    <w:rsid w:val="0070354A"/>
    <w:rsid w:val="00704577"/>
    <w:rsid w:val="00732420"/>
    <w:rsid w:val="007351BE"/>
    <w:rsid w:val="007416FA"/>
    <w:rsid w:val="0075046E"/>
    <w:rsid w:val="00760CD1"/>
    <w:rsid w:val="00764714"/>
    <w:rsid w:val="00771CB2"/>
    <w:rsid w:val="00777AFC"/>
    <w:rsid w:val="00780DC4"/>
    <w:rsid w:val="00787BF3"/>
    <w:rsid w:val="00791556"/>
    <w:rsid w:val="007935CD"/>
    <w:rsid w:val="007946E1"/>
    <w:rsid w:val="00794D2F"/>
    <w:rsid w:val="007C0099"/>
    <w:rsid w:val="007C09CD"/>
    <w:rsid w:val="007D0782"/>
    <w:rsid w:val="007D30B0"/>
    <w:rsid w:val="007E0F4A"/>
    <w:rsid w:val="007E2762"/>
    <w:rsid w:val="007E4753"/>
    <w:rsid w:val="007E6A37"/>
    <w:rsid w:val="007F603D"/>
    <w:rsid w:val="00800A8B"/>
    <w:rsid w:val="0080552A"/>
    <w:rsid w:val="00806908"/>
    <w:rsid w:val="00807FC2"/>
    <w:rsid w:val="0081233B"/>
    <w:rsid w:val="008130CE"/>
    <w:rsid w:val="0081356E"/>
    <w:rsid w:val="00814E13"/>
    <w:rsid w:val="00815FF9"/>
    <w:rsid w:val="00817380"/>
    <w:rsid w:val="00821E53"/>
    <w:rsid w:val="0082249B"/>
    <w:rsid w:val="00823BDE"/>
    <w:rsid w:val="00827545"/>
    <w:rsid w:val="00827F8D"/>
    <w:rsid w:val="0083149D"/>
    <w:rsid w:val="00836EA2"/>
    <w:rsid w:val="00843A86"/>
    <w:rsid w:val="008510EE"/>
    <w:rsid w:val="0086165F"/>
    <w:rsid w:val="00863187"/>
    <w:rsid w:val="00872960"/>
    <w:rsid w:val="008742CA"/>
    <w:rsid w:val="00896A3D"/>
    <w:rsid w:val="0089702F"/>
    <w:rsid w:val="008C0A48"/>
    <w:rsid w:val="008C237B"/>
    <w:rsid w:val="008C50DC"/>
    <w:rsid w:val="008D1718"/>
    <w:rsid w:val="008E7E80"/>
    <w:rsid w:val="008F3070"/>
    <w:rsid w:val="008F51E6"/>
    <w:rsid w:val="008F5277"/>
    <w:rsid w:val="009002A2"/>
    <w:rsid w:val="0091339B"/>
    <w:rsid w:val="0091358C"/>
    <w:rsid w:val="00914726"/>
    <w:rsid w:val="0091744F"/>
    <w:rsid w:val="00922B5E"/>
    <w:rsid w:val="009233AD"/>
    <w:rsid w:val="009261FA"/>
    <w:rsid w:val="009338A7"/>
    <w:rsid w:val="00937839"/>
    <w:rsid w:val="00941AB7"/>
    <w:rsid w:val="00946567"/>
    <w:rsid w:val="009479E8"/>
    <w:rsid w:val="009548BD"/>
    <w:rsid w:val="00977756"/>
    <w:rsid w:val="009A3D8C"/>
    <w:rsid w:val="009A50E7"/>
    <w:rsid w:val="009A6799"/>
    <w:rsid w:val="009B403D"/>
    <w:rsid w:val="009C5042"/>
    <w:rsid w:val="009E27D2"/>
    <w:rsid w:val="009F10E0"/>
    <w:rsid w:val="009F2033"/>
    <w:rsid w:val="00A020C0"/>
    <w:rsid w:val="00A04B0B"/>
    <w:rsid w:val="00A059F6"/>
    <w:rsid w:val="00A13DEE"/>
    <w:rsid w:val="00A30B61"/>
    <w:rsid w:val="00A3566B"/>
    <w:rsid w:val="00A437EE"/>
    <w:rsid w:val="00A46FBE"/>
    <w:rsid w:val="00A55D21"/>
    <w:rsid w:val="00A64436"/>
    <w:rsid w:val="00A64B97"/>
    <w:rsid w:val="00A74680"/>
    <w:rsid w:val="00A85C8E"/>
    <w:rsid w:val="00A871FD"/>
    <w:rsid w:val="00A87D03"/>
    <w:rsid w:val="00A9142A"/>
    <w:rsid w:val="00A93CB8"/>
    <w:rsid w:val="00A94551"/>
    <w:rsid w:val="00AA13D1"/>
    <w:rsid w:val="00AC0187"/>
    <w:rsid w:val="00AC1E0C"/>
    <w:rsid w:val="00AD07C2"/>
    <w:rsid w:val="00AD45F0"/>
    <w:rsid w:val="00AE4599"/>
    <w:rsid w:val="00B01B6A"/>
    <w:rsid w:val="00B03145"/>
    <w:rsid w:val="00B079EA"/>
    <w:rsid w:val="00B07B10"/>
    <w:rsid w:val="00B1324D"/>
    <w:rsid w:val="00B21EC9"/>
    <w:rsid w:val="00B22235"/>
    <w:rsid w:val="00B27718"/>
    <w:rsid w:val="00B31479"/>
    <w:rsid w:val="00B32DCF"/>
    <w:rsid w:val="00B35348"/>
    <w:rsid w:val="00B41116"/>
    <w:rsid w:val="00B45E98"/>
    <w:rsid w:val="00B5464C"/>
    <w:rsid w:val="00B63191"/>
    <w:rsid w:val="00B6480A"/>
    <w:rsid w:val="00B64D03"/>
    <w:rsid w:val="00B73663"/>
    <w:rsid w:val="00B736F9"/>
    <w:rsid w:val="00BA284F"/>
    <w:rsid w:val="00BA4384"/>
    <w:rsid w:val="00BB3059"/>
    <w:rsid w:val="00BB3341"/>
    <w:rsid w:val="00BB511F"/>
    <w:rsid w:val="00BC7A7D"/>
    <w:rsid w:val="00BD1868"/>
    <w:rsid w:val="00BD4656"/>
    <w:rsid w:val="00BE46C4"/>
    <w:rsid w:val="00BE6506"/>
    <w:rsid w:val="00BF1346"/>
    <w:rsid w:val="00BF6027"/>
    <w:rsid w:val="00C01A47"/>
    <w:rsid w:val="00C02B90"/>
    <w:rsid w:val="00C0431F"/>
    <w:rsid w:val="00C06AE1"/>
    <w:rsid w:val="00C13ED0"/>
    <w:rsid w:val="00C16C2F"/>
    <w:rsid w:val="00C17471"/>
    <w:rsid w:val="00C3019D"/>
    <w:rsid w:val="00C31159"/>
    <w:rsid w:val="00C33CCC"/>
    <w:rsid w:val="00C36E4B"/>
    <w:rsid w:val="00C54E95"/>
    <w:rsid w:val="00C636C0"/>
    <w:rsid w:val="00C63D08"/>
    <w:rsid w:val="00C6471E"/>
    <w:rsid w:val="00C668B3"/>
    <w:rsid w:val="00C72188"/>
    <w:rsid w:val="00C86BBD"/>
    <w:rsid w:val="00C876CD"/>
    <w:rsid w:val="00C90AE7"/>
    <w:rsid w:val="00C943BB"/>
    <w:rsid w:val="00CA343B"/>
    <w:rsid w:val="00CA4EFE"/>
    <w:rsid w:val="00CB3850"/>
    <w:rsid w:val="00CB42AF"/>
    <w:rsid w:val="00CB55EB"/>
    <w:rsid w:val="00CB61F2"/>
    <w:rsid w:val="00CB664E"/>
    <w:rsid w:val="00CB7D79"/>
    <w:rsid w:val="00CC06EE"/>
    <w:rsid w:val="00CC2C39"/>
    <w:rsid w:val="00CC605D"/>
    <w:rsid w:val="00CE4195"/>
    <w:rsid w:val="00CF3F2D"/>
    <w:rsid w:val="00D054CA"/>
    <w:rsid w:val="00D12518"/>
    <w:rsid w:val="00D25028"/>
    <w:rsid w:val="00D273CE"/>
    <w:rsid w:val="00D3638B"/>
    <w:rsid w:val="00D36A55"/>
    <w:rsid w:val="00D43ABE"/>
    <w:rsid w:val="00D6120B"/>
    <w:rsid w:val="00D6211C"/>
    <w:rsid w:val="00D666B6"/>
    <w:rsid w:val="00D85844"/>
    <w:rsid w:val="00DA2CA1"/>
    <w:rsid w:val="00DA7809"/>
    <w:rsid w:val="00DC1820"/>
    <w:rsid w:val="00DC475C"/>
    <w:rsid w:val="00DD42A0"/>
    <w:rsid w:val="00DE4162"/>
    <w:rsid w:val="00DE5972"/>
    <w:rsid w:val="00DE5A54"/>
    <w:rsid w:val="00DF46F1"/>
    <w:rsid w:val="00DF586B"/>
    <w:rsid w:val="00DF6DB2"/>
    <w:rsid w:val="00E04BBD"/>
    <w:rsid w:val="00E26ACB"/>
    <w:rsid w:val="00E276C0"/>
    <w:rsid w:val="00E27E75"/>
    <w:rsid w:val="00E4280A"/>
    <w:rsid w:val="00E4683F"/>
    <w:rsid w:val="00E46A0A"/>
    <w:rsid w:val="00E47A80"/>
    <w:rsid w:val="00E7153E"/>
    <w:rsid w:val="00E83085"/>
    <w:rsid w:val="00E92963"/>
    <w:rsid w:val="00EA1EE7"/>
    <w:rsid w:val="00EC5FF7"/>
    <w:rsid w:val="00ED15A3"/>
    <w:rsid w:val="00ED5DC0"/>
    <w:rsid w:val="00ED6B7C"/>
    <w:rsid w:val="00EE1388"/>
    <w:rsid w:val="00EE68F0"/>
    <w:rsid w:val="00EE7C36"/>
    <w:rsid w:val="00EF1A91"/>
    <w:rsid w:val="00F06E0A"/>
    <w:rsid w:val="00F131A8"/>
    <w:rsid w:val="00F1394F"/>
    <w:rsid w:val="00F14C52"/>
    <w:rsid w:val="00F23359"/>
    <w:rsid w:val="00F31A14"/>
    <w:rsid w:val="00F33671"/>
    <w:rsid w:val="00F3694D"/>
    <w:rsid w:val="00F5307E"/>
    <w:rsid w:val="00F531FA"/>
    <w:rsid w:val="00F5399E"/>
    <w:rsid w:val="00F545B6"/>
    <w:rsid w:val="00F55DBA"/>
    <w:rsid w:val="00F6237F"/>
    <w:rsid w:val="00F65200"/>
    <w:rsid w:val="00F731CA"/>
    <w:rsid w:val="00F73B0A"/>
    <w:rsid w:val="00F80B9B"/>
    <w:rsid w:val="00F832FB"/>
    <w:rsid w:val="00F852D7"/>
    <w:rsid w:val="00F8798C"/>
    <w:rsid w:val="00F92D33"/>
    <w:rsid w:val="00F942A1"/>
    <w:rsid w:val="00F946F5"/>
    <w:rsid w:val="00FA022C"/>
    <w:rsid w:val="00FA2D07"/>
    <w:rsid w:val="00FA7F8B"/>
    <w:rsid w:val="00FB50CA"/>
    <w:rsid w:val="00FC48CB"/>
    <w:rsid w:val="00FC4FCA"/>
    <w:rsid w:val="00FC7122"/>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26D5FBE5-98FF-4998-B0D6-C957EA4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C0B4-FCE7-4942-B3AF-104F078E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陈敏鹏-0107</cp:lastModifiedBy>
  <cp:revision>7</cp:revision>
  <cp:lastPrinted>2019-03-21T04:31:00Z</cp:lastPrinted>
  <dcterms:created xsi:type="dcterms:W3CDTF">2020-01-07T09:00:00Z</dcterms:created>
  <dcterms:modified xsi:type="dcterms:W3CDTF">2020-01-17T06:21:00Z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